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-183515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3540" w:right="1079" w:hanging="2470"/>
        <w:spacing w:after="0" w:line="282" w:lineRule="auto"/>
        <w:tabs>
          <w:tab w:leader="none" w:pos="172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4" w:lineRule="exact"/>
        <w:rPr>
          <w:sz w:val="24"/>
          <w:szCs w:val="24"/>
          <w:color w:val="auto"/>
        </w:rPr>
      </w:pPr>
    </w:p>
    <w:p>
      <w:pPr>
        <w:ind w:left="3540" w:right="1059" w:hanging="2488"/>
        <w:spacing w:after="0" w:line="366" w:lineRule="auto"/>
        <w:tabs>
          <w:tab w:leader="none" w:pos="170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000"/>
        <w:spacing w:after="0"/>
        <w:tabs>
          <w:tab w:leader="none" w:pos="53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2953385</wp:posOffset>
            </wp:positionH>
            <wp:positionV relativeFrom="paragraph">
              <wp:posOffset>-4445</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001-42270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46355</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97790</wp:posOffset>
            </wp:positionV>
            <wp:extent cx="111442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Zenas BioPharma,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13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Delaware</w:t>
      </w:r>
    </w:p>
    <w:p>
      <w:pPr>
        <w:ind w:left="1500"/>
        <w:spacing w:after="0" w:line="237" w:lineRule="auto"/>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4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659"/>
        <w:spacing w:after="0"/>
        <w:rPr>
          <w:sz w:val="20"/>
          <w:szCs w:val="20"/>
          <w:color w:val="auto"/>
        </w:rPr>
      </w:pPr>
      <w:r>
        <w:rPr>
          <w:rFonts w:ascii="Times New Roman" w:cs="Times New Roman" w:eastAsia="Times New Roman" w:hAnsi="Times New Roman"/>
          <w:sz w:val="13"/>
          <w:szCs w:val="13"/>
          <w:color w:val="auto"/>
        </w:rPr>
        <w:t>93-2749244</w:t>
      </w:r>
    </w:p>
    <w:p>
      <w:pPr>
        <w:jc w:val="center"/>
        <w:ind w:right="1659"/>
        <w:spacing w:after="0" w:line="216" w:lineRule="auto"/>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659"/>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76" w:lineRule="exact"/>
        <w:rPr>
          <w:sz w:val="24"/>
          <w:szCs w:val="24"/>
          <w:color w:val="auto"/>
        </w:rPr>
      </w:pPr>
    </w:p>
    <w:p>
      <w:pPr>
        <w:sectPr>
          <w:pgSz w:w="11900" w:h="16838" w:orient="portrait"/>
          <w:cols w:equalWidth="0" w:num="2">
            <w:col w:w="5380" w:space="720"/>
            <w:col w:w="2919"/>
          </w:cols>
          <w:pgMar w:left="1440" w:top="66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852 Winter Street, Suite 250</w:t>
      </w:r>
    </w:p>
    <w:p>
      <w:pPr>
        <w:jc w:val="center"/>
        <w:ind w:right="19"/>
        <w:spacing w:after="0" w:line="219" w:lineRule="auto"/>
        <w:rPr>
          <w:sz w:val="20"/>
          <w:szCs w:val="20"/>
          <w:color w:val="auto"/>
        </w:rPr>
      </w:pPr>
      <w:r>
        <w:rPr>
          <w:rFonts w:ascii="Times New Roman" w:cs="Times New Roman" w:eastAsia="Times New Roman" w:hAnsi="Times New Roman"/>
          <w:sz w:val="13"/>
          <w:szCs w:val="13"/>
          <w:b w:val="1"/>
          <w:bCs w:val="1"/>
          <w:color w:val="auto"/>
        </w:rPr>
        <w:t>Waltham, MA 02451</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271-2954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36195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p>
      <w:pPr>
        <w:spacing w:after="0" w:line="120" w:lineRule="exact"/>
        <w:rPr>
          <w:sz w:val="24"/>
          <w:szCs w:val="24"/>
          <w:color w:val="auto"/>
        </w:rPr>
      </w:pPr>
    </w:p>
    <w:p>
      <w:pPr>
        <w:ind w:left="60" w:right="239"/>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60"/>
        <w:spacing w:after="0" w:line="150" w:lineRule="exact"/>
        <w:tabs>
          <w:tab w:leader="none" w:pos="580" w:val="left"/>
        </w:tabs>
        <w:rPr>
          <w:sz w:val="20"/>
          <w:szCs w:val="20"/>
          <w:color w:val="auto"/>
        </w:rPr>
      </w:pPr>
      <w:r>
        <w:rPr>
          <w:rFonts w:ascii="Times New Roman" w:cs="Times New Roman" w:eastAsia="Times New Roman" w:hAnsi="Times New Roman"/>
          <w:sz w:val="13"/>
          <w:szCs w:val="13"/>
          <w:color w:val="auto"/>
        </w:rPr>
        <w:t>90 days.</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559"/>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ind w:left="60" w:right="99"/>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26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Accelerated filer</w:t>
            </w:r>
          </w:p>
        </w:tc>
        <w:tc>
          <w:tcPr>
            <w:tcW w:w="9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spacing w:after="0"/>
              <w:rPr>
                <w:sz w:val="13"/>
                <w:szCs w:val="13"/>
                <w:color w:val="auto"/>
              </w:rPr>
            </w:pPr>
          </w:p>
        </w:tc>
        <w:tc>
          <w:tcPr>
            <w:tcW w:w="340" w:type="dxa"/>
            <w:vAlign w:val="bottom"/>
            <w:vMerge w:val="restart"/>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c>
          <w:tcPr>
            <w:tcW w:w="0" w:type="dxa"/>
            <w:vAlign w:val="bottom"/>
          </w:tcPr>
          <w:p>
            <w:pPr>
              <w:spacing w:after="0"/>
              <w:rPr>
                <w:sz w:val="1"/>
                <w:szCs w:val="1"/>
                <w:color w:val="auto"/>
              </w:rPr>
            </w:pP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26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60" w:right="21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60"/>
        <w:spacing w:after="0" w:line="150" w:lineRule="exact"/>
        <w:tabs>
          <w:tab w:leader="none" w:pos="5880" w:val="left"/>
          <w:tab w:leader="none" w:pos="63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4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19"/>
        </w:trPr>
        <w:tc>
          <w:tcPr>
            <w:tcW w:w="9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2040" w:type="dxa"/>
            <w:vAlign w:val="bottom"/>
          </w:tcPr>
          <w:p>
            <w:pPr>
              <w:spacing w:after="0"/>
              <w:rPr>
                <w:sz w:val="19"/>
                <w:szCs w:val="19"/>
                <w:color w:val="auto"/>
              </w:rPr>
            </w:pPr>
          </w:p>
        </w:tc>
        <w:tc>
          <w:tcPr>
            <w:tcW w:w="2340" w:type="dxa"/>
            <w:vAlign w:val="bottom"/>
            <w:gridSpan w:val="2"/>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r>
      <w:tr>
        <w:trPr>
          <w:trHeight w:val="20"/>
        </w:trPr>
        <w:tc>
          <w:tcPr>
            <w:tcW w:w="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60"/>
        </w:trPr>
        <w:tc>
          <w:tcPr>
            <w:tcW w:w="4020" w:type="dxa"/>
            <w:vAlign w:val="bottom"/>
            <w:gridSpan w:val="3"/>
          </w:tcPr>
          <w:p>
            <w:pPr>
              <w:jc w:val="center"/>
              <w:ind w:right="1060"/>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2340" w:type="dxa"/>
            <w:vAlign w:val="bottom"/>
            <w:gridSpan w:val="2"/>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w w:val="98"/>
              </w:rPr>
              <w:t>ZBIO</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Nasdaq Global Select Market</w:t>
            </w:r>
          </w:p>
        </w:tc>
      </w:tr>
    </w:tbl>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As of April 30 2025, there were 41,834,182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593725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62230</wp:posOffset>
            </wp:positionV>
            <wp:extent cx="5657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105410</wp:posOffset>
            </wp:positionV>
            <wp:extent cx="565785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34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w:t>
            </w:r>
            <w:r>
              <w:rPr>
                <w:rFonts w:ascii="Times New Roman" w:cs="Times New Roman" w:eastAsia="Times New Roman" w:hAnsi="Times New Roman"/>
                <w:sz w:val="18"/>
                <w:szCs w:val="18"/>
                <w:color w:val="000000"/>
              </w:rPr>
              <w:t>4</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months</w:t>
            </w:r>
          </w:p>
        </w:tc>
        <w:tc>
          <w:tcPr>
            <w:tcW w:w="3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2025 and 2024</w:t>
            </w:r>
          </w:p>
        </w:tc>
        <w:tc>
          <w:tcPr>
            <w:tcW w:w="4980" w:type="dxa"/>
            <w:vAlign w:val="bottom"/>
            <w:gridSpan w:val="11"/>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Convertible Preferred Stock and Stockholders’</w:t>
            </w:r>
          </w:p>
        </w:tc>
        <w:tc>
          <w:tcPr>
            <w:tcW w:w="3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Equity (Deficit) for the three months ended March 31, 2025 and 2024</w:t>
            </w:r>
          </w:p>
        </w:tc>
        <w:tc>
          <w:tcPr>
            <w:tcW w:w="2060" w:type="dxa"/>
            <w:vAlign w:val="bottom"/>
            <w:tcBorders>
              <w:top w:val="single" w:sz="8" w:color="0000EE"/>
            </w:tcBorders>
            <w:gridSpan w:val="5"/>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2025</w:t>
            </w:r>
          </w:p>
        </w:tc>
        <w:tc>
          <w:tcPr>
            <w:tcW w:w="44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20" w:type="dxa"/>
            <w:vAlign w:val="bottom"/>
            <w:gridSpan w:val="9"/>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II</w:t>
            </w:r>
          </w:p>
        </w:tc>
        <w:tc>
          <w:tcPr>
            <w:tcW w:w="700" w:type="dxa"/>
            <w:vAlign w:val="bottom"/>
            <w:gridSpan w:val="4"/>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40" w:type="dxa"/>
            <w:vAlign w:val="bottom"/>
          </w:tcPr>
          <w:p>
            <w:pPr>
              <w:spacing w:after="0"/>
              <w:rPr>
                <w:sz w:val="24"/>
                <w:szCs w:val="24"/>
                <w:color w:val="auto"/>
              </w:rPr>
            </w:pP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700" w:type="dxa"/>
            <w:vAlign w:val="bottom"/>
            <w:gridSpan w:val="4"/>
          </w:tcPr>
          <w:p>
            <w:pPr>
              <w:spacing w:after="0"/>
              <w:rPr>
                <w:sz w:val="24"/>
                <w:szCs w:val="24"/>
                <w:color w:val="auto"/>
              </w:rPr>
            </w:pPr>
          </w:p>
        </w:tc>
        <w:tc>
          <w:tcPr>
            <w:tcW w:w="14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80" w:type="dxa"/>
            <w:vAlign w:val="bottom"/>
            <w:gridSpan w:val="15"/>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580" w:type="dxa"/>
            <w:vAlign w:val="bottom"/>
            <w:gridSpan w:val="3"/>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580" w:type="dxa"/>
            <w:vAlign w:val="bottom"/>
            <w:gridSpan w:val="3"/>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56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4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87"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opportunities stemming from the development of obexelimab for multiple immunology and inflammation (“I&amp;I”) diseases;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if approved, ultimately commercialize obexelimab and, with partners, our other programs;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orphan drug designation for certain of our product candidates;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clinical development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differentiation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that have broad therapeutic potential;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business development strategy and expertise to build a balanced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collaborations and strategic partnerships to maximize the value of our portfolio;</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our operational and commercial capabilities for supplying and marketing our products, if approved, in key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drug substance and drug product for use in our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and our needs for or ability to obtain additional financing;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cash and the sufficiency of our existing cash and proceeds from future capital-raising efforts, if any, to fund our future operating expenses and capital expenditure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and smaller reporting company under the Jumpstart Our Business Startups Act of 2012, as amended (the “JOBS Act”);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tariffs and other trade measures, or pandemic or epidemic disease outbreaks, many of which are beyond our control;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included in the section titled “Risk Factors.”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Quarterly Report may prove incorrect. These forward-looking statements speak only as of the date of this Quarterly Report and are subject to a number of known and unknown risks, uncertainties and assumptions, including those described under the sections titled “Risk Factors” and “Management’s Discussion and Analysis of Financial Condition and Results of Operations” and elsewhere in this Quarterly Report.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of which investors should be aware before making an investment decision. These risks are discussed more fully in Part II, Item 1A. “Risk Factors” in this Quarterly Report. These risks include the following:</w:t>
      </w:r>
    </w:p>
    <w:p>
      <w:pPr>
        <w:spacing w:after="0" w:line="216"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imposing restrictions on our operations or require us to relinquish rights to our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and dosing of patients in clinical trials, delay or prevent receipt of necessary regulatory approvals;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of our current or future collaborations or licensing arrangements and may be unsuccessful in consummating future partnerships;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our organization, and we may experience difficulties in managing our growth and expanding our operations, which could adversely affect our business;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large part, to the terms and conditions of licenses granted to us by others, such as Xencor, Inc.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our suppliers, many of which are located outside of the U.S.,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not be sustained;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which could result in substantial losses for investors.</w:t>
      </w:r>
    </w:p>
    <w:p>
      <w:pPr>
        <w:spacing w:after="0" w:line="200" w:lineRule="exact"/>
        <w:rPr>
          <w:sz w:val="20"/>
          <w:szCs w:val="20"/>
          <w:color w:val="auto"/>
        </w:rPr>
      </w:pPr>
    </w:p>
    <w:p>
      <w:pPr>
        <w:spacing w:after="0" w:line="22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results of operations, financial condition and prospects may be harmed.</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Zenas BioPharma word mark, logo mark, and the “lightning bolt” design are trademarks of Zenas BioPharma, Inc. or its affiliated companies.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in certain cases, omitted the ® and ™ designations for these trademarks used in this Quarterly Report. Nevertheless, all rights to such trademarks are owned by Zenas BioPharma, Inc. Other trademarks referenced in this Quarterly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319,742</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31,024</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r>
      <w:tr>
        <w:trPr>
          <w:trHeight w:val="19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355,923</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12,856</w:t>
            </w:r>
          </w:p>
        </w:tc>
      </w:tr>
      <w:tr>
        <w:trPr>
          <w:trHeight w:val="23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333,766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r>
      <w:tr>
        <w:trPr>
          <w:trHeight w:val="183"/>
        </w:trPr>
        <w:tc>
          <w:tcPr>
            <w:tcW w:w="6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39,371</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57,292</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19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57,510</w:t>
            </w:r>
          </w:p>
        </w:tc>
      </w:tr>
      <w:tr>
        <w:trPr>
          <w:trHeight w:val="19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par value $0.0001 per share; 25,000,000 shares authorized and no shares issued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outstanding as of March 31, 2025 and December 31, 2024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par value $0.0001 per share; 175,000,000 shares authorized; 41,821,887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41,793,412 shares issued and outstanding as of March 31, 2025 and December 31, 2024,</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699,651</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(420,964)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(387,391)</w:t>
            </w:r>
          </w:p>
        </w:tc>
      </w:tr>
      <w:tr>
        <w:trPr>
          <w:trHeight w:val="19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284,317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312,458</w:t>
            </w:r>
          </w:p>
        </w:tc>
      </w:tr>
      <w:tr>
        <w:trPr>
          <w:trHeight w:val="19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333,766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369,968</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6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41,800,802</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1,554,087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(33,573)</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10"/>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Borders>
              <w:bottom w:val="single" w:sz="8" w:color="auto"/>
            </w:tcBorders>
            <w:gridSpan w:val="4"/>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41,793,412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699,651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(387,391)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312,458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common stock options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41,821,887</w:t>
            </w:r>
          </w:p>
        </w:tc>
        <w:tc>
          <w:tcPr>
            <w:tcW w:w="300" w:type="dxa"/>
            <w:vAlign w:val="bottom"/>
            <w:tcBorders>
              <w:top w:val="single" w:sz="8" w:color="CCEEFF"/>
              <w:bottom w:val="single" w:sz="8" w:color="CCEEFF"/>
            </w:tcBorders>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top w:val="single" w:sz="8" w:color="CCEEFF"/>
              <w:bottom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705,136</w:t>
            </w:r>
          </w:p>
        </w:tc>
        <w:tc>
          <w:tcPr>
            <w:tcW w:w="2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(420,964)</w:t>
            </w:r>
          </w:p>
        </w:tc>
        <w:tc>
          <w:tcPr>
            <w:tcW w:w="320" w:type="dxa"/>
            <w:vAlign w:val="bottom"/>
            <w:tcBorders>
              <w:top w:val="single" w:sz="8" w:color="CCEEFF"/>
              <w:bottom w:val="single" w:sz="8" w:color="CCEEFF"/>
            </w:tcBorders>
            <w:gridSpan w:val="2"/>
            <w:shd w:val="clear" w:color="auto" w:fill="CCEEFF"/>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Convertible Preferred Stock and Stockholders’ Deficit</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6"/>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Borders>
              <w:bottom w:val="single" w:sz="8" w:color="auto"/>
            </w:tcBorders>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Seed Series</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20" w:type="dxa"/>
            <w:vAlign w:val="bottom"/>
            <w:tcBorders>
              <w:bottom w:val="single" w:sz="8" w:color="auto"/>
              <w:right w:val="single" w:sz="8" w:color="auto"/>
            </w:tcBorders>
            <w:gridSpan w:val="4"/>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40" w:type="dxa"/>
            <w:vAlign w:val="bottom"/>
          </w:tcPr>
          <w:p>
            <w:pPr>
              <w:spacing w:after="0"/>
              <w:rPr>
                <w:sz w:val="12"/>
                <w:szCs w:val="12"/>
                <w:color w:val="auto"/>
              </w:rPr>
            </w:pPr>
          </w:p>
        </w:tc>
        <w:tc>
          <w:tcPr>
            <w:tcW w:w="128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20" w:type="dxa"/>
            <w:vAlign w:val="bottom"/>
            <w:tcBorders>
              <w:right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vMerge w:val="continue"/>
          </w:tcPr>
          <w:p>
            <w:pPr>
              <w:spacing w:after="0"/>
              <w:rPr>
                <w:sz w:val="12"/>
                <w:szCs w:val="12"/>
                <w:color w:val="auto"/>
              </w:rPr>
            </w:pPr>
          </w:p>
        </w:tc>
        <w:tc>
          <w:tcPr>
            <w:tcW w:w="9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right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1,785,714</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956 17,589,380</w:t>
            </w:r>
          </w:p>
        </w:tc>
        <w:tc>
          <w:tcPr>
            <w:tcW w:w="13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$ 55,840 81,242,587</w:t>
            </w:r>
          </w:p>
        </w:tc>
        <w:tc>
          <w:tcPr>
            <w:tcW w:w="780" w:type="dxa"/>
            <w:vAlign w:val="bottom"/>
            <w:tcBorders>
              <w:right w:val="single" w:sz="8" w:color="auto"/>
            </w:tcBorders>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$193,290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1,576,854</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w:t>
            </w: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(230,403)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64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80" w:type="dxa"/>
            <w:vAlign w:val="bottom"/>
            <w:gridSpan w:val="4"/>
            <w:vMerge w:val="continue"/>
            <w:shd w:val="clear" w:color="auto" w:fill="CCEEFF"/>
          </w:tcPr>
          <w:p>
            <w:pPr>
              <w:spacing w:after="0"/>
              <w:rPr>
                <w:sz w:val="15"/>
                <w:szCs w:val="15"/>
                <w:color w:val="auto"/>
              </w:rPr>
            </w:pPr>
          </w:p>
        </w:tc>
        <w:tc>
          <w:tcPr>
            <w:tcW w:w="780" w:type="dxa"/>
            <w:vAlign w:val="bottom"/>
            <w:tcBorders>
              <w:right w:val="single" w:sz="8" w:color="auto"/>
            </w:tcBorders>
            <w:gridSpan w:val="3"/>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unvested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(21,172)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Exercises of</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right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1,785,714</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956 17,589,380</w:t>
            </w:r>
          </w:p>
        </w:tc>
        <w:tc>
          <w:tcPr>
            <w:tcW w:w="13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$ 55,840 81,242,587</w:t>
            </w:r>
          </w:p>
        </w:tc>
        <w:tc>
          <w:tcPr>
            <w:tcW w:w="780" w:type="dxa"/>
            <w:vAlign w:val="bottom"/>
            <w:tcBorders>
              <w:right w:val="single" w:sz="8" w:color="auto"/>
            </w:tcBorders>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$193,290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1,562,717</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(258,203)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380" w:type="dxa"/>
            <w:vAlign w:val="bottom"/>
            <w:gridSpan w:val="4"/>
            <w:vMerge w:val="continue"/>
            <w:shd w:val="clear" w:color="auto" w:fill="CCEEFF"/>
          </w:tcPr>
          <w:p>
            <w:pPr>
              <w:spacing w:after="0"/>
              <w:rPr>
                <w:sz w:val="13"/>
                <w:szCs w:val="13"/>
                <w:color w:val="auto"/>
              </w:rPr>
            </w:pPr>
          </w:p>
        </w:tc>
        <w:tc>
          <w:tcPr>
            <w:tcW w:w="780" w:type="dxa"/>
            <w:vAlign w:val="bottom"/>
            <w:tcBorders>
              <w:right w:val="single" w:sz="8" w:color="auto"/>
            </w:tcBorders>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10260"/>
          </w:cols>
          <w:pgMar w:left="1220" w:top="513" w:right="41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5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(33,573)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(27,800)</w:t>
            </w: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expense</w:t>
            </w: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amortization of premiums and accretion of discounts on investments</w:t>
            </w:r>
          </w:p>
        </w:tc>
        <w:tc>
          <w:tcPr>
            <w:tcW w:w="6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03"/>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6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03"/>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0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r>
      <w:tr>
        <w:trPr>
          <w:trHeight w:val="20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(11,165)</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0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196"/>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8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(19,102)</w:t>
            </w:r>
          </w:p>
        </w:tc>
      </w:tr>
      <w:tr>
        <w:trPr>
          <w:trHeight w:val="19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(99,114)</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investments</w:t>
            </w:r>
          </w:p>
        </w:tc>
        <w:tc>
          <w:tcPr>
            <w:tcW w:w="6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8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2"/>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0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6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6"/>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68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19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6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(19,702)</w:t>
            </w:r>
          </w:p>
        </w:tc>
      </w:tr>
      <w:tr>
        <w:trPr>
          <w:trHeight w:val="20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6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319,832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56,942</w:t>
            </w:r>
          </w:p>
        </w:tc>
      </w:tr>
      <w:tr>
        <w:trPr>
          <w:trHeight w:val="196"/>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196,554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37,240</w:t>
            </w:r>
          </w:p>
        </w:tc>
      </w:tr>
      <w:tr>
        <w:trPr>
          <w:trHeight w:val="20"/>
        </w:trPr>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Right-of-use assets obtained under operating lease arrangements</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offering costs in accounts payable and accrued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r>
      <w:tr>
        <w:trPr>
          <w:trHeight w:val="20"/>
        </w:trPr>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196,554</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37,154</w:t>
            </w: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6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9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196,554</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37,240</w:t>
            </w:r>
          </w:p>
        </w:tc>
      </w:tr>
      <w:tr>
        <w:trPr>
          <w:trHeight w:val="20"/>
        </w:trPr>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goal is to build an immunology and inflammation (“I&amp;I”) focused biopharmaceutical company.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its wholly owned subsidiaries which include Zenas BioPharma (HK) Limited (“Zenas HK”), Zenas BioPharma (USA) LLC, Shanghai Zenas Biotechnology Co. Limited, Zenas BioPharma Securities Corp., and Zenas BioPharma GmbH.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Since its inception, the Company has devoted its efforts principally to research and development, and raising capital. The Company is subject to risks and uncertainties common to clinical 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and collaboration agreement with Bristol-Myers Squibb Company (“BMS”), novation agreement with Tenacia Biotechnology (Hong Kong) Co., Limited (“Tenacia”) and license agreement with Zai Lab (Hong Kong) Limited (“Zai”) (please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to these condensed consolidated financial statements).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completed its initial public offering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$234.3 million in net proceeds after deducting underwriting discounts, commissions and other offering expenses. In connection with the IPO, all outstanding shares of convertible preferred stock converted into 24,978,715 shares of the Company’s common stock.</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and prior to, the Company’s IPO, the Company effected a 1-for-8.6831 reverse stock split of the Company’s issued and outstanding common stock and adjusted the conversion ratio of all the Company’s outstanding convertible preferred stock. Accordingly, all share and per share amounts for all periods presented in the accompanying condensed consolidated financial statements and notes thereto have been retroactively adjusted, where applicable, to reflect the reverse stock split and the adjustment of the preferred stock conversion ratios.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since its inception, including net losses of $33.6 million and $27.8 million for the three months ended March 31, 2025 and 2024, respectively. As of March 31, 2025,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had an accumulated deficit of $421.0 million. Management expects operating losses and negative operating cash flows to continue for the foreseeable future.</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investments of $314.2 million as of March 31, 2025 will be sufficient to fund its operating expenses and capital expenditure requirements for at least twelve months from the date this Form 10-Q is filed. The Company will need additional financing to support its continuing operations and to pursue its growth strategy. Until such time as the Company can generate significant revenue from product sales, if ever, it expects to finance its operations through a combination of private or public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90" w:lineRule="exact"/>
        <w:rPr>
          <w:sz w:val="20"/>
          <w:szCs w:val="20"/>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audited consolidated financial statements for the year ended December 31, 2024, and notes thereto, included in the Company’s Annual Report on Form 10-K that was filed with the SEC on March 11, 2025. Since the date of those financial statements, there have been no material changes to the Company’s significant accounting policies.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operations of the Company and its wholly-owned subsidiaries. All intercompany accounts, transactions, and balances have been eliminated in consolidation. The accompanying condensed consolidated financial statements have been prepared in accordance with U.S. generally accepted accounting principles (“GAAP”) and pursuant to the rules and regulations of the Securities and Exchange Commission (“SEC”). Any reference in these notes to applicable guidance is meant to refer to the authoritative GAAP as found in the Accounting Standards Codification (“ASC”) and Accounting Standards Update (“ASU”) of the Financial Accounting Standards Board (“FASB”). Certain information and footnote disclosures normally included in financial statements prepared in accordance with GAAP have been or omitted pursuant to such rules and regulations.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2025, and the results of operations and its cash flows for the three months ended March 31, 2025 and 2024. The financial data and other information disclosed in these notes related to the three months ended March 31, 2025 and 2024 are not necessarily indicative of the results to be expected for the year ending December 31, 2025, any other interim periods, or any future year or period. These interim financial statements should be read in conjunction with the audited financial statements as of and for the year ended December 31, 2024, and the notes thereto, which are included in the Company’s Annual Report on Form 10-K as filed with the SEC, on March 11,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liabilities, expenses, and related disclosures. The Company bases its estimates on historical experience, known trends and other market-specific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 assumptions. Significant estimates in these condensed consolidated financial statements include estimates made in connection with accrued research and development expenses, stock-based compensation and pre-initial public offering (“IPO”) valuations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judgement. As of the date of the issuance of these financial statements, the Company is not aware of any specific event or circumstance that would require the Company to update its estimates, assumptions and judgements or revise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we adopt as of the specified effective date. Unless otherwise discussed, we do not believe that the adoption of recently issued standards have or may have a material impact on our condensed consolidated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regularly measured and carried at fair value and indicate the level within the fair value hierarchy of the valuation techniques the Company utilized to determine such fair value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83"/>
        </w:trPr>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Carrying</w:t>
            </w: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172,833</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45,418</w:t>
            </w:r>
          </w:p>
        </w:tc>
        <w:tc>
          <w:tcPr>
            <w:tcW w:w="36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64,020</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64,020</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314,214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260,574</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53,640</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39"/>
        </w:trPr>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3"/>
        </w:trPr>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Carrying</w:t>
            </w: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3"/>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300,672</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36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4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350,766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338,850</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as of March 31, 2025 and December 31, 2024. In addition, there have been no changes in valuation techniques as of March 31, 2025 and December 31, 2024. The fair value of Level 1 instruments classified as money market funds and government securities are valued using quoted market prices in active markets. The fair value of Level 2 instruments classified as short-term investments was determined using other than quoted prices in active markets, which are either directly or indirectly observable as of the reporting date and fair value is determined using models or other valuation methodologies. During the three months ended March 31, 2025 and year ended December 31, 2024, there were no transfers between levels.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short and long-term investments are classified as available-for-sales securities. As of March 31, 2025, the remaining contractual maturities of the available-for-sales securities were 1 to 18 months, the balance in the Company’s accumulated other comprehensive income was comprised of activity related to the Company’s available-for-sale securities. There were no realized gains or losses recognized on the sale or maturity of available-for-sale securities during the three months ended March 31, 2025 and 2024. As a result, the Company did not reclassify any amounts out of accumulated other comprehensive income for the same period. The Company had a limited number of available-for-sale securities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insignificant loss positions as of March 31, 2025, which the Company does not intend to sell and has concluded will not be required to sell before recovery of amortized cost for the investment maturity.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7"/>
                <w:szCs w:val="17"/>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3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8"/>
        </w:trPr>
        <w:tc>
          <w:tcPr>
            <w:tcW w:w="2900" w:type="dxa"/>
            <w:vAlign w:val="bottom"/>
            <w:tcBorders>
              <w:top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16"/>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47,253</w:t>
            </w:r>
          </w:p>
        </w:tc>
      </w:tr>
      <w:tr>
        <w:trPr>
          <w:trHeight w:val="216"/>
        </w:trPr>
        <w:tc>
          <w:tcPr>
            <w:tcW w:w="20" w:type="dxa"/>
            <w:vAlign w:val="bottom"/>
          </w:tcPr>
          <w:p>
            <w:pPr>
              <w:spacing w:after="0"/>
              <w:rPr>
                <w:sz w:val="18"/>
                <w:szCs w:val="18"/>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64,020</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117,617</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117,660</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7"/>
                <w:szCs w:val="17"/>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3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9"/>
        </w:trPr>
        <w:tc>
          <w:tcPr>
            <w:tcW w:w="2900" w:type="dxa"/>
            <w:vAlign w:val="bottom"/>
            <w:tcBorders>
              <w:top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r>
      <w:tr>
        <w:trPr>
          <w:trHeight w:val="216"/>
        </w:trPr>
        <w:tc>
          <w:tcPr>
            <w:tcW w:w="20" w:type="dxa"/>
            <w:vAlign w:val="bottom"/>
          </w:tcPr>
          <w:p>
            <w:pPr>
              <w:spacing w:after="0"/>
              <w:rPr>
                <w:sz w:val="18"/>
                <w:szCs w:val="18"/>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short-term debt securities with original maturities of less than 90 days are included in cash and cash equivalents on the condensed consolidated balance sheets and are not included in the table above.</w:t>
      </w:r>
    </w:p>
    <w:p>
      <w:pPr>
        <w:spacing w:after="0" w:line="171"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deposits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r>
      <w:tr>
        <w:trPr>
          <w:trHeight w:val="21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0"/>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7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w:t>
            </w:r>
          </w:p>
        </w:tc>
      </w:tr>
      <w:tr>
        <w:trPr>
          <w:trHeight w:val="20"/>
        </w:trPr>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development and manufacturing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0"/>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39,371</w:t>
            </w: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various leases for office space, which are accounted for as operating leases and generally have terms of less than two years in length, some of which have the option to renew. The Company recognizes monthly operating lease expense on a straight-line basis over the term of the lease as general and administrative expenses in the condensed consolidated statements of operations and comprehensive loss. Variable lease expense relates primarily to office lease common area maintenance, insurance, and property taxes, and it is expensed as incurred. Variable lease expense is also excluded from the calculation of lease liabilities and right-of-use-assets.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minimum lease payments under the Company’s operating leases are expected to be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00" w:type="dxa"/>
            <w:vAlign w:val="bottom"/>
          </w:tcPr>
          <w:p>
            <w:pPr>
              <w:spacing w:after="0"/>
              <w:rPr>
                <w:sz w:val="18"/>
                <w:szCs w:val="18"/>
                <w:color w:val="auto"/>
              </w:rPr>
            </w:pPr>
          </w:p>
        </w:tc>
        <w:tc>
          <w:tcPr>
            <w:tcW w:w="220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0"/>
        </w:trPr>
        <w:tc>
          <w:tcPr>
            <w:tcW w:w="5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Bristol-Myers Squibb</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August 2023, the Company entered into a license and collaboration agreement (the “BMS Agreement”) with BMS,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 BMS Agreement, BMS paid the Company a one-time non-refundable upfront cash payment of $50.0 million. The Company is entitled to receive further separate development, regulatory milestone payments from BMS of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will continue to perform and oversee the ongoing Phase 3 trial of obexelimab in the IgG4-RD indication and BMS will participate in the performance of the study.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with a customer and reimbursement payments received by the Company for global development activities are accounted for as a reduction of the related research and development expenses.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$1.7 million and $1.0 million, respectively, as a receivable included in prepaid expenses and other current assets. The Company recorded $1.7 million and $1.0 million for the three months ended March 31, 2025 and 2024, respectively, as a reduction to research and development expense for global development costs to be reimbursed by BMS. The Company did not recognize revenue related to the BMS Agreement during the three months ended March 31, 2025 and 2024.</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Tenacia Biotechnology Co. Novation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a novation agreement with Tenacia Biotechnology (Hong Kong) Co., Limited (“Tenacia”), under which the Company transferred its rights and obligations under the agreements with Dianthus to Tenacia (the “Tenacia Agreement”). Pursuant to the Tenacia Agreement, the Company, transferred all the ZB005 inventory, analytical methods and manufacturing records generated, under the Dianthus Option Agreement and License Agreement (collectively the “Dianthus Agreements”) to Tenacia, for the exclusive right to research, develop, manufacture and commercialize products within China, Hong Kong, Macau and Taiwan (“greater China”). As a result of the Tenacia Agreement, the Company has no further obligations to Dianthus pursuant to the Dianthus Agreements.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Tenacia Agreement, Tenacia paid the Company a one-time non-refundable upfront cash payment of $5.0 million, which was recognized as revenue in the fourth quarter of 2024. The Company is entitled to receive further development, regulatory and sales milestones from Tenacia of up to approximately $86.0 million if certain milestones are successfully achieved. The Company did not recognize revenue related to the Tenacia Agreement during the three months ended March 31, 2025 and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Zai Lab (Hong Kong) Limited</w:t>
      </w:r>
    </w:p>
    <w:p>
      <w:pPr>
        <w:spacing w:after="0" w:line="22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 January 2025, the Company entered into a license agreement (the “Zai License Agreement”), with Zai, under which the Company granted Zai an exclusive sublicense to develop, manufacture and commercialize ZB001 and related programs in greater China. Under the Zai Agreement, Zai will be responsible for conducting all research and development activities, manufacturing, regulatory and commercialization in greater China.</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Zai Agreement, Zai paid the Company a one-time non-refundable upfront cash payment of $10.0 million. The Company is entitled to receive further development, regulatory and sales milestones from Zai up to approximately $117.0 million if certain milestones are successfully achieved, with passthrough obligations of $21.0 million due to Viridian. The Company is also eligible to receive tiered royalties on net sales in greater China, ranging from the low to mid-single digits, net of passthrough obligations due to Viridian.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evaluated the terms of the Zai Agreement and determined it is within the scope of ASC 606. The Company identified the following promises in the Zai Agreement that were evaluated under the scope of ASC 606: (i) transfer of the license for ZB001, (ii) licensed technology transfer (iii) licensed material transfer and (iv) continued licensed technology transfer. The Company also evaluated whether certain options outlined in the Zai Agreement represented material rights that would give rise to a performance obligation and concluded that none of the options conveyed a material right to Zai or were immaterial and, therefore, are not considered separate performance obligations within the Zai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assessed the above promises and determined that the license for ZB001 and technology transfer are a combined distinct performance obligation within the scope of ASC 606. The licensed material transfer and the continued technology know-how transfer services are promises that are separately identifiable and considered to be distinct. The Company determined the transfer of the licensed materials and continued technology know-how transfer services were immaterial in the context of the contract based on the minimal resources required to fulfill the obligations and the estimated standalone selling price of the licensed materials. Therefore, the sublicense and technology transfer represent a single performance obligation at contract inception.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concluded that the transaction price of $10.0 million was allocated to the combined performance obligation, which was recognized upon delivery prior to March 31, 2025. The Company used the most likely amount method to estimate variable consideration and estimated that the most likely amount for each potential developmental and regulatory variable consideration milestone payment under the agreement is zero, as achievement of those milestones is uncertain and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and royalty based milestones structured on the level of sales, were also excluded from the transaction price, as the license is deemed to be the predominant item to which the transaction price relates. The Company will recognize such milestone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royalty revenue at the later of (i) when the related sales occur, or (ii) when the performance obligation to which some or all of the royalty has been allocated has been satisfied (or partially satisfied).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2025, no milestones were achieved or deemed probable of achievement.</w:t>
      </w:r>
    </w:p>
    <w:p>
      <w:pPr>
        <w:spacing w:after="0" w:line="221"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Agreements with Xencor,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Xencor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September 2020, the Company entered into a license agreement (the “2020 Xencor Agreement”) with Xencor, Inc. (“Xencor”), under which the Company is required to pay Xencor tiered royalties on annual net sales of successfully commercialized products, including ZB002 and ZB004. The royalty percentage rates vary by geographic areas as defined in the 2020 Xencor Agreement and range from the mid-single digits to mid-teens. The Company is also obligated to reimburse Xencor for third-party costs incurred for certain patent filings, prosecution and maintenance as further specified in the 2020 Xencor Agreement. During the three months ended March 31, 2025 and 2024, the Company incurred no such reimbursable costs.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Xencor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May 2021, the Company entered into a license agreement with Xencor (the “2021 Xencor Agreement”), under which the Company obtained an exclusive, royalty-bearing, sublicensable worldwide license to research, develop, manufacture, market and sell obexelimab. The Company is also obligated to make regulatory milestone payments up to $75.0 million and one-time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percentages varying based on regions and ranging from the mid-single digits to the mid-teens.</w:t>
      </w:r>
    </w:p>
    <w:p>
      <w:pPr>
        <w:spacing w:after="0" w:line="189"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no reimbursable patent-related costs,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Viridian Therapeutics, Inc.</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October 2020, the Company entered into a license agreement with Viridian Therapeutics, Inc. (the “Viridian Agreement”) to obtain an exclusive, royalty-bearing, sublicensable license to research, develop, manufacture, market and sell certain antibody product candidates based on Viridian’s proprietary technology. The Company’s license rights are limited to non-oncology indications and are limited to China, Hong Kong, Macau and Taiwan (“Zenas Territories”). Viridian retains its rights to develop and commercialize such product candidates outside of the Zenas Territories. In December 2021, the Company and Viridian entered into two letter agreements to authorize initiation of certain manufacturing and development activities related to the licensed product candidate, ZB001. Under the terms of the letter agreements, Viridian engaged a third-party contract manufacturer to initiate certain work related to ZB001. In May 2022, the Company entered into a manufacturing development and supply agreement (“Viridian Supply Agreement”). In January 2025, the Company entered into a third amendment to the Viridian Agreement, under which the Company is obligated to make development and sales milestone payments to Viridian, totaling $21.0 million, based on achievement of certain specified development and sales milestones, and royalties on net sales.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Company entered the Zai License Agreement under which the Company granted Zai an exclusive sublicense to develop, manufacture and commercialize ZB001 and related programs in greater China. In connection with the Zai License Agreement, the Company assigned the Viridian Supply Agreement to Zai. For additional information on the Zai Agreement, please </w:t>
      </w:r>
      <w:r>
        <w:rPr>
          <w:rFonts w:ascii="Times New Roman" w:cs="Times New Roman" w:eastAsia="Times New Roman" w:hAnsi="Times New Roman"/>
          <w:sz w:val="18"/>
          <w:szCs w:val="18"/>
          <w:i w:val="1"/>
          <w:iCs w:val="1"/>
          <w:color w:val="auto"/>
        </w:rPr>
        <w:t>see License Agreement with Zai Lab (Hong Kong) Limited</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7 – License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to these condensed consolidated financial statements.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no expense related to Viridian contract manufacturing organization (“CMO”) costs. Viridian has agreed to reimburse the Company for certain services the Company performs on Viridian’s behalf, with reimbursements being recorded as a reduction in research and development expenses. During the three months ended March 31, 2025, the Company recorded $0.1 million in reimbursable expenses. During the three months ended March 31, 2024, the Company had no reimbursable expenses. Additionally, during the three months ended March 31, 2025 and 2024, no milestones were achieved.</w:t>
      </w:r>
    </w:p>
    <w:p>
      <w:pPr>
        <w:spacing w:after="0" w:line="183" w:lineRule="exact"/>
        <w:rPr>
          <w:sz w:val="20"/>
          <w:szCs w:val="20"/>
          <w:color w:val="auto"/>
        </w:rPr>
      </w:pPr>
    </w:p>
    <w:p>
      <w:pPr>
        <w:ind w:left="700" w:hanging="650"/>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September 2024, upon the completion of the IPO, the Company restated its certificate of incorporation, pursuant to which the Company is authorized to issue 175,000,000 shares of $0.0001 par value common stock. The voting, dividend and liquidation rights of the holders of the Company’s common stock were subject to and qualified by the rights, powers and preference of the holders of any preferred stock then issued and outstanding.</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(and written actions in lieu of meetings), and there are no cumulative voting rights.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had reserved the following shares of common stock for the potential conversion of outstanding stock options: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7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8,670,569</w:t>
            </w: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shares reserved for future issuance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2,456,222</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359,399</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815,890</w:t>
            </w:r>
          </w:p>
        </w:tc>
        <w:tc>
          <w:tcPr>
            <w:tcW w:w="16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397,956</w:t>
            </w: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11,942,681</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9,463,552</w:t>
            </w:r>
          </w:p>
        </w:tc>
      </w:tr>
      <w:tr>
        <w:trPr>
          <w:trHeight w:val="20"/>
        </w:trPr>
        <w:tc>
          <w:tcPr>
            <w:tcW w:w="5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0" w:right="6219" w:hanging="10"/>
        <w:spacing w:after="0" w:line="464" w:lineRule="auto"/>
        <w:tabs>
          <w:tab w:leader="none" w:pos="70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2024 Plan</w:t>
      </w: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3, 2024, the Board of Directors (the “Board”) adopted the 2024 Equity Incentive Plan (the “2024 Plan”), which became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w:t>
      </w:r>
    </w:p>
    <w:p>
      <w:pPr>
        <w:spacing w:after="0" w:line="13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number of shares reserved and available for issuance under the 2024 Plan will automatically increase each January 1, beginning on January 1, 2025 through January 1, 2034, by the number of shares equal to the lesser of (i) five percent of the aggregate number of shares of common stock outstanding as of such date, and (ii) a number of shares as may be determined by the Board on or prior to such date. In January 2025, the number of shares of common stock available for issuance under the Company’s 2024 Plan, was increased by 2,089,670 shares of common stock due to the automatic annual provision to increase shares of common stock available under the 2024 Plan. As of March 31, 2025, 2,456,222 shares of common stock were available for issuance under the 2024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ind w:left="60" w:right="139"/>
        <w:spacing w:after="0" w:line="236" w:lineRule="auto"/>
        <w:rPr>
          <w:sz w:val="20"/>
          <w:szCs w:val="20"/>
          <w:color w:val="auto"/>
        </w:rPr>
      </w:pPr>
      <w:r>
        <w:rPr>
          <w:rFonts w:ascii="Times New Roman" w:cs="Times New Roman" w:eastAsia="Times New Roman" w:hAnsi="Times New Roman"/>
          <w:sz w:val="17"/>
          <w:szCs w:val="17"/>
          <w:color w:val="auto"/>
        </w:rPr>
        <w:t>The Company has granted stock-based awards with either service or performance based vesting conditions. Compensation expense related to awards to employees and directors with service based vesting conditions is recognized on a straight-line</w:t>
      </w:r>
    </w:p>
    <w:p>
      <w:pPr>
        <w:ind w:left="60" w:right="99"/>
        <w:spacing w:after="0" w:line="218" w:lineRule="auto"/>
        <w:rPr>
          <w:sz w:val="20"/>
          <w:szCs w:val="20"/>
          <w:color w:val="auto"/>
        </w:rPr>
      </w:pPr>
      <w:r>
        <w:rPr>
          <w:rFonts w:ascii="Times New Roman" w:cs="Times New Roman" w:eastAsia="Times New Roman" w:hAnsi="Times New Roman"/>
          <w:sz w:val="18"/>
          <w:szCs w:val="18"/>
          <w:color w:val="auto"/>
        </w:rPr>
        <w:t>basis based on the grant date fair value over the associated service period of the award, which is generally the vesting term. Compensation expense related to awards to employees with performance based vesting conditions is recognized based on the grant date fair value once the achievement of the performance condition is probable.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and related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 -</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March 31, 2025</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8,670,569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1,434,494</w:t>
            </w:r>
          </w:p>
        </w:tc>
        <w:tc>
          <w:tcPr>
            <w:tcW w:w="1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as</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March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8,670,569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stock options is calculated as the difference between the exercise price of the options and the fair value of the Company’s common stock for those stock options that had an exercise price lower than the fair value of the Company’s common stock as of the measurement date of March 31, 2025.</w:t>
      </w:r>
    </w:p>
    <w:p>
      <w:pPr>
        <w:spacing w:after="0" w:line="13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2025, there was $68.4 million of unrecognized stock-based compensation related to stock options, which is expected to be recognized over a weighted-average period of 3.15 years.</w:t>
      </w:r>
    </w:p>
    <w:p>
      <w:pPr>
        <w:spacing w:after="0" w:line="12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equity awards to employees and directors in the condensed consolidated statement of operations as follows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02"/>
        </w:trPr>
        <w:tc>
          <w:tcPr>
            <w:tcW w:w="39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3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0"/>
        </w:trPr>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3, 2024, the Board adopted the 2024 Employee Stock Purchase Plan (the “ESPP”), which became effective immediately prior to the effectiveness of the registration statement for the Company’s IPO. The number of shares of common stock available under the ESPP will automatically increase on January 1st of each year, beginning on January 1, 2025 through January 1, 2034, by the number of shares equal to the lesser of (i) one percent of the aggregate number of shares of common stock outstanding as of such date, and (ii) a number of shares as may be determined by the Board on or prior to such date, up to a maximum of 1,000,000 shares in the aggregate per year. On January 1, 2025, the number of shares of common stock authorized for issuance under the ESPP increased automatically by 417,934 shares and as of March 31, 2025, a total of 815,890 shares were available for future issuance under the ESPP. There were no shares issued under the ESPP during the three months ended March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00" w:hanging="650"/>
        <w:spacing w:after="0"/>
        <w:tabs>
          <w:tab w:leader="none" w:pos="7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(33,573)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6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41,800,802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1,554,087</w:t>
            </w:r>
          </w:p>
        </w:tc>
        <w:tc>
          <w:tcPr>
            <w:tcW w:w="0" w:type="dxa"/>
            <w:vAlign w:val="bottom"/>
          </w:tcPr>
          <w:p>
            <w:pPr>
              <w:spacing w:after="0"/>
              <w:rPr>
                <w:sz w:val="1"/>
                <w:szCs w:val="1"/>
                <w:color w:val="auto"/>
              </w:rPr>
            </w:pPr>
          </w:p>
        </w:tc>
      </w:tr>
      <w:tr>
        <w:trPr>
          <w:trHeight w:val="151"/>
        </w:trPr>
        <w:tc>
          <w:tcPr>
            <w:tcW w:w="54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common stockholders - basic and</w:t>
            </w:r>
          </w:p>
        </w:tc>
        <w:tc>
          <w:tcPr>
            <w:tcW w:w="160" w:type="dxa"/>
            <w:vAlign w:val="bottom"/>
            <w:shd w:val="clear" w:color="auto" w:fill="CCEEFF"/>
          </w:tcPr>
          <w:p>
            <w:pPr>
              <w:spacing w:after="0"/>
              <w:rPr>
                <w:sz w:val="13"/>
                <w:szCs w:val="13"/>
                <w:color w:val="auto"/>
              </w:rPr>
            </w:pPr>
          </w:p>
        </w:tc>
        <w:tc>
          <w:tcPr>
            <w:tcW w:w="1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(0.80)</w:t>
            </w:r>
          </w:p>
        </w:tc>
        <w:tc>
          <w:tcPr>
            <w:tcW w:w="2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2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March 31, 2025 and 2024 because including them would have had an anti-dilutive effect: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199"/>
        </w:trPr>
        <w:tc>
          <w:tcPr>
            <w:tcW w:w="5120" w:type="dxa"/>
            <w:vAlign w:val="bottom"/>
          </w:tcPr>
          <w:p>
            <w:pPr>
              <w:spacing w:after="0"/>
              <w:rPr>
                <w:sz w:val="17"/>
                <w:szCs w:val="17"/>
                <w:color w:val="auto"/>
              </w:rPr>
            </w:pP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60" w:type="dxa"/>
            <w:vAlign w:val="bottom"/>
            <w:gridSpan w:val="3"/>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100,617,681</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8,670,569</w:t>
            </w:r>
          </w:p>
        </w:tc>
        <w:tc>
          <w:tcPr>
            <w:tcW w:w="2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2,403,183</w:t>
            </w:r>
          </w:p>
        </w:tc>
      </w:tr>
    </w:tbl>
    <w:p>
      <w:pPr>
        <w:spacing w:after="0" w:line="200" w:lineRule="exact"/>
        <w:rPr>
          <w:sz w:val="20"/>
          <w:szCs w:val="20"/>
          <w:color w:val="auto"/>
        </w:rPr>
      </w:pPr>
    </w:p>
    <w:p>
      <w:pPr>
        <w:spacing w:after="0" w:line="237" w:lineRule="exact"/>
        <w:rPr>
          <w:sz w:val="20"/>
          <w:szCs w:val="20"/>
          <w:color w:val="auto"/>
        </w:rPr>
      </w:pPr>
    </w:p>
    <w:p>
      <w:pPr>
        <w:ind w:left="700" w:hanging="650"/>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 has entered into arrangements for leases of office space; see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for details.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5"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The Company entered into license agreements under which it is obligated to make fixed and contingent payments;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 License Agreements</w:t>
      </w:r>
      <w:r>
        <w:rPr>
          <w:rFonts w:ascii="Times New Roman" w:cs="Times New Roman" w:eastAsia="Times New Roman" w:hAnsi="Times New Roman"/>
          <w:sz w:val="18"/>
          <w:szCs w:val="18"/>
          <w:color w:val="auto"/>
        </w:rPr>
        <w:t>, for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Contracts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 As of March 31, 2025, our total non-cancellable clinical manufacturing contract payment obligations are $18.4 million of which the full obligation is payable within 12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officers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March 31, 2025.</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 and Other Proceedings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the ordinary course of business. As of March 31, 2025, the Company was not subject to any material legal proceedings which would reasonably be expected to have a material adverse effect on the Company’s financial results.</w:t>
      </w:r>
    </w:p>
    <w:p>
      <w:pPr>
        <w:spacing w:after="0" w:line="172"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Xencor, Inc.</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obtained exclusive, worldwide licenses from Xencor to research, develop, manufacture, market and sell three antibody product candidates pursuant to two license agreements. The Company has concluded that Xencor is a related party, due to the issuance of convertible preferred stock in December 2020 and April 2023. In connection with the completion of the IPO, in September 2024, all outstanding shares of preferred stock converted into shares of common stock. As of March 31, 2025, Xencor held less than 10% of shares of the Company’s outstanding common stock.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Viridian Therapeutics, Inc.</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obtained a license from Viridian to research, develop, manufacture, market and sell an antibody product candidate in China. The Company has concluded that Viridian is a related party because although Fairmount Funds Management LLC owns less than 10% of shares of the Company’s outstanding common stock, they have a seat on the Board and are also a 10% or greater stockholder of Viridian and have two seats on Viridian’s board of directors. As initial consideration for this license, the Company issued 38,707 shares of its common stock to Viridian during the year ended December 31, 2020. As of March 31, 2025, Viridian held 0.1% of shares of the Company’s outstanding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Zai Lab (Hong Kong) Limited</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granted a sublicense to Zai to develop, manufacture and commercialize ZB001 and related programs in greater China. The Company has concluded that Zai is a related party, as the Company’s CEO and Chairman is a member of Zai’s board of directors.</w:t>
      </w:r>
    </w:p>
    <w:p>
      <w:pPr>
        <w:spacing w:after="0" w:line="174"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these arrangements, please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Agreements, </w:t>
      </w:r>
      <w:r>
        <w:rPr>
          <w:rFonts w:ascii="Times New Roman" w:cs="Times New Roman" w:eastAsia="Times New Roman" w:hAnsi="Times New Roman"/>
          <w:sz w:val="18"/>
          <w:szCs w:val="18"/>
          <w:color w:val="auto"/>
        </w:rPr>
        <w:t>to these condensed consolidated financial statements.</w:t>
      </w:r>
    </w:p>
    <w:p>
      <w:pPr>
        <w:spacing w:after="0" w:line="156" w:lineRule="exact"/>
        <w:rPr>
          <w:sz w:val="20"/>
          <w:szCs w:val="20"/>
          <w:color w:val="auto"/>
        </w:rPr>
      </w:pPr>
    </w:p>
    <w:p>
      <w:pPr>
        <w:ind w:left="700" w:hanging="650"/>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 xml:space="preserve">The Company manages its operations on a consolidated basis as a single reportable segment focused on the research and development of precision immunology-based therapies. The accounting policies of the single reportable segment are identical to those described in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When evaluating the Company’s financial performance, the Company’s chief operating decision-maker (the “CODM”), its Chief Executive Officer regularly reviews consolidated net loss, total expense and direct expenses by program and compared to budget. The CODM</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allocates resources based on the Company’s available cash resources, forecasted expenditures on a consolidated basis, as well as an assessment of the probability of success of its research and development activities on a program basis. Segment asset information regularly provided to the CODM is consistent with that reported on the consolidated balance sheets with particular emphasis on the Company’s available liquidity, including its cash, cash equivalents and marketable securities balances. Revenue is primarily attributed to individual countries based on the entity owning the license, During the three months ended March 31, 2025, revenue was attributed to Zenas HK. The Company did not recognize revenue during the three months ended March 31, 2024.</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r>
      <w:tr>
        <w:trPr>
          <w:trHeight w:val="199"/>
        </w:trPr>
        <w:tc>
          <w:tcPr>
            <w:tcW w:w="496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10,000</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Direct research and development expenses:</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Obexelimab</w:t>
            </w:r>
          </w:p>
        </w:tc>
        <w:tc>
          <w:tcPr>
            <w:tcW w:w="136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23,491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16"/>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136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16"/>
        </w:trPr>
        <w:tc>
          <w:tcPr>
            <w:tcW w:w="49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Unallocated research and development</w:t>
            </w:r>
            <w:r>
              <w:rPr>
                <w:rFonts w:ascii="Times New Roman" w:cs="Times New Roman" w:eastAsia="Times New Roman" w:hAnsi="Times New Roman"/>
                <w:sz w:val="25"/>
                <w:szCs w:val="25"/>
                <w:color w:val="auto"/>
                <w:vertAlign w:val="superscript"/>
              </w:rPr>
              <w:t>2</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9,541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16"/>
        </w:trPr>
        <w:tc>
          <w:tcPr>
            <w:tcW w:w="49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3</w:t>
            </w:r>
          </w:p>
        </w:tc>
        <w:tc>
          <w:tcPr>
            <w:tcW w:w="136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8,610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5,386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496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1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(3,757)</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r>
      <w:tr>
        <w:trPr>
          <w:trHeight w:val="20"/>
        </w:trPr>
        <w:tc>
          <w:tcPr>
            <w:tcW w:w="4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60" w:right="79" w:hanging="10"/>
        <w:spacing w:after="0" w:line="195" w:lineRule="auto"/>
        <w:tabs>
          <w:tab w:leader="none" w:pos="141"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Direct research and development expenses primarily consist of direct costs incurred to specific program research and development activities, including costs to conduct clinical trials and to manufacture clinical drug supply.</w:t>
      </w:r>
    </w:p>
    <w:p>
      <w:pPr>
        <w:spacing w:after="0" w:line="177" w:lineRule="exact"/>
        <w:rPr>
          <w:sz w:val="20"/>
          <w:szCs w:val="20"/>
          <w:color w:val="auto"/>
        </w:rPr>
      </w:pPr>
    </w:p>
    <w:p>
      <w:pPr>
        <w:jc w:val="both"/>
        <w:ind w:left="60" w:right="79" w:hanging="10"/>
        <w:spacing w:after="0" w:line="202" w:lineRule="auto"/>
        <w:tabs>
          <w:tab w:leader="none" w:pos="15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Unallocated research and development expenses primarily consist of indirect costs incurred in support of overall research and development activities and non-specific programs, including activities that benefit multiple programs, such as personnel costs for employees involved in research and development activities, excluding stock-based compensation, as well as contract services not allocated to specific programs.</w:t>
      </w:r>
    </w:p>
    <w:p>
      <w:pPr>
        <w:spacing w:after="0" w:line="178" w:lineRule="exact"/>
        <w:rPr>
          <w:sz w:val="20"/>
          <w:szCs w:val="20"/>
          <w:color w:val="auto"/>
        </w:rPr>
      </w:pPr>
    </w:p>
    <w:p>
      <w:pPr>
        <w:ind w:left="60" w:right="79" w:hanging="10"/>
        <w:spacing w:after="0" w:line="195" w:lineRule="auto"/>
        <w:tabs>
          <w:tab w:leader="none" w:pos="141"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General and administrative expenses primarily consist of professional fees, depreciation expense, facilities expenses as well as all other personnel costs, excluding stock-based compensation.</w:t>
      </w:r>
    </w:p>
    <w:p>
      <w:pPr>
        <w:spacing w:after="0" w:line="177" w:lineRule="exact"/>
        <w:rPr>
          <w:sz w:val="20"/>
          <w:szCs w:val="20"/>
          <w:color w:val="auto"/>
        </w:rPr>
      </w:pPr>
    </w:p>
    <w:p>
      <w:pPr>
        <w:ind w:left="60" w:right="59" w:hanging="10"/>
        <w:spacing w:after="0" w:line="195" w:lineRule="auto"/>
        <w:tabs>
          <w:tab w:leader="none" w:pos="15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segment items consist of other income (expense), net and income tax benefit (provision). Other income (expense), net consists of interest income and realized and unrealized gains and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and the audited financial information and the notes thereto included in our Annual Report on Form 10-K that was filed with the Securities and Exchange Commission, or SEC, on March 11, 2025. This discussion and analysis contains forward-looking statements based upon current beliefs, plans, and expectations related to future events and our future performance that involves risks, uncertainties, and assumptions, such as statements regarding our intentions, plans, objectives, and expectations for our business. Our actual results and the timing of events could differ materially from those discussed in these forward-looking statements as a result of several factors, including those set forth in the section titled “Risk Factors” in this Quarterly Report on Form 10-Q. See also the section titled “Special Note Regarding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developing obexelimab as a potential I&amp;I franchise for patients in several autoimmune diseases, representing substantial commercial opportunities individually and in the aggregate. The first three indications we are pursuing include IgG4-RD through an ongoing registration-directed Phase 3 trial, and relapsing multiple sclerosis (“RMS”) and systemic lupus erythematosus (“SLE”) through ongoing Phase 2, double-blind, randomized, placebo-controlled trials, each of which are currently enrolling.</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Beyond our lead product candidate, obexelimab, we have two other programs for the potential treatment of other I&amp;I indications that we may continue to advance and ultimately commercialize with partners. These consist of ZB002 and ZB004. We retain global rights for both assets. In addition, we hold the development and commercialization rights to one regional program, ZB001, and related programs, which were exclusively sublicensed to a partner in China, as discussed below.</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16, 2024, we completed our initial public offering (“IPO”) in which we issued and sold an aggregate of 15,220,588 shares of our common stock, including 1,985,294 shares of common stock sold pursuant to the full exercise of the underwriter’s option to purchase additional shares, at a public offering price of $17.00 per share, for aggregate gross proceeds of $258.7 million. We received $234.3 million in net proceeds after deducting underwriting discounts, commissions and other offering expenses.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October 21, 2024, we entered into the Novation Agreement with Tenacia, under which we transferred our rights and obligations under our agreements with Dianthus to Tenacia for ZB005. As partial consideration for the Tenacia Agreement, we received a non-creditable, non-refundable upfront fee of $5.0 million from Tenacia. In addition, we are eligible to receive up to $86.0 million upon the achievement of certain future regulatory and commercial milestones.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24, 2025, the Company entered into the Zai License Agreement, with Zai, under which the Company granted Zai an exclusive sublicense to develop and commercialize ZB001 and related programs in greater China. As partial consideration for the Zai License Agreement, the Company received an upfront fee of $10.0 million from Zai. In addition, the Company is eligible to receive up to $96.0 million upon the achievement of certain future development and commercial milestones and royalty percentage rates from the low to mid-single digits, net of pass-through obligations due to Viridian.</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March 31, 2025, we have financed our operations primarily with the proceeds from the issuance of convertible preferred stock, our convertible notes, payments received under our license and collaboration agreements and from the sale of common stock in our IPO completed in September 2024.</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three months ended March 31, 2025 and 2024, were $33.6 million and $27.8 million, respectively. As of March 31, 2025, we had an accumulated deficit of $421.0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189"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and our other programs;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program and our other product candidates through preclinical development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and defend our intellectual property portfolio, including against third-party interference, infringement and other intellectual property claims, if any;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hire and retain qualified clinical, scientific, operations and management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cannot assure investors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expect to continue to incur significant losses for the foreseeable future as we continue to advance the development of our product candidates and incur additional costs associated with being a public company. Our net losses may fluctuate significantly from period to period, depending on the timing of our planned clinical studies and expenditures related to our research and development activities. Cash used to fund operating expenses is impacted by the timing of when we pay these expenses, as reflected in the change in our accounts payable and accrued research and development and other current liabilities.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need to continue to raise substantial additional capital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prospects,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2025, we had $314.2 million in cash, cash equivalents and investments. We believe that our cash, cash equivalents and investments as of March 31, 2025 will be sufficient to fund our operations and capital expenditure requirements into the fourth quarter of 2026. We have based this estimate on our current assumptions, which may prove to be wrong, and we may exhaust our available capital resources sooner than we expect. See section titled “Liquidity and Capital Resources”.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current geopolitical, trade, regulatory and economic environment, including, but not limited to the imposition of new tariffs or increases in tariff rates and other trade measures, may materially affect our business and operating results by increasing the costs of our clinical trial materials and supplies, which in turn increase our overhead costs.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Such economic conditions could increase our operating costs, including our labor costs and research and development costs. For example, we import drug products and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components from and into China for use in the manufacturing process and in our clinical studies, and such components and products are subject to tariffs, which we anticipate will result in increased costs. Our operating and labor costs and research and development costs may also be negatively impacted due to supply chain constraints, global geopolitical tensions, worsening macroeconomic conditions and employee availability and wage increases, which may result in additional stress on our working capital.</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we are subject to other challenges and risk specific to our business and our ability to execute on our strategy, as well as risks and uncertainties common to companies in the clinical stage biopharmaceutical industry.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is generated from our BMS Agreement, our Tenacia Agreement and our Zai License Agreement.</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Tenacia Agreement, we transferred our rights, title, interest, liabilities, duties and obligations under the Option and License Agreements with Dianthus to Tenacia for ZB005. The revenue recognized to date pursuant to this arrangement relates to the novation of the ZB005 license, asset transfer and technology transfer, which was recognized upon delivery of the license, related assets and technology transfer. We will recognize development and regulatory milestones as defined in the Tenacia Agreement when the achievement of the underlying milestone events is deemed probable, which is expected to be upon achievement. Sales milestones and royalties on future sales will be recognized in the period the related sales occur.</w:t>
      </w:r>
    </w:p>
    <w:p>
      <w:pPr>
        <w:spacing w:after="0" w:line="18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Pursuant to the Zai License Agreement, we granted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future development and commercial milestones and royalty percentage rates from the low to mid-single digits, net of pass-through obligations due to Viridian.</w:t>
      </w:r>
    </w:p>
    <w:p>
      <w:pPr>
        <w:spacing w:after="0" w:line="181"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For a more detailed description of these agreements,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xml:space="preserve"> to our condensed consolidated financial statements in this Quarterly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preclinical and clinical development of obexelimab, ZB002, ZB004, ZB001 and ZB005 and include: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 Costs:</w:t>
      </w:r>
    </w:p>
    <w:p>
      <w:pPr>
        <w:spacing w:after="0" w:line="227"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consultants that conduct our 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CMOs for manufacturing material for our preclinical studies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and maintain licenses to intellectual property, and related future payments should milestones described in those agreements be achieved;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Indirect Costs:</w:t>
      </w:r>
    </w:p>
    <w:p>
      <w:pPr>
        <w:spacing w:after="0" w:line="227"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activities;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these external development activities are based on the terms of the individual agreements, which may differ from the pattern of costs incurred, and are reflected in our condensed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Where we share costs with our collaboration partners, such as in our BMS Agreement, research and development expenses may include cost sharing reimbursements from our partner.</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187"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clinical studies and other research and development activities associated with the development of our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U.S. Food and Drug Administration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our product candidates if approved;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as well as tariffs that impact the biopharmaceutical industry generally;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Investigational New Drug Application (“IND”), we could be required to expend significant additional financial resources and time to complete clinical development than we currently expect. We may never obtain regulatory approval for any product candidates that we develop.</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22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 We will also incur pre-commercialization expenses to facilitate commercial readiness, if a product candidate is approved.</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income (expense), net primarily consists of interest income generated from cash equivalents and investments and realized and unrealized gains and losses on foreign currency transactions.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114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(37,330)</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18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recognized license and collaboration revenue of $10.0 million for the three months ended March 31, 2025, related to the one-time non-refundable upfront cash payment under the Zai License Agreement that was recognized upon delivery of the license and related technology transfer. We did not recognize any license and collaboration revenue during the three months ended March 31,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Obexelimab</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$34.9 million for the three months ended March 31, 2025, compared to $22.6 million for the three months ended March 31, 2024. The increase of $12.3 million was primarily attributable to the following:</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 million increase in costs related to the development of obexelimab, our lead product candidate, driven by a $7.4 million increase in clinical trial costs and a $3.6 million increase in manufacturing costs for clinical trial materials;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decrease in costs related to our partnered regional programs, including a $0.9 million decrease related to ZB005, largely driven by a decrease in clinical activities and a $0.6 million decrease related to ZB001 as the ongoing clinical studies were out licensed;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 million increase in personnel costs, including a $1.9 million increase in salary and benefit related expense, primarily due to an increase in headcount, a $1.2 million increase in stock-based compensation expense, and a $0.1 million increase in external contractor expense and other personnel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300" w:type="dxa"/>
            <w:vAlign w:val="bottom"/>
          </w:tcPr>
          <w:p>
            <w:pPr>
              <w:spacing w:after="0"/>
              <w:rPr>
                <w:sz w:val="18"/>
                <w:szCs w:val="18"/>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9"/>
        </w:trPr>
        <w:tc>
          <w:tcPr>
            <w:tcW w:w="52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Personnel related expenses (including stock-based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$12.4 million for the three months ended March 31,2025, compared to $4.9 million for the three months ended March 31,2025. The increase of $7.5 million was primarily attributable to the following:</w:t>
      </w:r>
    </w:p>
    <w:p>
      <w:pPr>
        <w:spacing w:after="0" w:line="176" w:lineRule="exact"/>
        <w:rPr>
          <w:sz w:val="20"/>
          <w:szCs w:val="20"/>
          <w:color w:val="auto"/>
        </w:rPr>
      </w:pPr>
    </w:p>
    <w:p>
      <w:pPr>
        <w:jc w:val="both"/>
        <w:ind w:left="380" w:right="7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 million increase in personnel costs, including a $3.3 million increase in stock-based compensation expense, a $1.8 million increase in salary and benefit related expense, primarily due to an increase in headcount, personnel associated with pre-commercialization activities, and a $0.5 million increase in recruiting expense;</w:t>
      </w:r>
    </w:p>
    <w:p>
      <w:pPr>
        <w:spacing w:after="0" w:line="17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increase in professional fees, including legal, audit and tax expenses, primarily attributable to operating as a public company; and</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increase in facilities and other expenses, is primarily attributable to facility, insurance and other variable costs related to operating as a public company.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total other income (expense), increased from the comparable period in the prior year primarily due to interest income as a result of higher cash, cash equivalents and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We have not yet commercialized any product candidates, and we do not expect to generate revenue from sales of any product candidates or from other sources for several years, if at all. As of March 31, 2025, we had $314.2 million in cash, cash equivalents, and investments and we had an accumulated deficit of $421.0 million. Through March 31, 2025, we have funded our operations primarily with gross proceeds of $358.0 million through the sale and issuance of our preferred stock, our convertible notes, as well as $65.0 million through our BMS Agreement, Tenacia Agreement and Zai Agreement, and most recently, from the sale of common stock in our IPO for which we received $234.3 million in net proceeds, after deducting underwriting discounts, commissions and other offering expenses.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our available cash, cash equivalents and investments, as of March 31, 2025, are sufficient to fund our operations and capital expenditure requirements for at least the next 12 months from the filing of this Quarterly Report. We estimate that our existing cash, cash equivalents and investments will be sufficient to fund our projected operations and capital expenditure requirements into the fourth quarter of 2026. Our primary uses of capital are, and we expect to continue to be, compensation and related expenses, third-party clinical research and development services, manufacturing costs, legal and other regulatory expenses and general overhead costs. We have based our estimates on assumptions that may prove to be incorrect, and we could use our capital resources sooner than we currently expect.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funding requirements will depend on, and could increase significantly as a result of, many factors, including:</w:t>
      </w:r>
    </w:p>
    <w:p>
      <w:pPr>
        <w:spacing w:after="0" w:line="180" w:lineRule="exact"/>
        <w:rPr>
          <w:sz w:val="20"/>
          <w:szCs w:val="20"/>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our ongoing obexelimab clinical studies and other research and development activities associated with the development of our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product candidates receive marketing approval;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implementing operational, financial and management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partnerships or marketing, distribution, licensing or other strategic arrangements with third parties on favorable terms, if at all;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milestone payments related to or royalties on, current or future product candidates, if any;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 including legal, accounting or other expenses in operating our business.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 and additional funding from licenses, strategic alliances and collaboration arrangements. Except for any obligations of our collaborators to reimburse us for research and development expenses or make milestone or royalty payments under our agreements with them, we will not have any committed external source of liquidity.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We anticipate that we will continue to incur significant losses for at least the next several years. We expect our research and development, and general and administrative expenses will continue to increase. As a result, we will need additional capital to fund our operations, which we may raise through a combination of the sale of our equity, debt financings, or other sources, including potential collaborations. To the extent that we raise capital through the future sale of equity or convertible debt securities, the ownership interest of our stockholders will be diluted, and the terms of these securities may include liquidation or other preferences that adversely affect the rights of our existing common stockholders. If we enter into debt financing arrangements, if available, they may involve restrictive covenants that limit our ability to take specific actions, such as incurring additional debt, making capital expenditures or declaring dividends, which could adversely impact our ability to conduct our business.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licenses, strategic alliances or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6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w:t>
            </w:r>
          </w:p>
        </w:tc>
        <w:tc>
          <w:tcPr>
            <w:tcW w:w="14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(86,274)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r>
      <w:tr>
        <w:trPr>
          <w:trHeight w:val="209"/>
        </w:trPr>
        <w:tc>
          <w:tcPr>
            <w:tcW w:w="6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$37.1 million, and was primarily due to our net loss of $33.6 million, partially offset by $5.4 million of stock-based compensation expense, $2.9 million increase in accounts payable, a $0.4 million increase in prepaid expenses and other assets and a $11.2 million decrease in accrued expenses. The net decrease in accounts payable and accrued expenses was primarily due to the timing of vendor payments.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$19.1 million, and was primarily due to our net loss of $27.8 million, partially offset by a $3.4 million increase in accounts payable, a $1.8 million increase in prepaid expenses and other assets, a $1.5 million increase in other current liabilities, $0.9 million of stock-based compensation expense, $0.7 million increase in the fair value of our BMS Note Liability and a $0.3 million increase in accrued expenses. The increase in accrued expenses and accounts payable was primarily due to an increase in research and development expenses, while the increase in prepaid expenses and other assets was primarily due to the timing of vendor payments.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$86.3 million and consisted primarily of proceeds from sales and maturities of investments of $12.9 million, offset by purchases of investments of $99.1 million.</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less than $0.1 million and consisted of purchases of property and equipment.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$0.1 million, resulting from $0.1 million of proceeds received from the exercise of stock options.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$0.6 million, resulting from a $0.7 million in payment of offering costs, partially offset by less than $0.1 million of proceeds received from the exercise of stock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and Other Obligations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to our contractual obligations and commitments from those described under the heading “Management’s Discussion and Analysis of Financial Condition and Results of Operations-Contractual Obligations and Commitments” in our Annual Report on Form 10-K for the fiscal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condensed consolidated financial statements, which have been prepared in accordance with U.S. generally accepted accounting principles (“GAAP”). The preparation of these condensed consolidated financial statements requires us to make judgements, assumptions and estimates that may affect the reported amounts of assets and liabilities, equity, and the disclosure of contingent assets and liabilities at the date of the condensed consolidated financial statements, and the reported amounts of expenses during the reported periods. On an ongoing basis, we evaluate our judgments, assumptions and estimates in light of changes in circumstances, facts and experiences.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effects of material revisions in estimates, if any, will be reflected in the condensed consolidated financial statements prospectively from the date of change in estimates.</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described under our “Management’s Discussion and Analysis of Financial Condition and Results of Operations – Critical Accounting Policies and Significant Judgments and Estimates” included in our Annual Report on Form 10-K for the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2029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twelve months and have filed one Annual Report on Form 10-K) or we issue more than $1.0 billion of nonconvertible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Jumpstart Our Business Startups Act of 2012, as amended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Therefore, the reported results of operations contained in our financial statements may not be directly comparable to those of other public companies.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following the IPO is less than $100.0 million during the most recently completed fiscal year. We may continue to be a smaller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in the ordinary course of our business. As of March 31, 2025, we had cash, cash equivalents and investments in marketable securities of $314.2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(“USD”). Our functional currency for Zenas BioPharma (HK) Limited, our wholly owned subsidiary in Hong Kong, is the USD, and our functional currency for Shanghai Zenas Biotechnology Co. Limited, our wholly-owned subsidiary in China, is the Chinese Yuan. Our functional currency for Zenas BioPharma GmbH, our wholly-owned subsidiary in Switzerland, is the Swiss Franc. The functional currency of our wholly-owned U.S. subsidiaries, Zenas BioPharma (USA) LLC and Zenas BioPharma Securities Corp., is the USD. Adjustments that arise from exchange rate changes on transactions denominated in a currency other than the functional currency are included in other income (expense), net in the condensed consolidated statements of operations and comprehensive loss as incurred. Realized foreign currency transaction gains (losses) were immaterial for the three months ended March 31, 2025.</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Quarterly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believe that inflation has not had a material effect on our business, or on our condensed consolidated financial statements included elsewhere in this Quarterly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defined in Rules 13a-15(e) and 15d-15(e) under the Securities Exchange Act of 1934, as amended (the “Exchange Act”), as of March 31, 2025.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Act is accumulated and communicated to our management, including our principal executive officer and principal financial officer, or person performing similar functions, as appropriate to allow timely decisions regarding required disclosures.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the evaluation of our disclosure controls and procedures as of March 31, 2025, our principal executive officer and principal financial officer concluded that, as of such date, our disclosure controls and procedures were effective at the reasonable assurance level.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for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together with the other information contained in this Quarterly Report, including in the section titled “Management’s Discussion and Analysis of Financial Condition and Results of Operations” and in our unaudited condensed consolidated financial statements and related notes contained in this Quarterly Report. The events discussed below may occur and adversely impact our business, financial condition, results of operations and prospects, which may cause the trading price of our common stock to decline. These risks and uncertainties described below are not the only ones we face. Additional risks and uncertainties not presently known to us or that we currently believe to be immaterial may also affect our business. See “Special Note Regarding Forward-Looking Statements.”</w:t>
      </w: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 company with a limited operating history on which to base an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expenses related to the clinical development of our product candidates and ongoing operations. Our net losses for the three months ended March 31, 2025 and 2024, were $33.6 million and $27.8 million, respectively. As of March 31, 2025, we had an accumulated deficit of $421.0 million. We expect to continue to incur significant losses for the foreseeable future, and we expect these losses to increase as we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advance the development of our product candidates. We may also encounter unforeseen expenses, difficulties, complications, delays and other unknown factors that may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and our other programs;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program and our other product candidates through preclinical development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continue to develop, maintain and defend our intellectual property portfolio, including against third-party interference, infringement and other intellectual property claims, if any;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Securities and Exchange Commission (the “SEC”) requirements, director and officer insurance premiums and investor relations costs.</w:t>
      </w:r>
    </w:p>
    <w:p>
      <w:pPr>
        <w:spacing w:after="0" w:line="1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Even if we succeed in commercializing one or more product candidates, we expect to incur substantial expenditures to develop and market additional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3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time 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As of March 31, 2025, we had $314.2 million in cash, cash equivalents and investments. Based upon our current operating plan, we believe that our cash, cash equivalents and investments as of March 31, 2025, will be sufficient to fund our operating expenses and capital expenditure requirements into the fourth quarter of 2026. We have based this estimate on assumptions that may prove to be wrong, and we could exhaust our available capital resources sooner than we expect. We expect to attempt to raise additional cash in advance of exhausting our available capital resources.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may not ever generate significant revenue or profits. In addition, we expect to incur costs associated with operating as a public company, including significant legal, accounting, investor relations, and other expenses that we did not incur prior to our IPO.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19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clinical studies and other research and development activities associated with the development of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arrangements with third-party manufacturers for the commercial supply of products that receive marketing approval, if 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personnel and hire additional personnel and consultants as our business grows, including additional officers and clinical development, regulatory, chemistry, manufacturing and controls, quality and commercial personnel;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25" w:lineRule="exact"/>
        <w:rPr>
          <w:sz w:val="20"/>
          <w:szCs w:val="20"/>
          <w:color w:val="auto"/>
        </w:rPr>
      </w:pPr>
    </w:p>
    <w:p>
      <w:pPr>
        <w:ind w:left="720" w:right="79" w:hanging="3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w:t>
        <w:tab/>
        <w:t>the costs and timing of establishing or securing sales and marketing capabilities for our product candidates, if approved;</w:t>
      </w:r>
    </w:p>
    <w:p>
      <w:pPr>
        <w:spacing w:after="0" w:line="162" w:lineRule="exact"/>
        <w:rPr>
          <w:sz w:val="20"/>
          <w:szCs w:val="20"/>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18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imposing restrictions on our operations or require us to relinquish rights to our product candidates.</w:t>
      </w:r>
    </w:p>
    <w:p>
      <w:pPr>
        <w:spacing w:after="0" w:line="15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stockholders’ ownership interest will be diluted, and the terms of these securities may include liquidation or other preferences that adversely affect their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87"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Candidate Development and Commercialization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80"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19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unfavorable safety profiles, notwithstanding promising results in earlier trials. Prior to our acquisition of obexelimab,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pacing w:after="0" w:line="18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such as an IND or BLA, to the FDA or a comparable foreign regulatory authority. Even after the submission of an IND or BLA, the FDA or comparable foreign regulatory authorities could disagree that their requirements to commence a clinical trial have been satisfied or disagree with the study design, which may require the completion of additional trials or the amendment of the 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19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180"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us to conduct additional preclinical studies or impose additional requirements before permitting us to initiate a clinical trial;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or clinical trial sites may deviate from trial protocols or Good Clinical Practice requirements (“GCPs”) or drop out of a trial, and we may need to add new investigators or sites;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may fail to comply with regulatory requirements or meet their contractual obligations to us in a timely manner, if at all;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observe unexpectedly high placebo response rates;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and preclinical studies may be greater than we anticipate, or we may have insufficient funds to conduct such trial or study or to pay the substantial user fees required by the FDA upon the submission of a BLA;</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our clinical trials or preclinical studies may be insufficient or inadequate to initiate or complete a given clinical trial;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that are viewed to outweigh their potential benefits;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similar therapies may raise safety, tolerability or efficacy concerns about our product candidates;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18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When we conduct preclinical and clinical research in collaboration with other academic, pharmaceutical and biotechnology entities, we risk additional delays due to the frequent need to align on decisions.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185" w:lineRule="exact"/>
        <w:rPr>
          <w:sz w:val="20"/>
          <w:szCs w:val="20"/>
          <w:color w:val="auto"/>
        </w:rPr>
      </w:pPr>
    </w:p>
    <w:p>
      <w:pPr>
        <w:ind w:left="60" w:right="4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and dosing of patients in clinical trials, delay or prevent receipt of necessary regulatory approvals.</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pacing w:after="0" w:line="19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18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18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We have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Difficulties enrolling a sufficient number of patients to conduct our clinical trials as planned could require us to delay, limit or terminate clinical trials for our product candidates, or expand to additional jurisdictions, which could impose additional challenges on our company. Failure to successfully conduct our clinical trials as planned, would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7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SAEs in our clinical trials of obexelimab administered through IV infusion.</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clinical trials of obexelimab are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18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189" w:lineRule="exact"/>
        <w:rPr>
          <w:sz w:val="20"/>
          <w:szCs w:val="20"/>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limit, suspend or withdraw approvals of such product, or may refuse to approve supplemental applications for such product;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“Boxed Warning,” contraindications or precautions, or otherwise limit the approved use of such product;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 including requiring a REMS;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it is administered in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from the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76"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the in-licensing or acquisition of product candidates could cause substantial delays in the preclinical and clinical development of our product candidates.</w:t>
      </w:r>
    </w:p>
    <w:p>
      <w:pPr>
        <w:spacing w:after="0" w:line="15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have relied on, and continue to rely on, our licensing partners, such as Xencor, to have (i) 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pacing w:after="0" w:line="18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75"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73"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trial sites and patient registration for clinical trials, as well as in acquiring technologies complementary to, or necessary for, our programs.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and SLE. In April 2025, FDA approved UPLIZNA (inebilizumab-cdon) and anti-CD19 antibody, which is the first FDA-approved therapy for the treatment of IgG4-RD in adult patients. There are also two products approved for SLE, and a number of products approved for MS. Moreover, there are a number of product candidates in clinical development by other companies for IgG4-RD, MS, and SLE that may become available in the future.</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89"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pacing w:after="0" w:line="176"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17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188"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180"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investors or others may not agree with what we determine to disclose.</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Phase 3 trial of obexelimab for IgG4-RD and other clinical trials of obexelimab, even if successfully completed, may not be sufficient for approval of obexelimab for the applicable indication.</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FDA approval of a new biologic generally requires data from two well-controlled Phase 3 trials of the relevant biologic in the relevant patient population; however, in some cases the FDA may accept data from a single Phase 3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94"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Although obexelimab has been granted orphan drug designation by the FDA for IgG4-RD, such designation does not guarantee that any regulatory authority will accept fewer trials, accelerate regulatory review of, or ultimately approve obexelimab for IgG4-RD.</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w:t>
      </w:r>
    </w:p>
    <w:p>
      <w:pPr>
        <w:spacing w:after="0" w:line="176"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our current or future collaborations or licensing arrangements and may be unsuccessful in consummating future partnerships.</w:t>
      </w:r>
    </w:p>
    <w:p>
      <w:pPr>
        <w:spacing w:after="0" w:line="15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collaborations or licensing arrangements may not be successful. Additionally, we have partnered, and intend to further partner, with third parties with respect to the clinical development and commercialization, if approved, of certain of our programs in certain regions outside the U.S.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183" w:lineRule="exact"/>
        <w:rPr>
          <w:sz w:val="20"/>
          <w:szCs w:val="20"/>
          <w:color w:val="auto"/>
        </w:rPr>
      </w:pPr>
    </w:p>
    <w:p>
      <w:pPr>
        <w:ind w:left="720" w:right="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exclusive rights to our collaborators would prevent us from collaborating with others;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future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5"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18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and our product candidates could fail to receive regulatory approval for many reasons, including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our CMOs’ manufacturing process or facilities;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the U.S.;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72"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left="60" w:right="99"/>
        <w:spacing w:after="0" w:line="270"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our development efforts on certain selected product candidates in certain selected indications. For example, we are initially focused on our lead product candidate, obexelimab, for the treatment of IgG4-RD, MS, and SLE. As a result, we may forgo or delay pursuit of opportunities with other product candidates or other indications for our existing product candidates that later prove to have greater commercial potential.</w:t>
      </w:r>
    </w:p>
    <w:p>
      <w:pPr>
        <w:spacing w:after="0" w:line="3"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0" w:lineRule="exact"/>
        <w:rPr>
          <w:sz w:val="20"/>
          <w:szCs w:val="20"/>
          <w:color w:val="auto"/>
        </w:rPr>
      </w:pPr>
    </w:p>
    <w:p>
      <w:pPr>
        <w:jc w:val="both"/>
        <w:ind w:left="60" w:right="4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currently conducting, and may in the future conduct, clinical trials for current or future product candidates outside the U.S., and the FDA and comparable foreign regulatory authorities may not accept data from such trials.</w:t>
      </w:r>
    </w:p>
    <w:p>
      <w:pPr>
        <w:spacing w:after="0" w:line="13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are currently conducting clinical trials outside the U.S., including in Europe and Asia, and we expect to continue to conduct trials internationally in the future. The acceptance of data from clinical trials conducted outside the U.S. by the FDA or comparable foreign regulatory authorities may be subject to certain conditions or may not be accepted at all. In cases where data from foreign clinical trials are intended to serve as the basis for marketing approval in the U.S., the FDA will generally not approve the application unless the data are applicable to the U.S. population and U.S.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U.S. or the applicable jurisdiction, which would result in the need for additional trials that could be costly and time consuming and could result in the product candidate not receiving approval for commercialization in the applicable jurisdiction.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outside of the U.S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w:t>
      </w:r>
    </w:p>
    <w:p>
      <w:pPr>
        <w:spacing w:after="0" w:line="18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such coverage, reimbursement and pricing for any approved products could limit our ability to market those products and would decrease our ability to generate revenue.</w:t>
      </w:r>
    </w:p>
    <w:p>
      <w:pPr>
        <w:spacing w:after="0" w:line="16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U.S. Coverage and reimbursement for products can therefore differ significantly from payor to payor. Even if we obtain coverage for a given product by a third-party payor, the reimbursement payment rates may not be adequate or may require co-payments that patients find unacceptably high. Coverage and adequate reimbursement in the U.S. or elsewhere may not be available for any product that we may develop, and any coverage or reimbursement that may be obtained could be reduced or eliminated in the future.</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188"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drug product. A lack of coverage or adequate reimbursement for such a test could adversely affect access to a drug product.</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U.S., the reimbursement for our product candidates may be lower than in the U.S. and may be insufficient to generate meaningful revenue and profits. Factors outside the U.S. that may be relevant in pricing and reimbursement determinations by health authorities, including in European countries, may include, without limitation, perceived cost-effectiveness perceived benefit to patient quality of life, and designation as an orphan drug indication, among others.</w:t>
      </w:r>
    </w:p>
    <w:p>
      <w:pPr>
        <w:spacing w:after="0" w:line="192"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17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U.S., or a patient population of greater than 200,000 individuals in the U.S. but for which there is no reasonable expectation that the cost of developing the drug will be recovered from sales in the U.S. The FDA and the EMA have each granted orphan drug designation to obexelimab for IgG4-RD. We may not be able to maintain orphan drug designation for obexelimab for IgG4-RD. Additionally, we may not be able to obtain orphan drug designation for any additional indications for our product candidates, and we may not be able to maintain such designations if granted.</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any other indication or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The EMA is required to re-assess granted orphan designation at the time of marketing authorization to ensure that it continues to meet the criteria for the designation to be maintained. Otherwise, the orphan designation can be revoked. Orphan drug designation does not convey any advantage in or shorten the duration of the regulatory review and approval process. Even if we receive orphan drug designation or orphan drug exclusivity for any of our product candidates, there is no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guarantee that we will enjoy the benefits of such designations or exclusivity periods, and granted designations, if not maintained, will not provide the benefits of such designation.</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decision of the U.S. Court of Appeals for the 11th Circuit in Catalyst Pharms., Inc. v. Becerra, 14 F.4th 1299 (11th Cir. 2021) has created uncertainty regarding the scope of orphan drug exclusivity. Although the FDA subsequently announced that it intends to continue to apply its longstanding interpretation of the regulations to matters outside of the scope of the Catalyst order and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designation. We intend to seek priority review designation for obexelimab for IgG4-RD. The FDA has broad discretion whether or not to grant this designation, so even if we believe a particular product candidate is eligible for this designation, the FDA could decide not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186"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15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may fail to successfully develop, receive regulatory approval for, or successfully commercialize any or all of our product candidates.</w:t>
      </w:r>
    </w:p>
    <w:p>
      <w:pPr>
        <w:spacing w:after="0" w:line="15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94"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U.S. or elsewhere in the foreseeable future, or at all.</w:t>
      </w:r>
    </w:p>
    <w:p>
      <w:pPr>
        <w:spacing w:after="0" w:line="164"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have never submitted a BLA for our product candidates to the FDA, or a similar marketing application to a comparable foreign regulatory authority, and our current or any future product candidates may not be successful in clinical trials or receive regulatory approval.</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162" w:lineRule="exact"/>
        <w:rPr>
          <w:sz w:val="20"/>
          <w:szCs w:val="20"/>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 and maintain an acceptable safety profile for the products following approval;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or any co-promotion or other arrangements that we may otherwise establish;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in sufficient quantities and at acceptable quality and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and marketing capabilities, whether alone or through a collaboration, to support commercialization of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including interactions with healthcare professionals, patient advocacy groups and communication of healthcare economic information to payors and formularies;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capable of timely product delivery;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225"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Any significant delays in obtaining approval for or inability to successfully commercialize our product candidates would adversely affect our business, financial condition, results of operations and prospects.</w:t>
      </w:r>
    </w:p>
    <w:p>
      <w:pPr>
        <w:spacing w:after="0" w:line="158"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Head of Research and Development and Chief Medical Officer, Lisa von Moltke, and Chief Commercial Officer, Orlando Oliveira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spacing w:after="0" w:line="190"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spacing w:after="0" w:line="167"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product candidates are biopharmaceuticals and the process of manufacturing biopharmaceuticals is complex, time 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9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Any delay or interruption in clinical trial supplies will likely delay the completion of planned clinical trials, increases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9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79"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from our product candidates, if approved, will be limited if the product does not achieve broad market acceptance.</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3"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162"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AEs associated with our product candidates, and how the safety and tolerability profile of our product candidates compares to those of existing or emerging therapies;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that may be more restrictive than competitive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175"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20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of commercial opportunities for product candidates and forecasts of market growth may prove to be smaller than we believe, and even if the markets in which we compete achieve the forecasted growth, our business may not grow at similar rates, or at all.</w:t>
      </w:r>
    </w:p>
    <w:p>
      <w:pPr>
        <w:spacing w:after="0" w:line="17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Our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IgG4-RD is a relatively recently described disease that incorporates groups of manifestations that were diagnosed as separate disease entities prior to 2003. We estimate that the currently diagnosed population of IgG4-RD patients in the U.S. is approximately 20,000, with what we believe to be comparable prevalence rates globally.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18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risks and uncertainties, including the changing trade policies and tariffs, burden of complying with complex and changing foreign regulatory, tax, accounting and legal requirements and reduced protection of intellectual property rights in some foreign countries.</w:t>
      </w:r>
    </w:p>
    <w:p>
      <w:pPr>
        <w:spacing w:after="0" w:line="19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transactions could impact our liquidity, increase our expenses and present significant distractions to our management.</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 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183"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14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18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18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180"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180" w:lineRule="exact"/>
        <w:rPr>
          <w:sz w:val="20"/>
          <w:szCs w:val="20"/>
          <w:color w:val="auto"/>
        </w:rPr>
      </w:pPr>
    </w:p>
    <w:p>
      <w:pPr>
        <w:ind w:left="60" w:right="619"/>
        <w:spacing w:after="0" w:line="312" w:lineRule="auto"/>
        <w:rPr>
          <w:sz w:val="20"/>
          <w:szCs w:val="20"/>
          <w:color w:val="auto"/>
        </w:rPr>
      </w:pPr>
      <w:r>
        <w:rPr>
          <w:rFonts w:ascii="Times New Roman" w:cs="Times New Roman" w:eastAsia="Times New Roman" w:hAnsi="Times New Roman"/>
          <w:sz w:val="17"/>
          <w:szCs w:val="17"/>
          <w:color w:val="auto"/>
        </w:rPr>
        <w:t>We rely on third-party service providers and technologies to operate critical business systems to process sensitive information in a variety of contexts, including cloud-based infrastructure, encryption and authentication technology,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19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 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191"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I&amp;I treatments may impact public perception of our company and product candidates, or may adversely affect our ability to conduct our business and our business plans.</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6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Obtaining and enforcing patents is expensive and time 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United States Patent and Trademark Office (“USPTO”) or by patent offices in foreign countries, or the claims in any of our or our licensors’ issued patents may not be considered valid and enforceable by courts in the U.S.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9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U.S., or vice versa.</w:t>
      </w:r>
    </w:p>
    <w:p>
      <w:pPr>
        <w:spacing w:after="0" w:line="18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18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or our licensors’ pending patent applications may be challenged in patent offices in the U.S.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inter partes review proceedings or other similar proceedings, in the U.S.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in-licensed patent portfolios, but have no solely owned issued patents relating to our product candidates.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 considered patentable by the USPTO, courts in the U.S.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necessary rights to our product candidates through acquisitions and in-licenses.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18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inactions of our licensees, our future licensors and their counsel that took place prior to the date upon which we assumed control over patent prosecution.</w:t>
      </w:r>
    </w:p>
    <w:p>
      <w:pPr>
        <w:spacing w:after="0" w:line="15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323" w:lineRule="exact"/>
        <w:rPr>
          <w:sz w:val="20"/>
          <w:szCs w:val="20"/>
          <w:color w:val="auto"/>
        </w:rPr>
      </w:pPr>
    </w:p>
    <w:p>
      <w:pPr>
        <w:jc w:val="both"/>
        <w:ind w:left="60" w:right="299"/>
        <w:spacing w:after="0" w:line="261"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180"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and our licensors’ patent applications;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and our licensors’ patent applications;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and our licensors’ patent applications will provide protection against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and our licensors’ patent rights;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and our licensors’ patents and patent applications;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and our licensors’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U.S. or in other foreign countries; or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experience patent office interruption or delays to our ability to timely secure patent coverage to our product candidates due to global pandemics and epidemics.</w:t>
      </w:r>
    </w:p>
    <w:p>
      <w:pPr>
        <w:spacing w:after="0" w:line="16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U.S. These competitor products may compete with our product candidates, and our and our licensors’ patents or other intellectual property rights may not be effective or sufficient to prevent them from competing.</w:t>
      </w:r>
    </w:p>
    <w:p>
      <w:pPr>
        <w:spacing w:after="0" w:line="190"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16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Various countries outside the U.S.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pending patent applications that we own or the patents or patent applications that we license;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noncompliance with the USPTO and foreign governmental patent agencies requirement for a number of procedural, documentary, fee payment and other provisions during the patent process can result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abandonment or lapse of a patent or patent application, and partial or complete loss of patent rights in the relevant jurisdiction;</w:t>
      </w:r>
    </w:p>
    <w:p>
      <w:pPr>
        <w:spacing w:after="0" w:line="162" w:lineRule="exact"/>
        <w:rPr>
          <w:sz w:val="20"/>
          <w:szCs w:val="20"/>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either own or have exclusively licensed may be revoked, modified, or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U.S. or in other foreign countries;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U.S. for disease treatments that prove successful, as a matter of public policy regarding worldwide health concerns;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have patent laws less favorable to patentees than those upheld by U.S. courts, allowing foreign competitors a better opportunity to create, develop and market competing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if they issue in the future, are valid, enforceable and infringed;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 applications.</w:t>
      </w:r>
    </w:p>
    <w:p>
      <w:pPr>
        <w:spacing w:after="0" w:line="16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Should any of these or similar events occur, they could significantly harm our business, financial condition, results of operations and prospects.</w:t>
      </w:r>
    </w:p>
    <w:p>
      <w:pPr>
        <w:spacing w:after="0" w:line="158" w:lineRule="exact"/>
        <w:rPr>
          <w:sz w:val="20"/>
          <w:szCs w:val="20"/>
          <w:color w:val="auto"/>
        </w:rPr>
      </w:pPr>
    </w:p>
    <w:p>
      <w:pPr>
        <w:ind w:left="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 consuming and unsuccessful.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4"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69"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p>
    <w:p>
      <w:pPr>
        <w:spacing w:after="0" w:line="186"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192"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 candidates.</w:t>
      </w:r>
    </w:p>
    <w:p>
      <w:pPr>
        <w:spacing w:after="0" w:line="17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affect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9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U.S., proving invalidity in court requires a showing of clear and convincing evidence to overcome the presumption of validity enjoyed by issued patents. As this burden is a high one, there is no assurance that a court of competent jurisdiction would invalidate the claims of any such U.S.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 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may choose to challenge the enforceability or validity of claims in a third party’s U.S. patent by requesting that the USPTO review the patent claims in an ex-parte reexamination, inter partes review or post- 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188"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19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Leahy-Smith Act and its implementation could increase the uncertainties and costs surrounding the prosecution of our or our licensors’ patent applications and the enforcement or defense of our or our licensors’ future issued patents, all of which could adversely affect our business, financial condition, results of operations and prospects.</w:t>
      </w:r>
    </w:p>
    <w:p>
      <w:pPr>
        <w:spacing w:after="0" w:line="18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prosecution of our patent applications and the enforcement or defense of our future issued patents, all of which could adversely affect our business, financial condition, results of operations and prospects.</w:t>
      </w:r>
    </w:p>
    <w:p>
      <w:pPr>
        <w:spacing w:after="0" w:line="16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Changes in either the patent laws or interpretation of the patent laws in the U.S. or in other jurisdictions could increase the uncertainties and costs surrounding the prosecution of patent applications and the enforcement or defense of issued patents. In the U.S., numerous recent changes to the patent laws and proposed changes to the rules of the USPTO may have a significant impact on our ability to protect our technology, products and enforce our intellectual property rights. Subsequent rulings could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Amgen v. Sanofi,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Juno v. Kite, the Federal Circuit held broad antibody claims supported by few examples invalid for lack of written description. Recently, the Federal Circuit issued precedential decisions in In re Cellect and Allergan v. MSN Laboratories that could shorten or eliminate an extended patent term awarded under Patent Term Adjustment (“PTA”) in certain patent family members if challenged on the basis of Obvious-Type Double Patenting. Furthermore, the U.S. Supreme Court and Federal Circuits have repeatedly held that the use of biomarkers in diagnosis or monitoring therapeutic treatment is not patent eligible.</w:t>
      </w:r>
    </w:p>
    <w:p>
      <w:pPr>
        <w:spacing w:after="0" w:line="19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183"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89"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w:t>
      </w:r>
    </w:p>
    <w:p>
      <w:pPr>
        <w:spacing w:after="0" w:line="159"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or our licensors’ patents or other intellectual property as an inventor or co-inventor. The failure to name the proper inventors 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3"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8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 covering obexelimab’s composition of matter expires in May 2028, excluding any extension of patent term that may be available.</w:t>
      </w:r>
    </w:p>
    <w:p>
      <w:pPr>
        <w:spacing w:after="0" w:line="190"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7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or licensed patents and patent applications. Recently, the USPTO implemented new fee rules including Continuing Application Fee (CAF) which would increase our cost for obtaining and maintaining patent protection in the US and potentially limit our ability of seeking additional patents in our existing patent families, especially those early filed patent families that has been pending for close to our more than six years.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9"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regulated as biological products (“biologics”), may face competition from biosimilars approved through an abbreviated regulatory pathway.</w:t>
      </w:r>
    </w:p>
    <w:p>
      <w:pPr>
        <w:spacing w:after="0" w:line="15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18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1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Laws and regulations outside the U.S.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China, the Fourth Amendments to the PRC Patent Law became effective on June 1, 2021, and for the first time, provides for PTE, PTA and a patent linkage system for eligible Chinese patents. To date, no PTE or PTA has been granted for any Chinese patent, and the patent linkage system is still in its early stage. In view of the potential changes and development in the implementation rules in PTE, PTA, patent linkage and data exclusivity in China, a lower-cost generic drug can emerge onto the market much more quickly, which would result in weaker protection for us against generic competition in China than could be available to us in the U.S., and would materially harm our business, financial condition, results of operations, and prospects.</w:t>
      </w:r>
    </w:p>
    <w:p>
      <w:pPr>
        <w:spacing w:after="0" w:line="18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19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U.S. must be approved by the FDA, regardless of whether we have registered it, or applied to register it, as a trademark.</w:t>
      </w:r>
    </w:p>
    <w:p>
      <w:pPr>
        <w:spacing w:after="0" w:line="192" w:lineRule="exact"/>
        <w:rPr>
          <w:sz w:val="20"/>
          <w:szCs w:val="20"/>
          <w:color w:val="auto"/>
        </w:rPr>
      </w:pPr>
    </w:p>
    <w:p>
      <w:pPr>
        <w:ind w:left="60" w:right="339"/>
        <w:spacing w:after="0" w:line="289" w:lineRule="auto"/>
        <w:rPr>
          <w:sz w:val="20"/>
          <w:szCs w:val="20"/>
          <w:color w:val="auto"/>
        </w:rPr>
      </w:pPr>
      <w:r>
        <w:rPr>
          <w:rFonts w:ascii="Times New Roman" w:cs="Times New Roman" w:eastAsia="Times New Roman" w:hAnsi="Times New Roman"/>
          <w:sz w:val="17"/>
          <w:szCs w:val="17"/>
          <w:color w:val="auto"/>
        </w:rPr>
        <w:t>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90"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180"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Our product candidates and any future product candidates are subject to extensive governmental regulations relating to, among other things, research, testing, development, manufacturing, approval, recordkeeping, reporting, labeling, storage,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packaging, advertising and promotion, pricing, post-approval monitoring, marketing and distribution of products. Rigorous preclinical studies and clinical trials and an extensive regulatory approval process are required to be completed successfully in the U.S.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18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U.S. and vice versa. Any delay or failure to obtain U.S. or foreign regulatory approval for a product candidate could have a material and adverse effect on our business, financial condition, results of operations and prospects.</w:t>
      </w:r>
    </w:p>
    <w:p>
      <w:pPr>
        <w:spacing w:after="0" w:line="188"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pacing w:after="0" w:line="190" w:lineRule="exact"/>
        <w:rPr>
          <w:sz w:val="20"/>
          <w:szCs w:val="20"/>
          <w:color w:val="auto"/>
        </w:rPr>
      </w:pPr>
    </w:p>
    <w:p>
      <w:pPr>
        <w:ind w:left="60" w:right="159"/>
        <w:spacing w:after="0" w:line="269" w:lineRule="auto"/>
        <w:rPr>
          <w:sz w:val="20"/>
          <w:szCs w:val="20"/>
          <w:color w:val="auto"/>
        </w:rPr>
      </w:pPr>
      <w:r>
        <w:rPr>
          <w:rFonts w:ascii="Times New Roman" w:cs="Times New Roman" w:eastAsia="Times New Roman" w:hAnsi="Times New Roman"/>
          <w:sz w:val="17"/>
          <w:szCs w:val="17"/>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7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176"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w:t>
      </w:r>
    </w:p>
    <w:p>
      <w:pPr>
        <w:spacing w:after="0" w:line="18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face uncertainty regarding the potential for changes in the regulatory environment following the change in presidential administration in January 2025. While many of the Trump administration’s proposed policies appear to be focused on deregulation, the new administration and federal government could adopt legislation, regulation, or policy that adversely affects our business or creates a more challenging and costly environment to pursue the development and commercialization of our product candidates. For example, the federal government, including the FDA, may implement legislative, regulatory, or policy changes regarding the standards for approving biologic products that we may be unable to satisfy. It is difficult to predict how executive actions that may be taken under the current Trump administration may affect the FDA’s ability to exercise its regulatory authority. If such executive actions impose constraints on the FDA’s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ability to engage in routine oversight and product review activities in the normal course, our business may be negatively impacted.</w:t>
      </w:r>
    </w:p>
    <w:p>
      <w:pPr>
        <w:spacing w:after="0" w:line="162" w:lineRule="exact"/>
        <w:rPr>
          <w:sz w:val="20"/>
          <w:szCs w:val="20"/>
          <w:color w:val="auto"/>
        </w:rPr>
      </w:pPr>
    </w:p>
    <w:p>
      <w:pPr>
        <w:ind w:left="60" w:right="199" w:firstLine="45"/>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regulatory authorities may also slow the time necessary for new biologics or modifications to approved or licensed biologics to be reviewed and/or approved, which would adversely affect our business. For example, the current Trump administration appears to be focused on decreasing spending in the federal government, including through significant staff reductions. Any significant staff reductions at FDA could impact the agency’s ability to engage in routine regulatory and oversight activities and result in delays or limitations on our ability to proceed with clinical development programs and obtain regulatory approvals. Additionally, reductions in the workforce, particularly in the review or inspection divisions, could extend BLA review timelines, delay or prevent pre-approval inspections, and limit opportunities for FDA feedback on pending applications. Over the last several years, the U.S. government has shut down several times and certain regulatory authorities, such as the FDA, have had to furlough critical employees and stop critical activities.</w:t>
      </w:r>
    </w:p>
    <w:p>
      <w:pPr>
        <w:spacing w:after="0" w:line="19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5"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“Business—Government Regulation-Healthcare Reform.”</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For example, in March 2010, the ACA was enacted in the U.S., which substantially changed the way healthcare is financed by both governmental and private insurers in the U.S.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Beyond the ACA, there have been ongoing healthcare reform efforts, including under the Biden administration. Notably, the Inflation Reduction Act of 2022 (the “IRA”) includes a number of healthcare reform provisions, which have varying implementation dates. The IRA extends enhanced subsidies for individuals purchasing health insurance coverage in ACA marketplaces through plan year 2025; lowers the beneficiary maximum out-of-pocket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189" w:lineRule="exact"/>
        <w:rPr>
          <w:sz w:val="20"/>
          <w:szCs w:val="20"/>
          <w:color w:val="auto"/>
        </w:rPr>
      </w:pPr>
    </w:p>
    <w:p>
      <w:pPr>
        <w:ind w:left="60" w:right="339"/>
        <w:spacing w:after="0" w:line="277" w:lineRule="auto"/>
        <w:rPr>
          <w:sz w:val="20"/>
          <w:szCs w:val="20"/>
          <w:color w:val="auto"/>
        </w:rPr>
      </w:pPr>
      <w:r>
        <w:rPr>
          <w:rFonts w:ascii="Times New Roman" w:cs="Times New Roman" w:eastAsia="Times New Roman" w:hAnsi="Times New Roman"/>
          <w:sz w:val="17"/>
          <w:szCs w:val="17"/>
          <w:color w:val="auto"/>
        </w:rPr>
        <w:t>Further, there has been heightened governmental scrutiny in the U.S.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2021 eliminates the statutory cap on Medicaid drug rebate program rebates (currently set at 100% of a drug’s “average manufacturer price”), which became effective January 1, 2024.</w:t>
      </w:r>
    </w:p>
    <w:p>
      <w:pPr>
        <w:spacing w:after="0" w:line="16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19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176"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and other regulations, we could face substantial penalties and our business, operations and financial condition could be adversely affected.</w:t>
      </w:r>
    </w:p>
    <w:p>
      <w:pPr>
        <w:spacing w:after="0" w:line="15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183" w:lineRule="exact"/>
        <w:rPr>
          <w:sz w:val="20"/>
          <w:szCs w:val="20"/>
          <w:color w:val="auto"/>
        </w:rPr>
      </w:pPr>
    </w:p>
    <w:p>
      <w:pPr>
        <w:jc w:val="both"/>
        <w:ind w:left="720" w:right="79" w:hanging="319"/>
        <w:spacing w:after="0" w:line="261"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 kickback statute;</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(“FDCA”), which among other things, strictly regulates drug marketing, prohibits manufacturers from marketing such products for off-label use and regulates the distribution of samples;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92"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 if 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ind w:left="60" w:right="59"/>
        <w:spacing w:after="0" w:line="267" w:lineRule="auto"/>
        <w:rPr>
          <w:sz w:val="20"/>
          <w:szCs w:val="20"/>
          <w:color w:val="auto"/>
        </w:rPr>
      </w:pPr>
      <w:r>
        <w:rPr>
          <w:rFonts w:ascii="Times New Roman" w:cs="Times New Roman" w:eastAsia="Times New Roman" w:hAnsi="Times New Roman"/>
          <w:sz w:val="17"/>
          <w:szCs w:val="17"/>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spacing w:after="0" w:line="200" w:lineRule="exact"/>
        <w:rPr>
          <w:sz w:val="20"/>
          <w:szCs w:val="20"/>
          <w:color w:val="auto"/>
        </w:rPr>
      </w:pPr>
    </w:p>
    <w:p>
      <w:pPr>
        <w:spacing w:after="0" w:line="20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outside the U.S.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187"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spacing w:after="0" w:line="18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and the recently approved DPF,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9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other contractual obligations related to data privacy and security, and our efforts to comply with such obligations may not be successful.</w:t>
      </w:r>
    </w:p>
    <w:p>
      <w:pPr>
        <w:spacing w:after="0" w:line="16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EEA and other jurisdictions, and we cannot determine the impact such future laws, regulations and standards may have on our business.</w:t>
      </w:r>
    </w:p>
    <w:p>
      <w:pPr>
        <w:spacing w:after="0" w:line="18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CROs, CMOs or other third-party service providers with access to our or our suppliers’, manufacturers’, trial participants’ and employees’ sensitive information for which we are responsible may breach contractual obligations imposed by us, or they may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may not protect us from the risks associated with the third-party processing of such information. Any of the foregoing could adversely affect our business, financial condition, results of operations and prospects.</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9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0"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including changes in relations between the U.S. and China, and other circumstances beyond our control, may adversely impact our business, financial condition, and results of operations.</w:t>
      </w:r>
    </w:p>
    <w:p>
      <w:pPr>
        <w:spacing w:after="0" w:line="17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Various political, trade, or regulatory developments have, and could further, adversely affect our business and the results of our operations and financial condition. For example, recent actions and statements by the governments of the U.S. and China, including those relating to the imposition or threatened imposition of tariffs, or potential increases to tariffs, affecting certain products manufactured in China, have impacted, and may continue to impact, companies like us who rely on suppliers and other commercial partners with significant operations in China. For example, while we have selected new CMOs in the U.S. to establish additional sources of supply, currently we import from China certain drug substance, drug product and other components, and such imports are subject to existing tariffs and may be impacted by additional tariffs. Currently, many of our suppliers primarily operate outside of the U.S., including our current sole CMO, WuXi Biologics, which provides its services to us from facilities located in China, and increases in tariffs could result in increased costs. As a result, we are subject to risks associated with political, trade, regulatory developments with respect to such countries, and between the U.S. and such countries. Any unfavorable legislation, regulations, executive orders, government policies on cross-border relations and/or international trade, including increased scrutiny on certain of our suppliers with significant China-based operations, capital controls, or tariffs, may have an adverse effect on our business, financial condition, and results of operations. For example, in March and April 2025, the U.S. imposed tariffs on, or increased the tariff rates applicable to, imports from many foreign countries. In response to these tariffs, a number of other countries have threatened or implemented retaliatory tariffs on U.S. goods. Political tensions resulting from trade policies could reduce trade volume, investment, technological exchange and other economic activities between major international economies, resulting in a material adverse effect on global economic conditions and the stability of global financial markets. Further, supply chain disruptions and delays as a result of tariff policies or trade restrictions could also negatively impact our cost of materials and processes. Such changes in political, trade, regulatory, and economic conditions, including U.S. trade policies, could have a material adverse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CMOs, or our third-party manufacturers fail to comply with applicable regulatory requirements, we will not be able to complete our clinical trials on time and the development of our product candidates may be delayed.</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 WuXi Biologics, for drug substance and drug product. Reliance on a single third-party manufacturer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p>
    <w:p>
      <w:pPr>
        <w:spacing w:after="0" w:line="187" w:lineRule="exact"/>
        <w:rPr>
          <w:sz w:val="20"/>
          <w:szCs w:val="20"/>
          <w:color w:val="auto"/>
        </w:rPr>
      </w:pPr>
    </w:p>
    <w:p>
      <w:pPr>
        <w:ind w:left="60" w:right="199"/>
        <w:spacing w:after="0" w:line="273" w:lineRule="auto"/>
        <w:rPr>
          <w:sz w:val="20"/>
          <w:szCs w:val="20"/>
          <w:color w:val="auto"/>
        </w:rPr>
      </w:pPr>
      <w:r>
        <w:rPr>
          <w:rFonts w:ascii="Times New Roman" w:cs="Times New Roman" w:eastAsia="Times New Roman" w:hAnsi="Times New Roman"/>
          <w:sz w:val="17"/>
          <w:szCs w:val="17"/>
          <w:color w:val="auto"/>
        </w:rPr>
        <w:t>We order obexelimab drug substance and drug product pursuant to a master services agreement with WuXi Biologics. If any of our product candidates receives marketing approval, we intend to rely on third-party CMOs for commercial manufacturing. We have a long-term commercial supply agreement with WuXi Biologics to fulfill and secure obexelimab drug substance and drug product for an anticipated commercial launch, if approved. In addition, we have selected new CMOs in the U.S., which are not affiliated with WuXi Biologics, to establish additional sources of supply for drug substance and drug product for both commercial and clinical use. For the medical device component of our product (i.e., prefilled syringe or autoinjector), we plan to utilize device assembly facilities in the U.S. or EU for the global supply.</w:t>
      </w:r>
    </w:p>
    <w:p>
      <w:pPr>
        <w:spacing w:after="0" w:line="171"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Any change in our relationship with our CMOs or changes to contractual terms of our agreements with them could adversely affect our business, financial condition, results of operations and prospects. Additionally, legislation and regulations, such as the proposed BIOSECURE Act, could restrict our ability or make it more costly to obtain needed supplies of products and materials from certain CMOs if the proposed legislation and regulations are enacted into law. Please see “—Risks Related to Our Reliance on Third Parties—The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9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we could experience disruptions in our supply chain in the future as a result of such reliance or otherwise.</w:t>
      </w:r>
    </w:p>
    <w:p>
      <w:pPr>
        <w:spacing w:after="0" w:line="18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300" w:lineRule="exact"/>
        <w:rPr>
          <w:sz w:val="20"/>
          <w:szCs w:val="20"/>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initiate or continue preclinical studies or clinical trials of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 in submitting regulatory applications, or receiving regulatory approvals, for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the cooperation of existing or future collaborators;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requirements to cease distribution or to recall batches of our product candidates; and</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of approval to market and commercialize a product candidate, an inability to meet commercial demands for our products.</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If we change manufacturers after we receive regulatory approval for a product candidate, we will be required to conduct additional testing, including completion of validation batches, and obtain approval from regulatory authorities for the new manufacturer before we can begin using any drug substance or drug product they manufacture for commercial purposes. The delays and costs associated with the verification of a new manufacturer could negatively affect our ability to develop product candidates or commercialize our products, if approved, in a timely manner or within budget.</w:t>
      </w:r>
    </w:p>
    <w:p>
      <w:pPr>
        <w:spacing w:after="0" w:line="188"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18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189" w:lineRule="exact"/>
        <w:rPr>
          <w:sz w:val="20"/>
          <w:szCs w:val="20"/>
          <w:color w:val="auto"/>
        </w:rPr>
      </w:pPr>
    </w:p>
    <w:p>
      <w:pPr>
        <w:ind w:left="60" w:right="299"/>
        <w:spacing w:after="0" w:line="289" w:lineRule="auto"/>
        <w:rPr>
          <w:sz w:val="20"/>
          <w:szCs w:val="20"/>
          <w:color w:val="auto"/>
        </w:rPr>
      </w:pPr>
      <w:r>
        <w:rPr>
          <w:rFonts w:ascii="Times New Roman" w:cs="Times New Roman" w:eastAsia="Times New Roman" w:hAnsi="Times New Roman"/>
          <w:sz w:val="17"/>
          <w:szCs w:val="17"/>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92"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189"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71"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8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with our current or future licensors or collaborators that could delay or prevent the development or commercialization of our product candidates.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80"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or other obligations under the license agreement;</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our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diligence obligations under the license agreement and what activities satisfy those obligations;</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priority of invention of patented technology.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88" w:lineRule="exact"/>
        <w:rPr>
          <w:sz w:val="20"/>
          <w:szCs w:val="20"/>
          <w:color w:val="auto"/>
        </w:rPr>
      </w:pPr>
    </w:p>
    <w:p>
      <w:pPr>
        <w:jc w:val="both"/>
        <w:ind w:left="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75"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Currently, many of our suppliers primarily operate outside of the U.S., including our current sole CMO, WuXi Biologics, which provides its services to us from facilities located in China. As a result, we are subject to risks associated with doing business abroad, including:</w:t>
      </w:r>
    </w:p>
    <w:p>
      <w:pPr>
        <w:spacing w:after="0" w:line="176" w:lineRule="exact"/>
        <w:rPr>
          <w:sz w:val="20"/>
          <w:szCs w:val="20"/>
          <w:color w:val="auto"/>
        </w:rPr>
      </w:pPr>
    </w:p>
    <w:p>
      <w:pPr>
        <w:ind w:left="720" w:right="319" w:hanging="319"/>
        <w:spacing w:after="0" w:line="282" w:lineRule="auto"/>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geopolitical tensions, political unrest, terrorism, labor disputes and economic instability resulting in the disruption of trade from foreign countries in which our products are manufactured, particularly China;</w:t>
      </w:r>
    </w:p>
    <w:p>
      <w:pPr>
        <w:spacing w:after="0" w:line="161" w:lineRule="exact"/>
        <w:rPr>
          <w:rFonts w:ascii="Times New Roman" w:cs="Times New Roman" w:eastAsia="Times New Roman" w:hAnsi="Times New Roman"/>
          <w:sz w:val="18"/>
          <w:szCs w:val="18"/>
          <w:color w:val="231F20"/>
        </w:rPr>
      </w:pPr>
    </w:p>
    <w:p>
      <w:pPr>
        <w:jc w:val="both"/>
        <w:ind w:left="720" w:right="319" w:hanging="319"/>
        <w:spacing w:after="0" w:line="256" w:lineRule="auto"/>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including China, pursuant to our master services or commercial supply agreements with WuXi Biologics, as well as tariffs that impact the biopharmaceutical industry generally;</w:t>
      </w:r>
    </w:p>
    <w:p>
      <w:pPr>
        <w:spacing w:after="0" w:line="187" w:lineRule="exact"/>
        <w:rPr>
          <w:rFonts w:ascii="Times New Roman" w:cs="Times New Roman" w:eastAsia="Times New Roman" w:hAnsi="Times New Roman"/>
          <w:sz w:val="18"/>
          <w:szCs w:val="18"/>
          <w:color w:val="231F20"/>
        </w:rPr>
      </w:pPr>
    </w:p>
    <w:p>
      <w:pPr>
        <w:jc w:val="both"/>
        <w:ind w:left="720" w:right="319" w:hanging="319"/>
        <w:spacing w:after="0" w:line="266" w:lineRule="auto"/>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challenges and increased costs with enforcing and periodically auditing or reviewing our suppliers’ and manufacturers’ compliance with cGMPs or status acceptable to the FDA or comparable foreign regulatory authorities;</w:t>
      </w:r>
    </w:p>
    <w:p>
      <w:pPr>
        <w:spacing w:after="0" w:line="17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protection for intellectual property rights, including trade secret protection, in some countries, particularly China;</w:t>
      </w:r>
    </w:p>
    <w:p>
      <w:pPr>
        <w:spacing w:after="0" w:line="161"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in operations due to global, regional, or local epidemics, pandemics and other public health crises, or other emergencies or natural disasters;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or delays in shipments;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local economic conditions in countries where our manufacturers or suppliers are located.</w:t>
      </w:r>
    </w:p>
    <w:p>
      <w:pPr>
        <w:spacing w:after="0" w:line="22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If enacted, the BIOSECURE Act, which was introduced in Congress in 2024,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most recent version of the BIOSECURE Act, which passed in the House of Representatives in 2024 named WuXi Biologics as a “biotechnology company of concern.” The BIOSECURE Act has not yet been re-introduced in Congress in 2025, but it could be.</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If adopted into law, the BIOSECURE Act in its most recent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how the law is interpreted by U.S. federal agencies, however, we could be potentially restricted from pursuing U.S. federal government business or government reimbursement for our products manufactured by WuXi Biologics or other suppliers or partners determined to be “biotechnology companies of concern.” Additionally, the legislation could adversely impact WuXi Biologics’ operations or financial position, which, in turn, could impact its ability to supply us with 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w:t>
      </w:r>
    </w:p>
    <w:p>
      <w:pPr>
        <w:spacing w:after="0" w:line="192"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We have selected new CMOs in the U.S. to establish additional sources of supply for drug substance and drug product for both commercial and clinical use with third-party manufacturers that are not affiliated with WuXi Biologics or another “biotechnology company of concern” identified in the proposed BIOSECURE Act. However, establishing new manufacturers requires significant effort and time and any delay in securing, or inability to secure, a commercial supplier of drug substance or drug product for a product candidate, if approved, including as a result of delays in contracting, technology transfer, production of validation batches or obtaining an inspection by the FDA or other applicable foreign regulatory authorities,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fails to comply with applicable regulatory requirements, we will not be able to complete our clinical trials on time and the development of our product candidates may be delayed.”</w:t>
      </w:r>
    </w:p>
    <w:p>
      <w:pPr>
        <w:spacing w:after="0" w:line="19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be sustained.</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“ZBIO”. If an active or liquid trading market for our common stock is not sustained, it may be difficult for investors to sell their shares of common stock at an attractive price or at all. It is possible that in one or more future periods our results of operations may be below the expectations of public market analysts and investors, and, as a result of these and other factors, the price of our common stock may fall. An inactive market may reduce the fair market value of our common stock,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Since shares of our common stock were sold in our IPO in September 2024 at a price of $17.00 per share and through April 30, 2025, the closing price per share of our common stock on Nasdaq has ranged from $6.43 to $25.68. Some of the factors that may cause the market price of our common stock to fluctuate include:</w:t>
      </w:r>
    </w:p>
    <w:p>
      <w:pPr>
        <w:spacing w:after="0" w:line="176" w:lineRule="exact"/>
        <w:rPr>
          <w:sz w:val="20"/>
          <w:szCs w:val="20"/>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operating results or the failure of our operating results to meet the expectations of investors or securities analysts;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and clinical studies for any product candidates that we may develop;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development of companion diagnostics, if required, for use with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or product candidates that we may develop;</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manufacturers, suppliers, collaborators or other strategic partners;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shortages;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reports, whether or not true, about our business;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additional funding;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industry, political and market conditions, such as changing trade policies, military conflict or war, inflation and financial institution instability, or pandemic or epidemic disease outbreaks, many of which are beyond our control;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Quarterly Report, including those which are outside of our control.</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 market price of our common stock may decline, and investors may lose some or all of their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8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decline significantly, even if our business is doing well.</w:t>
      </w:r>
    </w:p>
    <w:p>
      <w:pPr>
        <w:spacing w:after="0" w:line="159"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April 30, 2025, we had 41,834,182 shares of common stock outstanding. Of these shares, 15,220,588 shares sold in our IPO may be resold in the public market immediately, unless held by our affiliates. The remaining shares are currently restricted under securities laws or other agreements, subject in some cases to applicable volume limitations under Rule 144.</w:t>
      </w:r>
    </w:p>
    <w:p>
      <w:pPr>
        <w:spacing w:after="0" w:line="18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Additionally, holders of an aggregate of 26,557,087 shares of our common stock have rights, subject to conditions, to require us to file registration statements covering their shares or to include their shares in registration statements that we may file for ourselves or other stockholders. We also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which could limit other stockholders’ ability to affect the outcome of key transactions, including a change of control.</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directors, executive officers and greater than 5% stockholders and their affiliates, in the aggregate, beneficially own shares representing approximately 56% of our outstanding common stock as of March 31, 2025.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other stockholders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88"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investors’ sole source of gain.</w:t>
      </w:r>
    </w:p>
    <w:p>
      <w:pPr>
        <w:spacing w:after="0" w:line="15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investors’ sole source of gain on an investment in our common stock in the foreseeable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ind w:left="60" w:right="179"/>
        <w:spacing w:after="0" w:line="272"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68"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Second Restated Certificate of Incorporation (our “Restated Charter”), our Amended and Restated Bylaws (our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Restated Charter and Restated Bylaws and Delaware law contain provisions that may have the effect of discouraging, delaying or preventing a change in control of us or changes in our management that stockholders may consider favorable, including transactions in which investors might otherwise receive a premium for their shares. Our Restated Charter and Restated Bylaws include provisions that:</w:t>
      </w:r>
    </w:p>
    <w:p>
      <w:pPr>
        <w:spacing w:after="0" w:line="180" w:lineRule="exact"/>
        <w:rPr>
          <w:sz w:val="20"/>
          <w:szCs w:val="20"/>
          <w:color w:val="auto"/>
        </w:rPr>
      </w:pPr>
    </w:p>
    <w:p>
      <w:pPr>
        <w:ind w:left="720" w:right="7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Restated Bylaws;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Restated Charter and Restated Bylaws.</w:t>
      </w:r>
    </w:p>
    <w:p>
      <w:pPr>
        <w:spacing w:after="0" w:line="16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76" w:lineRule="exact"/>
        <w:rPr>
          <w:sz w:val="20"/>
          <w:szCs w:val="20"/>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left="60" w:right="2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Restated Charter designates specific courts as the sole and exclusive forum for certain claims or causes of action that may be brought by our stockholders, which could discourage lawsuits against us and our directors and officers.</w:t>
      </w:r>
    </w:p>
    <w:p>
      <w:pPr>
        <w:spacing w:after="0" w:line="136" w:lineRule="exact"/>
        <w:rPr>
          <w:sz w:val="20"/>
          <w:szCs w:val="20"/>
          <w:color w:val="auto"/>
        </w:rPr>
      </w:pPr>
    </w:p>
    <w:p>
      <w:pPr>
        <w:ind w:left="60" w:right="59"/>
        <w:spacing w:after="0" w:line="267" w:lineRule="auto"/>
        <w:rPr>
          <w:sz w:val="20"/>
          <w:szCs w:val="20"/>
          <w:color w:val="auto"/>
        </w:rPr>
      </w:pPr>
      <w:r>
        <w:rPr>
          <w:rFonts w:ascii="Times New Roman" w:cs="Times New Roman" w:eastAsia="Times New Roman" w:hAnsi="Times New Roman"/>
          <w:sz w:val="17"/>
          <w:szCs w:val="17"/>
          <w:color w:val="auto"/>
        </w:rPr>
        <w:t>Our Restated Charter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w:t>
      </w:r>
    </w:p>
    <w:p>
      <w:pPr>
        <w:spacing w:after="0" w:line="2" w:lineRule="exact"/>
        <w:rPr>
          <w:sz w:val="20"/>
          <w:szCs w:val="20"/>
          <w:color w:val="auto"/>
        </w:rPr>
      </w:pPr>
    </w:p>
    <w:p>
      <w:pPr>
        <w:ind w:left="60" w:right="59" w:hanging="10"/>
        <w:spacing w:after="0" w:line="260" w:lineRule="auto"/>
        <w:tabs>
          <w:tab w:leader="none" w:pos="2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herein above (each a “Covered Claim”). This provision does not apply to claims brought to enforce a duty or liability created by the Exchange Act.</w:t>
      </w:r>
    </w:p>
    <w:p>
      <w:pPr>
        <w:spacing w:after="0" w:line="181"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Our Restated Charter further provides that the federal district courts of the United States of America will be the exclusive forum for resolving any complaint asserting a cause of action arising under the Securities Act. In addition, our Restated Charter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8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choice of forum provisions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Charter are inapplicable or unenforceable if they are challenged in a proceeding or otherwise, which could cause us to incur additional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associated with resolving such action in other jurisdictions. The choice of forum provisions may also impose additional litigation costs on stockholders who assert that the provisions are not enforceable or invalid.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economic and market conditions may have serious adverse consequences on our business, financial condition and stock price.</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high interest rates, the impact of increased tariffs and trade policy,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6"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our business, or if they publish inaccurate or unfavorable research about our business, our stock price and trading volume could decline.</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continue to cover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88" w:lineRule="exact"/>
        <w:rPr>
          <w:sz w:val="20"/>
          <w:szCs w:val="20"/>
          <w:color w:val="auto"/>
        </w:rPr>
      </w:pPr>
    </w:p>
    <w:p>
      <w:pPr>
        <w:ind w:left="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continue to be required to devote substantial time to new compliance initiatives and corporate governance practices.</w:t>
      </w:r>
    </w:p>
    <w:p>
      <w:pPr>
        <w:spacing w:after="0" w:line="175"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need to devote a substantial amount of time to these compliance initiatives. Moreover, we expect these rules and regulations have, and we expect them to continue to substantially increase our legal and financial compliance costs and to make some activities more time consuming and costly. We cannot predict or estimate the amount or timing of additional costs we may incur to respond to these requirements in the future.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7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 404 of the Sarbanes-Oxley Act, which requires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an annual basis, we will not be required to make our first annual assessment of our internal control over financial reporting until our annual report on Form 10-K, for fiscal year ending December 31, 2025. However, as an emerging growth company, our independent registered public accounting firm will not be required to formally attest to the effectiveness of our internal control over financial reporting until the later of the fiscal year ending December 31, 2025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94"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76"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59"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16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 consuming, damage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reputation and divert our management’s attention from other business concerns, which could seriously harm our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litigation imposes costs on our business.</w:t>
      </w:r>
    </w:p>
    <w:p>
      <w:pPr>
        <w:spacing w:after="0" w:line="175" w:lineRule="exact"/>
        <w:rPr>
          <w:sz w:val="20"/>
          <w:szCs w:val="20"/>
          <w:color w:val="auto"/>
        </w:rPr>
      </w:pPr>
    </w:p>
    <w:p>
      <w:pPr>
        <w:jc w:val="both"/>
        <w:ind w:left="60" w:right="279"/>
        <w:spacing w:after="0" w:line="251" w:lineRule="auto"/>
        <w:rPr>
          <w:sz w:val="20"/>
          <w:szCs w:val="20"/>
          <w:color w:val="auto"/>
        </w:rPr>
      </w:pPr>
      <w:r>
        <w:rPr>
          <w:rFonts w:ascii="Times New Roman" w:cs="Times New Roman" w:eastAsia="Times New Roman" w:hAnsi="Times New Roman"/>
          <w:sz w:val="18"/>
          <w:szCs w:val="18"/>
          <w:color w:val="auto"/>
        </w:rPr>
        <w:t>Securities class action litigation often is instituted against issuers following periods of volatility or declines in the market prices of an issuer’s securities. As an example, in April 2025, a putative securities class action was filed against us and certain of our directors and officers, as well as the underwriters in our IPO. The action, purportedly brought on behalf of a putative class of purchasers of our common stock in, or traceable to, our IPO, asserts claims under Sections 11, 12, and 15 of the Securities Act of 1933, as amended. The action seeks compensatory damages, attorneys’ fees and costs, and any other relief that the court determines is just and proper. Often multiple plaintiffs’ attorneys file similar complaints and, at a future point, a consolidated amended complaint is filed. We do not anticipate providing updates for similar complaints or developments in this litigation, absent a legal obligation. Securities litigation results in costs and diversion of management’s time and attention. The underwriting agreement from our IPO contemplates that we cover certain litigation expenses incurred by the underwriters in connection with the suit referenced above. Costs we incur addressing securities litigation harm our business, operating results, and financial condition, potentially with significant impact. Securities litigation also often raises the cost of directors’ and officers’ liability insurance. We factor those costs into the policy limits and scope of coverage we obtain, with those costs a key factor in determining the extent to which we rely on our balance sheet, rather than insurance, to cover defense costs, any settlement amounts, or any damages awarded to plaintiffs in litigation.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the adoption of new tax legislation or other exposure to tax liabilities, could harm our business.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Use of Proceeds from Public Offering of Common Stock</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On September 16, 2024, the Company’s registration statement on Form S-1 (File No.333-281713) (the “IPO Prospectus”) relating to our IPO became effective.</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from that described in the IPO Prospectus.</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our fiscal quarter ended March 31, 2025, no director or “officer” (as defined in Rule 16a-1(f) under the Exchange Act)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580" w:type="dxa"/>
            <w:vAlign w:val="bottom"/>
            <w:gridSpan w:val="9"/>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80" w:type="dxa"/>
            <w:vAlign w:val="bottom"/>
            <w:gridSpan w:val="9"/>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28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Second Restated Certificate of Incorporation of Zenas BioPharma, Inc. (incorporated by reference to</w:t>
              </w:r>
            </w:hyperlink>
          </w:p>
        </w:tc>
        <w:tc>
          <w:tcPr>
            <w:tcW w:w="320" w:type="dxa"/>
            <w:vAlign w:val="bottom"/>
          </w:tcPr>
          <w:p>
            <w:pPr>
              <w:spacing w:after="0"/>
              <w:rPr>
                <w:sz w:val="24"/>
                <w:szCs w:val="24"/>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7580" w:type="dxa"/>
            <w:vAlign w:val="bottom"/>
            <w:gridSpan w:val="9"/>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Exhibit 3.1 to the Form 8-K filed on September 16, 2024, File No. 001-42270)</w:t>
              </w:r>
            </w:hyperlink>
          </w:p>
        </w:tc>
      </w:tr>
      <w:tr>
        <w:trPr>
          <w:trHeight w:val="20"/>
        </w:trPr>
        <w:tc>
          <w:tcPr>
            <w:tcW w:w="12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75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Amended and Restated Bylaws of Zenas BioPharma, Inc. (incorporated by reference to Exhibit 3.2 to the</w:t>
              </w:r>
            </w:hyperlink>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8-K filed on September 16, 2024, File No. 001-42270)</w:t>
              </w:r>
            </w:hyperlink>
          </w:p>
        </w:tc>
        <w:tc>
          <w:tcPr>
            <w:tcW w:w="3200" w:type="dxa"/>
            <w:vAlign w:val="bottom"/>
            <w:gridSpan w:val="7"/>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380" w:type="dxa"/>
            <w:vAlign w:val="bottom"/>
            <w:gridSpan w:val="2"/>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20" w:type="dxa"/>
            <w:vAlign w:val="bottom"/>
            <w:gridSpan w:val="4"/>
          </w:tcPr>
          <w:p>
            <w:pPr>
              <w:spacing w:after="0"/>
              <w:rPr>
                <w:sz w:val="24"/>
                <w:szCs w:val="24"/>
                <w:color w:val="auto"/>
              </w:rPr>
            </w:pPr>
          </w:p>
        </w:tc>
      </w:tr>
      <w:tr>
        <w:trPr>
          <w:trHeight w:val="412"/>
        </w:trPr>
        <w:tc>
          <w:tcPr>
            <w:tcW w:w="1280" w:type="dxa"/>
            <w:vAlign w:val="bottom"/>
          </w:tcPr>
          <w:p>
            <w:pPr>
              <w:spacing w:after="0"/>
              <w:rPr>
                <w:sz w:val="24"/>
                <w:szCs w:val="24"/>
                <w:color w:val="auto"/>
              </w:rPr>
            </w:pP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76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7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440" w:type="dxa"/>
            <w:vAlign w:val="bottom"/>
            <w:gridSpan w:val="5"/>
          </w:tcPr>
          <w:p>
            <w:pPr>
              <w:spacing w:after="0"/>
              <w:rPr>
                <w:sz w:val="24"/>
                <w:szCs w:val="24"/>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160" w:type="dxa"/>
            <w:vAlign w:val="bottom"/>
            <w:gridSpan w:val="8"/>
          </w:tcPr>
          <w:p>
            <w:pPr>
              <w:spacing w:after="0"/>
              <w:rPr>
                <w:sz w:val="17"/>
                <w:szCs w:val="17"/>
                <w:color w:val="auto"/>
              </w:rPr>
            </w:pPr>
          </w:p>
        </w:tc>
      </w:tr>
      <w:tr>
        <w:trPr>
          <w:trHeight w:val="434"/>
        </w:trPr>
        <w:tc>
          <w:tcPr>
            <w:tcW w:w="1280" w:type="dxa"/>
            <w:vAlign w:val="bottom"/>
          </w:tcPr>
          <w:p>
            <w:pPr>
              <w:spacing w:after="0"/>
              <w:rPr>
                <w:sz w:val="24"/>
                <w:szCs w:val="24"/>
                <w:color w:val="auto"/>
              </w:rPr>
            </w:pP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14141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both"/>
        <w:ind w:left="380" w:right="59" w:hanging="330"/>
        <w:spacing w:after="0" w:line="261" w:lineRule="auto"/>
        <w:tabs>
          <w:tab w:leader="none" w:pos="39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3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9"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117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 Leon O. Moulder, Jr.</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117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 Jennifer Fox</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Title:  Chief Business Officer and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Leon O. Moulder, Jr., certify that:</w:t>
      </w:r>
    </w:p>
    <w:p>
      <w:pPr>
        <w:spacing w:after="0" w:line="225" w:lineRule="exact"/>
        <w:rPr>
          <w:sz w:val="20"/>
          <w:szCs w:val="20"/>
          <w:color w:val="auto"/>
        </w:rPr>
      </w:pPr>
    </w:p>
    <w:p>
      <w:pPr>
        <w:ind w:left="700" w:hanging="326"/>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Zenas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hanging="377"/>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15, 2025</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91"/>
        </w:trPr>
        <w:tc>
          <w:tcPr>
            <w:tcW w:w="3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1" w:name="page102"/>
    <w:bookmarkEnd w:id="101"/>
    <w:p>
      <w:pPr>
        <w:ind w:left="80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Jennifer Fox, certify that:</w:t>
      </w:r>
    </w:p>
    <w:p>
      <w:pPr>
        <w:spacing w:after="0" w:line="225" w:lineRule="exact"/>
        <w:rPr>
          <w:sz w:val="20"/>
          <w:szCs w:val="20"/>
          <w:color w:val="auto"/>
        </w:rPr>
      </w:pPr>
    </w:p>
    <w:p>
      <w:pPr>
        <w:ind w:left="700" w:hanging="326"/>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Zenas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hanging="330"/>
        <w:spacing w:after="0"/>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15, 2025</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91"/>
        </w:trPr>
        <w:tc>
          <w:tcPr>
            <w:tcW w:w="3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2" w:name="page103"/>
    <w:bookmarkEnd w:id="10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350, AS ADOPTED PURSUANT TO SECTION 906 OF THE SARBANES-OXLEY ACT OF 2002</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Zenas BioPharma, Inc. (the “Company”) hereby certifies, to the best of my knowledge, that:</w:t>
      </w:r>
    </w:p>
    <w:p>
      <w:pPr>
        <w:spacing w:after="0" w:line="207" w:lineRule="exact"/>
        <w:rPr>
          <w:sz w:val="20"/>
          <w:szCs w:val="20"/>
          <w:color w:val="auto"/>
        </w:rPr>
      </w:pPr>
    </w:p>
    <w:p>
      <w:pPr>
        <w:ind w:left="1440" w:right="219" w:hanging="377"/>
        <w:spacing w:after="0" w:line="266" w:lineRule="auto"/>
        <w:tabs>
          <w:tab w:leader="none" w:pos="1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March 31, 2025 (the “Report”) fully complies with the requirements of Section 13(a) or Section 15(d) of the Securities Exchange Act of 1934;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15, 2025</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91"/>
        </w:trPr>
        <w:tc>
          <w:tcPr>
            <w:tcW w:w="3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3" w:name="page104"/>
    <w:bookmarkEnd w:id="10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Zenas BioPharma, Inc. (the “Company”) hereby certifies, to the best of my knowledge, that:</w:t>
      </w:r>
    </w:p>
    <w:p>
      <w:pPr>
        <w:spacing w:after="0" w:line="207" w:lineRule="exact"/>
        <w:rPr>
          <w:sz w:val="20"/>
          <w:szCs w:val="20"/>
          <w:color w:val="auto"/>
        </w:rPr>
      </w:pPr>
    </w:p>
    <w:p>
      <w:pPr>
        <w:ind w:left="1440" w:right="219" w:hanging="377"/>
        <w:spacing w:after="0" w:line="266" w:lineRule="auto"/>
        <w:tabs>
          <w:tab w:leader="none" w:pos="1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March 31, 2025 (the “Report”) fully complies with the requirements of Section 13(a) or Section 15(d) of the Securities Exchange Act of 1934;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15, 2025</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91"/>
        </w:trPr>
        <w:tc>
          <w:tcPr>
            <w:tcW w:w="3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2"/>
    </w:lvl>
  </w:abstractNum>
  <w:abstractNum w:abstractNumId="8">
    <w:nsid w:val="5E884ADC"/>
    <w:multiLevelType w:val="hybridMultilevel"/>
    <w:lvl w:ilvl="0">
      <w:lvlJc w:val="left"/>
      <w:lvlText w:val="%1."/>
      <w:numFmt w:val="decimal"/>
      <w:start w:val="3"/>
    </w:lvl>
  </w:abstractNum>
  <w:abstractNum w:abstractNumId="9">
    <w:nsid w:val="51EAD36B"/>
    <w:multiLevelType w:val="hybridMultilevel"/>
    <w:lvl w:ilvl="0">
      <w:lvlJc w:val="left"/>
      <w:lvlText w:val="%1."/>
      <w:numFmt w:val="decimal"/>
      <w:start w:val="4"/>
    </w:lvl>
  </w:abstractNum>
  <w:abstractNum w:abstractNumId="10">
    <w:nsid w:val="2D517796"/>
    <w:multiLevelType w:val="hybridMultilevel"/>
    <w:lvl w:ilvl="0">
      <w:lvlJc w:val="left"/>
      <w:lvlText w:val="%1."/>
      <w:numFmt w:val="decimal"/>
      <w:start w:val="5"/>
    </w:lvl>
  </w:abstractNum>
  <w:abstractNum w:abstractNumId="11">
    <w:nsid w:val="580BD78F"/>
    <w:multiLevelType w:val="hybridMultilevel"/>
    <w:lvl w:ilvl="0">
      <w:lvlJc w:val="left"/>
      <w:lvlText w:val="%1."/>
      <w:numFmt w:val="decimal"/>
      <w:start w:val="6"/>
    </w:lvl>
  </w:abstractNum>
  <w:abstractNum w:abstractNumId="12">
    <w:nsid w:val="153EA438"/>
    <w:multiLevelType w:val="hybridMultilevel"/>
    <w:lvl w:ilvl="0">
      <w:lvlJc w:val="left"/>
      <w:lvlText w:val="%1."/>
      <w:numFmt w:val="decimal"/>
      <w:start w:val="7"/>
    </w:lvl>
  </w:abstractNum>
  <w:abstractNum w:abstractNumId="13">
    <w:nsid w:val="3855585C"/>
    <w:multiLevelType w:val="hybridMultilevel"/>
    <w:lvl w:ilvl="0">
      <w:lvlJc w:val="left"/>
      <w:lvlText w:val="%1."/>
      <w:numFmt w:val="decimal"/>
      <w:start w:val="8"/>
    </w:lvl>
  </w:abstractNum>
  <w:abstractNum w:abstractNumId="14">
    <w:nsid w:val="70A64E2A"/>
    <w:multiLevelType w:val="hybridMultilevel"/>
    <w:lvl w:ilvl="0">
      <w:lvlJc w:val="left"/>
      <w:lvlText w:val="%1."/>
      <w:numFmt w:val="decimal"/>
      <w:start w:val="9"/>
    </w:lvl>
  </w:abstractNum>
  <w:abstractNum w:abstractNumId="15">
    <w:nsid w:val="6A2342EC"/>
    <w:multiLevelType w:val="hybridMultilevel"/>
    <w:lvl w:ilvl="0">
      <w:lvlJc w:val="left"/>
      <w:lvlText w:val="%1."/>
      <w:numFmt w:val="decimal"/>
      <w:start w:val="10"/>
    </w:lvl>
  </w:abstractNum>
  <w:abstractNum w:abstractNumId="16">
    <w:nsid w:val="2A487CB0"/>
    <w:multiLevelType w:val="hybridMultilevel"/>
    <w:lvl w:ilvl="0">
      <w:lvlJc w:val="left"/>
      <w:lvlText w:val="%1."/>
      <w:numFmt w:val="decimal"/>
      <w:start w:val="11"/>
    </w:lvl>
  </w:abstractNum>
  <w:abstractNum w:abstractNumId="17">
    <w:nsid w:val="1D4ED43B"/>
    <w:multiLevelType w:val="hybridMultilevel"/>
    <w:lvl w:ilvl="0">
      <w:lvlJc w:val="left"/>
      <w:lvlText w:val="%1."/>
      <w:numFmt w:val="decimal"/>
      <w:start w:val="12"/>
    </w:lvl>
  </w:abstractNum>
  <w:abstractNum w:abstractNumId="18">
    <w:nsid w:val="725A06FB"/>
    <w:multiLevelType w:val="hybridMultilevel"/>
    <w:lvl w:ilvl="0">
      <w:lvlJc w:val="left"/>
      <w:lvlText w:val="%1."/>
      <w:numFmt w:val="decimal"/>
      <w:start w:val="13"/>
    </w:lvl>
  </w:abstractNum>
  <w:abstractNum w:abstractNumId="19">
    <w:nsid w:val="2CD89A32"/>
    <w:multiLevelType w:val="hybridMultilevel"/>
    <w:lvl w:ilvl="0">
      <w:lvlJc w:val="left"/>
      <w:lvlText w:val="%1."/>
      <w:numFmt w:val="decimal"/>
      <w:start w:val="14"/>
    </w:lvl>
  </w:abstractNum>
  <w:abstractNum w:abstractNumId="20">
    <w:nsid w:val="57E4CCAF"/>
    <w:multiLevelType w:val="hybridMultilevel"/>
    <w:lvl w:ilvl="0">
      <w:lvlJc w:val="left"/>
      <w:lvlText w:val="1"/>
      <w:numFmt w:val="bullet"/>
      <w:start w:val="1"/>
    </w:lvl>
  </w:abstractNum>
  <w:abstractNum w:abstractNumId="21">
    <w:nsid w:val="7A6D8D3C"/>
    <w:multiLevelType w:val="hybridMultilevel"/>
    <w:lvl w:ilvl="0">
      <w:lvlJc w:val="left"/>
      <w:lvlText w:val="2"/>
      <w:numFmt w:val="bullet"/>
      <w:start w:val="1"/>
    </w:lvl>
  </w:abstractNum>
  <w:abstractNum w:abstractNumId="22">
    <w:nsid w:val="4B588F54"/>
    <w:multiLevelType w:val="hybridMultilevel"/>
    <w:lvl w:ilvl="0">
      <w:lvlJc w:val="left"/>
      <w:lvlText w:val="3"/>
      <w:numFmt w:val="bullet"/>
      <w:start w:val="1"/>
    </w:lvl>
  </w:abstractNum>
  <w:abstractNum w:abstractNumId="23">
    <w:nsid w:val="542289EC"/>
    <w:multiLevelType w:val="hybridMultilevel"/>
    <w:lvl w:ilvl="0">
      <w:lvlJc w:val="left"/>
      <w:lvlText w:val="4"/>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lowerRoman"/>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16" Type="http://schemas.openxmlformats.org/officeDocument/2006/relationships/hyperlink" Target="https://www.sec.gov/Archives/edgar/data/0001953926/000110465924100177/tm2332800d24_ex3-1.htm" TargetMode="External"/><Relationship Id="rId117" Type="http://schemas.openxmlformats.org/officeDocument/2006/relationships/hyperlink" Target="https://www.sec.gov/Archives/edgar/data/0001953926/000110465924100177/tm2332800d2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2025-05-15T06:42:12Z</dcterms:created>
  <dcterms:modified xsi:type="dcterms:W3CDTF">2025-05-15T06:42:12Z</dcterms:modified>
</cp:coreProperties>
</file>