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711d1_8k.htm"/>
      <w:bookmarkStart w:id="1" w:name="kstm261071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32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March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6"/>
      <w:bookmarkEnd w:id="4"/>
      <w:r>
        <w:rPr>
          <w:rFonts w:ascii="Times New Roman;Times;Serif" w:hAnsi="Times New Roman;Times;Serif"/>
          <w:b/>
          <w:i w:val="false"/>
          <w:caps w:val="false"/>
          <w:smallCaps w:val="false"/>
          <w:sz w:val="48"/>
        </w:rPr>
        <w:t>ZENAS BIOPHARMA,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326"/>
            <w:bookmarkEnd w:id="6"/>
            <w:r>
              <w:rPr>
                <w:rFonts w:ascii="Times New Roman;Times;Serif" w:hAnsi="Times New Roman;Times;Serif"/>
                <w:b/>
                <w:sz w:val="20"/>
              </w:rPr>
              <w:t>001-42270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93-2749244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95"/>
        <w:gridCol w:w="1145"/>
      </w:tblGrid>
      <w:tr>
        <w:trPr/>
        <w:tc>
          <w:tcPr>
            <w:tcW w:w="3995" w:type="dxa"/>
            <w:tcBorders/>
            <w:vAlign w:val="center"/>
          </w:tcPr>
          <w:p>
            <w:pPr>
              <w:pStyle w:val="TableContents"/>
              <w:bidi w:val="0"/>
              <w:spacing w:before="0" w:after="283"/>
              <w:jc w:val="center"/>
              <w:rPr/>
            </w:pPr>
            <w:r>
              <w:rPr/>
              <w:t> </w:t>
            </w:r>
            <w:bookmarkStart w:id="8" w:name="xdx_90A_edei--EntityAddressAddressLine1_"/>
            <w:bookmarkEnd w:id="8"/>
            <w:r>
              <w:rPr>
                <w:b/>
              </w:rPr>
              <w:t xml:space="preserve">852 Winter Street, </w:t>
            </w:r>
            <w:bookmarkStart w:id="9" w:name="xdx_90C_edei--EntityAddressAddressLine2_"/>
            <w:bookmarkEnd w:id="9"/>
            <w:r>
              <w:rPr>
                <w:b/>
              </w:rPr>
              <w:t>Suite 250</w:t>
              <w:br/>
            </w:r>
            <w:bookmarkStart w:id="10" w:name="xdx_908_edei--EntityAddressCityOrTown_c2"/>
            <w:bookmarkEnd w:id="10"/>
            <w:r>
              <w:rPr>
                <w:b/>
              </w:rPr>
              <w:t xml:space="preserve">Waltham, </w:t>
            </w:r>
            <w:bookmarkStart w:id="11" w:name="xdx_906_edei--EntityAddressStateOrProvin"/>
            <w:bookmarkEnd w:id="11"/>
            <w:r>
              <w:rPr>
                <w:b/>
              </w:rPr>
              <w:t>Massachusetts</w:t>
            </w:r>
          </w:p>
        </w:tc>
        <w:tc>
          <w:tcPr>
            <w:tcW w:w="1145" w:type="dxa"/>
            <w:tcBorders/>
            <w:vAlign w:val="center"/>
          </w:tcPr>
          <w:p>
            <w:pPr>
              <w:pStyle w:val="TableContents"/>
              <w:bidi w:val="0"/>
              <w:spacing w:before="0" w:after="283"/>
              <w:jc w:val="center"/>
              <w:rPr/>
            </w:pPr>
            <w:r>
              <w:rPr/>
              <w:t> </w:t>
            </w:r>
            <w:bookmarkStart w:id="12" w:name="xdx_90C_edei--EntityAddressPostalZipCode"/>
            <w:bookmarkEnd w:id="12"/>
            <w:r>
              <w:rPr>
                <w:b/>
              </w:rPr>
              <w:t>02451</w:t>
            </w:r>
          </w:p>
        </w:tc>
      </w:tr>
      <w:tr>
        <w:trPr/>
        <w:tc>
          <w:tcPr>
            <w:tcW w:w="3995" w:type="dxa"/>
            <w:tcBorders/>
            <w:vAlign w:val="center"/>
          </w:tcPr>
          <w:p>
            <w:pPr>
              <w:pStyle w:val="TableContents"/>
              <w:bidi w:val="0"/>
              <w:spacing w:before="0" w:after="283"/>
              <w:jc w:val="center"/>
              <w:rPr/>
            </w:pPr>
            <w:r>
              <w:rPr>
                <w:b/>
              </w:rPr>
              <w:t>(Address of principal executive offices)</w:t>
            </w:r>
            <w:r>
              <w:rPr/>
              <w:t xml:space="preserve">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326__20"/>
      <w:bookmarkEnd w:id="13"/>
      <w:r>
        <w:rPr>
          <w:rFonts w:ascii="Times New Roman;Times;Serif" w:hAnsi="Times New Roman;Times;Serif"/>
          <w:b/>
          <w:i w:val="false"/>
          <w:caps w:val="false"/>
          <w:smallCaps w:val="false"/>
          <w:sz w:val="20"/>
        </w:rPr>
        <w:t xml:space="preserve">857) </w:t>
      </w:r>
      <w:bookmarkStart w:id="14" w:name="xdx_906_edei--LocalPhoneNumber_c20260326"/>
      <w:bookmarkEnd w:id="14"/>
      <w:r>
        <w:rPr>
          <w:rFonts w:ascii="Times New Roman;Times;Serif" w:hAnsi="Times New Roman;Times;Serif"/>
          <w:b/>
          <w:i w:val="false"/>
          <w:caps w:val="false"/>
          <w:smallCaps w:val="false"/>
          <w:sz w:val="20"/>
        </w:rPr>
        <w:t>271-2954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5_edei--SolicitingMaterial_c202603"/>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C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28" w:type="dxa"/>
          <w:right w:w="0" w:type="dxa"/>
        </w:tblCellMar>
      </w:tblPr>
      <w:tblGrid>
        <w:gridCol w:w="3620"/>
        <w:gridCol w:w="60"/>
        <w:gridCol w:w="995"/>
        <w:gridCol w:w="60"/>
        <w:gridCol w:w="2765"/>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Trading</w:t>
              <w:b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Name of each exchange</w:t>
              <w:br/>
              <w:t>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60326"/>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326__2"/>
            <w:bookmarkEnd w:id="20"/>
            <w:r>
              <w:rPr>
                <w:rFonts w:ascii="Times New Roman;Times;Serif" w:hAnsi="Times New Roman;Times;Serif"/>
                <w:b w:val="false"/>
                <w:i w:val="false"/>
                <w:caps w:val="false"/>
                <w:smallCaps w:val="false"/>
                <w:sz w:val="20"/>
              </w:rPr>
              <w:t>ZBIO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ExchangeName_c2026"/>
            <w:bookmarkEnd w:id="21"/>
            <w:r>
              <w:rPr>
                <w:rFonts w:ascii="Times New Roman;Times;Serif" w:hAnsi="Times New Roman;Times;Serif"/>
                <w:b w:val="false"/>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Zenas BioPharma, Inc. (the “Company”) completed its public offering (the “Convertible Notes Offering”) of $200,000,000 aggregate principal amount of its 2.50% Convertible Senior Notes due 2032 (the “Notes”). The Notes were issued pursuant to, and are governed by, an indenture (the “Base Indenture”), dated as of March 31, 2026, between the Company and U.S. Bank Trust Company, National Association, as trustee (the “Trustee”), as supplemented by a first supplemental indenture (the “Supplemental Indenture,” and the Base Indenture, as supplemented by the Supplemental Indenture, the “Indenture”), dated as of March 31, 2026,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general, unsecured, senior obligations of the Company. The Notes will accrue interest payable semiannually in arrears on April 1 and October 1 of each year, beginning on October 1, 2026, at a rate equal to 2.50% per year. In addition, special interest will accrue on the Notes upon the occurrence of certain events relating to the Company’s failure to file certain reports with the U.S. Securities and Exchange Commission (the “SEC”) as provided in the Indenture and as described below. The Notes will mature on April 1, 2032 (the “Maturity Date”), unless earlier converted, redeemed or repurchased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Noteholders may convert their Notes at their option only in the following circumstances: (1) during any calendar quarter (and only during such calendar quarter) commencing after the calendar quarter ending on June 30, 2026, if the last reported sale price per share of the Company’s common stock, $0.0001 par value per share (the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Common Stock on such trading day and the conversion rate on such trading day; (3) upon the occurrence of certain corporate events or distributions on the Common Stock, as described in the Indenture; (4) if the Company calls such Notes for redemption; and (5) at any time from, and including, January 1, 2032 until the close of business on the scheduled trading day immediately before the Maturity Date. The Company will settle conversions by paying or delivering, as applicable, cash, shares of Common Stock or a combination of cash and shares of Common Stock, at the Company’s election, based on the applicable conversion rate(s). The initial conversion rate is 37.7358 shares of Common Stock per $1,000 principal amount of Notes, which represents an initial conversion price of approximately $26.50 per share, and is subject to adjustment as described in the Indenture. If certain corporate events that constitute a “Make-Whole Fundamental Change” (as defined in the Indenture) occur, then the Company will in certain circumstances increase the conversion rate for a specified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in whole or in part (subject to certain limitations described below), at the Company’s option at any time, and from time to time, on a redemption date on or after April 8, 2030 and on or before the 26th scheduled trading day immediately before the Maturity Date, at a cash redemption price equal to the principal amount of the Notes to be redeemed, plus accrued and unpaid interest, if any, to, but excluding, the redemption date, but only if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$75,000,000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(as defined in the Indenture) occurs, then, subject to certain conditions and except as set forth in the Indenture, noteholders may require the Company to repurchase their Notes at a cash repurchase price equal to the principal amount of the Notes to be repurchased, plus accrued and unpaid interest, if any, to, but excluding, the fundamental change repurchase date. The definition in the Indenture of a Fundamental Change includes certain business combination transactions involving the Company and certain de-listing events with respect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$30,000,000; (vii) certain final judgments being rendered against the Company or any of its significant subsidiaries for the payment of at least $30,000,000,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descriptions of the Indenture and the Notes are summaries and are not complete. Copies of the Base Indenture, the Supplemental Indenture and the form of the certificate representing the Notes are filed as Exhibits 4.1, 4.2 and 4.3, respectively, to this Current Report on Form 8-K, and the above summaries are qualified in their entirety by reference to the terms of the Base Indenture, the Supplemental Indenture and the Notes set forth in such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shares of Common Stock are issued upon conversion of the Notes, they will be issued in transactions anticipated to be exempt from registration under the Securities Act of 1933, as amended (the “Securities Act”) by virtue of Section 3(a)(9) thereof because no commission or other remuneration is expected to be paid in connection with any conversion of the Notes and any resulting issuance of shares of Common Stock. Initially, a maximum of 11,500,000 shares of Common Stock may be issued upon conversion of the Notes based on the initial maximum conversion rate of 50.0000 shares of Common Stock per $1,000 principal amount of Notes, which is subject to customary anti-dilution adjustment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Ropes &amp; Gray LLP, relating to the validity of the Notes and the Common Stock underlying the Notes in connection with the Convertible Notes Offering, is filed as Exhibit 5.1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965"/>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2.03</w:t>
            </w:r>
          </w:p>
        </w:tc>
        <w:tc>
          <w:tcPr>
            <w:tcW w:w="8180" w:type="dxa"/>
            <w:tcBorders/>
            <w:vAlign w:val="center"/>
          </w:tcPr>
          <w:p>
            <w:pPr>
              <w:pStyle w:val="TableContents"/>
              <w:bidi w:val="0"/>
              <w:spacing w:before="0" w:after="283"/>
              <w:jc w:val="left"/>
              <w:rPr>
                <w:b/>
              </w:rPr>
            </w:pPr>
            <w:r>
              <w:rPr>
                <w:b/>
              </w:rPr>
              <w:t>Creation of a Direct Financial Obligation or an Off-Balance Sheet Arrangement.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above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entered into an underwriting agreement (the “Convertible Notes Underwriting Agreement”) with Jefferies LLC, Evercore Group L.L.C., Citigroup Global Markets Inc. and Guggenheim Securities, LLC, as representatives of the several underwriters named therein (the “Convertible Notes Underwriters”), to issue and sell $200.0 million aggregate principal amount of its Notes in the Convertible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the Convertible Notes Underwriters an option to purchase, exercisable for 30 days, up to an additional $30.0 million aggregate principal amount of Notes, solely to cover over-allotments in the Convertible Notes Offering, on the same terms and conditions. The net proceeds from the Convertible Notes Offering were approximately $193.7 million, after deducting customary underwriting discounts and offering expenses. The Company currently intends to use the net proceeds from the Convertible Notes Offering and the Equity Offering described below to support the planned U.S. commercial launch of obexelimab for the treatment of IgG4-RD, if approved, and to advance its development pipeline, including funding its ongoing and planned orelabrutinib Phase 3 clinical trials for progressive multiple sclerosis and ZB021 Phase 1 and Phase 2 clinical development, as well as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pursuant to an automatic shelf registration statement (File No. 333-290777) filed with the SEC on October 8, 2025. The Convertible Notes Offering closed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Underwriting Agreement contains customary representations, warranties, and agreements by the Company and customary conditions to closing, indemnification obligations of the Company and the Convertible Notes Underwriters, including for liabilities under the Securities Act,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Convertible Notes Underwriting Agreement is filed as Exhibit 1.1 and is incorporated herein by reference. The foregoing description of the Convertible Notes Underwriting Agreement does not purport to be complete and is qualified in its entirety by reference to such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entered into an underwriting agreement (the “Equity Underwriting Agreement”) with Jefferies LLC, Evercore Group L.L.C., Citigroup Global Markets Inc. and Guggenheim Securities, LLC, as representatives of the several underwriters named therein (collectively, the “Equity Underwriters”), to issue and sell 5,000,000 shares of the Company’s Common Stock at a public offering price of $20.00 per share (the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the Equity Underwriters a 30-day option to purchase up to an additional 750,000 shares of Common Stock, on the same terms and conditions. The net proceeds from the Equity Offering were approximately $93.7 million, after deducting customary underwriting discounts and offering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were offered pursuant to an automatic shelf registration statement (File No. 333-290777) filed with the SEC on October 8, 2025. The Equity Offering closed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Underwriting Agreement contains customary representations, warranties, and agreements by the Company and customary conditions to closing, indemnification obligations of the Company and the Equity Underwriters, including for liabilities under the Securities Act,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Equity Underwriting Agreement is filed as Exhibit 1.2 and is incorporated herein by reference. The foregoing description of the Equity Underwriting Agreement does not purport to be complete and is qualified in its entirety by reference to such exhibit. A copy of the opinion of Ropes &amp; Gray LLP, relating to the validity of the shares of Common Stock in connection with the Equity Offering, is filed as Exhibit 5.2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Current Report on Form 8-K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 looking statements include, but are not limited to, statements regarding the Company’s product candidates, market conditions and statements regarding the anticipated use of proceeds from the offerings, including the Company’s plans for development of its pipeline and potential commercialization of obexelimab. The forward-looking statements in this Current Report on Form 8-K speak only as of the date of this Current Report on Form 8-K and are subject to a number of known and unknown risks, uncertainties and assumptions that could cause the Company’s actual results to differ materially from those anticipated in the forward-looking statements, including, but not limited to: market conditions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many of which already have approved therapies in the Company’s current indications;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the risk that the data from our clinical trials is not sufficient to the satisfaction of the FDA or comparable foreign regulatory authorities to support the submission of a biologics license application or other comparable submission or to obtain regulatory approval for our product candidates for which we seek approval in the U.S. or elsewhere,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fact that the Company’s independent registered public accounting firm has expressed substantial doubt about the Company’s ability to continue as a going concern in its report on the Company’s audited financial statements included in the Company’s Annual Report on Form 10-K for the year ended December 31, 2025;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significant political, trade, regulatory developments, including changes in relations between the U.S. and China; risks related to the operations of the Company’s suppliers, many of which are located outside of the United States, including the Company’s current sole contract manufacturing organization for drug substance and drug product, WuXi Biologics (Hong Kong) Limited, which is located in China; the risk that the Company’s indebtedness resulting from the Company’s loan agreement with Pharmakon Advisors LP, and the guarantors party to such agreement, or future indebtedness could adversely affect the Company’s financial condition or restrict the Company’s future operations; and other risks and uncertainties described in the section “Risk Factors” in the Company’s Annual Report on Form 10-K for the year ended December 31, 2025, as well as other information we file with the Securities and Exchange Commission. The forward-looking statements in this Current Report on Form 8-K are inherently uncertain, speak only as of the date of this Current Report on Form 8-K and may prove incorrect. These statements are based upon information available to the Company as of the date of this Current Report on Form 8-K and while the Company believes such information forms a reasonable basis for such statements, such information may be limited or incomplete, and our statements should not be read to indicate that the Company has conducted an exhaustive inquiry into, or review of, all potentially available relevant information. Because forward-looking statements are inherently subject to risks and uncertainties, some of which cannot be predicted or quantified and some of which are beyond the Company’s control, these forward-looking statements should not be relied upon as guarantees of future events.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Except as required by applicable law, neither we, nor our affiliates, advisors or representatives, undertake any obligation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85" w:type="dxa"/>
            <w:tcBorders/>
            <w:vAlign w:val="center"/>
          </w:tcPr>
          <w:p>
            <w:pPr>
              <w:pStyle w:val="TableContents"/>
              <w:bidi w:val="0"/>
              <w:spacing w:before="0" w:after="283"/>
              <w:jc w:val="left"/>
              <w:rPr/>
            </w:pPr>
            <w:hyperlink w:anchor="tm2610711d1_ex1-1.htm">
              <w:r>
                <w:rPr>
                  <w:rStyle w:val="InternetLink"/>
                  <w:rFonts w:ascii="Times New Roman;Times;Serif" w:hAnsi="Times New Roman;Times;Serif"/>
                  <w:sz w:val="20"/>
                </w:rPr>
                <w:t>1.1</w:t>
              </w:r>
            </w:hyperlink>
          </w:p>
        </w:tc>
        <w:tc>
          <w:tcPr>
            <w:tcW w:w="9420" w:type="dxa"/>
            <w:tcBorders/>
            <w:vAlign w:val="center"/>
          </w:tcPr>
          <w:p>
            <w:pPr>
              <w:pStyle w:val="TableContents"/>
              <w:bidi w:val="0"/>
              <w:spacing w:before="0" w:after="283"/>
              <w:jc w:val="left"/>
              <w:rPr/>
            </w:pPr>
            <w:hyperlink w:anchor="tm2610711d1_ex1-1.htm">
              <w:r>
                <w:rPr>
                  <w:rStyle w:val="InternetLink"/>
                  <w:rFonts w:ascii="Times New Roman;Times;Serif" w:hAnsi="Times New Roman;Times;Serif"/>
                  <w:sz w:val="20"/>
                </w:rPr>
                <w:t>Underwriting Agreement, dated March 26, 2026, among Zenas BioPharma, Inc. and Jefferies LLC, Evercore Group L.L.C., Citigroup Global Markets Inc. and Guggenheim Securities, LLC, as representatives of the several underwriters named in Schedule A thereto (Convertible Notes Offering)</w:t>
              </w:r>
            </w:hyperlink>
          </w:p>
        </w:tc>
      </w:tr>
      <w:tr>
        <w:trPr/>
        <w:tc>
          <w:tcPr>
            <w:tcW w:w="785" w:type="dxa"/>
            <w:tcBorders/>
            <w:vAlign w:val="center"/>
          </w:tcPr>
          <w:p>
            <w:pPr>
              <w:pStyle w:val="TableContents"/>
              <w:bidi w:val="0"/>
              <w:spacing w:before="0" w:after="283"/>
              <w:jc w:val="left"/>
              <w:rPr/>
            </w:pPr>
            <w:hyperlink w:anchor="tm2610711d1_ex1-2.htm">
              <w:r>
                <w:rPr>
                  <w:rStyle w:val="InternetLink"/>
                  <w:rFonts w:ascii="Times New Roman;Times;Serif" w:hAnsi="Times New Roman;Times;Serif"/>
                  <w:sz w:val="20"/>
                </w:rPr>
                <w:t>1.2</w:t>
              </w:r>
            </w:hyperlink>
          </w:p>
        </w:tc>
        <w:tc>
          <w:tcPr>
            <w:tcW w:w="9420" w:type="dxa"/>
            <w:tcBorders/>
            <w:vAlign w:val="center"/>
          </w:tcPr>
          <w:p>
            <w:pPr>
              <w:pStyle w:val="TableContents"/>
              <w:bidi w:val="0"/>
              <w:spacing w:before="0" w:after="283"/>
              <w:jc w:val="left"/>
              <w:rPr/>
            </w:pPr>
            <w:hyperlink w:anchor="tm2610711d1_ex1-2.htm">
              <w:r>
                <w:rPr>
                  <w:rStyle w:val="InternetLink"/>
                  <w:rFonts w:ascii="Times New Roman;Times;Serif" w:hAnsi="Times New Roman;Times;Serif"/>
                  <w:sz w:val="20"/>
                </w:rPr>
                <w:t>Underwriting Agreement, dated March 26, 2026, among Zenas BioPharma, Inc. and Jefferies LLC, Evercore Group L.L.C., Citigroup Global Markets Inc. and Guggenheim Securities, LLC, as representatives of the several underwriters named in Schedule I thereto (Equity Offering)</w:t>
              </w:r>
            </w:hyperlink>
          </w:p>
        </w:tc>
      </w:tr>
      <w:tr>
        <w:trPr/>
        <w:tc>
          <w:tcPr>
            <w:tcW w:w="785" w:type="dxa"/>
            <w:tcBorders/>
            <w:vAlign w:val="center"/>
          </w:tcPr>
          <w:p>
            <w:pPr>
              <w:pStyle w:val="TableContents"/>
              <w:bidi w:val="0"/>
              <w:spacing w:before="0" w:after="283"/>
              <w:jc w:val="left"/>
              <w:rPr/>
            </w:pPr>
            <w:hyperlink w:anchor="tm2610711d1_ex4-1.htm">
              <w:r>
                <w:rPr>
                  <w:rStyle w:val="InternetLink"/>
                  <w:rFonts w:ascii="Times New Roman;Times;Serif" w:hAnsi="Times New Roman;Times;Serif"/>
                  <w:sz w:val="20"/>
                </w:rPr>
                <w:t>4.1</w:t>
              </w:r>
            </w:hyperlink>
          </w:p>
        </w:tc>
        <w:tc>
          <w:tcPr>
            <w:tcW w:w="9420" w:type="dxa"/>
            <w:tcBorders/>
            <w:vAlign w:val="center"/>
          </w:tcPr>
          <w:p>
            <w:pPr>
              <w:pStyle w:val="TableContents"/>
              <w:bidi w:val="0"/>
              <w:spacing w:before="0" w:after="283"/>
              <w:jc w:val="left"/>
              <w:rPr/>
            </w:pPr>
            <w:hyperlink w:anchor="tm2610711d1_ex4-1.htm">
              <w:r>
                <w:rPr>
                  <w:rStyle w:val="InternetLink"/>
                  <w:rFonts w:ascii="Times New Roman;Times;Serif" w:hAnsi="Times New Roman;Times;Serif"/>
                  <w:sz w:val="20"/>
                </w:rPr>
                <w:t>Indenture, dated as of March 31, 2026, between Zenas BioPharma, Inc. and U.S. Bank Trust Company, National Association, as trustee.</w:t>
              </w:r>
            </w:hyperlink>
          </w:p>
        </w:tc>
      </w:tr>
      <w:tr>
        <w:trPr/>
        <w:tc>
          <w:tcPr>
            <w:tcW w:w="785" w:type="dxa"/>
            <w:tcBorders/>
            <w:vAlign w:val="center"/>
          </w:tcPr>
          <w:p>
            <w:pPr>
              <w:pStyle w:val="TableContents"/>
              <w:bidi w:val="0"/>
              <w:spacing w:before="0" w:after="283"/>
              <w:jc w:val="left"/>
              <w:rPr/>
            </w:pPr>
            <w:hyperlink w:anchor="tm2610711d1_ex4-2.htm">
              <w:r>
                <w:rPr>
                  <w:rStyle w:val="InternetLink"/>
                  <w:rFonts w:ascii="Times New Roman;Times;Serif" w:hAnsi="Times New Roman;Times;Serif"/>
                  <w:sz w:val="20"/>
                </w:rPr>
                <w:t>4.2</w:t>
              </w:r>
            </w:hyperlink>
          </w:p>
        </w:tc>
        <w:tc>
          <w:tcPr>
            <w:tcW w:w="9420" w:type="dxa"/>
            <w:tcBorders/>
            <w:vAlign w:val="center"/>
          </w:tcPr>
          <w:p>
            <w:pPr>
              <w:pStyle w:val="TableContents"/>
              <w:bidi w:val="0"/>
              <w:spacing w:before="0" w:after="283"/>
              <w:jc w:val="left"/>
              <w:rPr/>
            </w:pPr>
            <w:hyperlink w:anchor="tm2610711d1_ex4-2.htm">
              <w:r>
                <w:rPr>
                  <w:rStyle w:val="InternetLink"/>
                  <w:rFonts w:ascii="Times New Roman;Times;Serif" w:hAnsi="Times New Roman;Times;Serif"/>
                  <w:sz w:val="20"/>
                </w:rPr>
                <w:t>First Supplemental Indenture, dated as of March 31, 2026, between Zenas BioPharma, Inc. and U.S. Bank Trust Company, National Association, as trustee.</w:t>
              </w:r>
            </w:hyperlink>
          </w:p>
        </w:tc>
      </w:tr>
      <w:tr>
        <w:trPr/>
        <w:tc>
          <w:tcPr>
            <w:tcW w:w="785" w:type="dxa"/>
            <w:tcBorders/>
            <w:vAlign w:val="center"/>
          </w:tcPr>
          <w:p>
            <w:pPr>
              <w:pStyle w:val="TableContents"/>
              <w:bidi w:val="0"/>
              <w:spacing w:before="0" w:after="283"/>
              <w:jc w:val="left"/>
              <w:rPr/>
            </w:pPr>
            <w:hyperlink w:anchor="tm2610711d1_ex4-2.htm">
              <w:r>
                <w:rPr>
                  <w:rStyle w:val="InternetLink"/>
                  <w:rFonts w:ascii="Times New Roman;Times;Serif" w:hAnsi="Times New Roman;Times;Serif"/>
                  <w:sz w:val="20"/>
                </w:rPr>
                <w:t>4.3</w:t>
              </w:r>
            </w:hyperlink>
          </w:p>
        </w:tc>
        <w:tc>
          <w:tcPr>
            <w:tcW w:w="9420" w:type="dxa"/>
            <w:tcBorders/>
            <w:vAlign w:val="center"/>
          </w:tcPr>
          <w:p>
            <w:pPr>
              <w:pStyle w:val="TableContents"/>
              <w:bidi w:val="0"/>
              <w:spacing w:before="0" w:after="283"/>
              <w:jc w:val="left"/>
              <w:rPr/>
            </w:pPr>
            <w:hyperlink w:anchor="tm2610711d1_ex4-2.htm">
              <w:r>
                <w:rPr>
                  <w:rStyle w:val="InternetLink"/>
                  <w:rFonts w:ascii="Times New Roman;Times;Serif" w:hAnsi="Times New Roman;Times;Serif"/>
                  <w:sz w:val="20"/>
                </w:rPr>
                <w:t>Form of 2.50% Convertible Senior Note due 2032 (included as Exhibit A in Exhibit 4.2).</w:t>
              </w:r>
            </w:hyperlink>
          </w:p>
        </w:tc>
      </w:tr>
      <w:tr>
        <w:trPr/>
        <w:tc>
          <w:tcPr>
            <w:tcW w:w="785" w:type="dxa"/>
            <w:tcBorders/>
            <w:vAlign w:val="center"/>
          </w:tcPr>
          <w:p>
            <w:pPr>
              <w:pStyle w:val="TableContents"/>
              <w:bidi w:val="0"/>
              <w:spacing w:before="0" w:after="283"/>
              <w:jc w:val="left"/>
              <w:rPr/>
            </w:pPr>
            <w:hyperlink w:anchor="tm2610711d1_ex5-1.htm">
              <w:r>
                <w:rPr>
                  <w:rStyle w:val="InternetLink"/>
                  <w:rFonts w:ascii="Times New Roman;Times;Serif" w:hAnsi="Times New Roman;Times;Serif"/>
                  <w:sz w:val="20"/>
                </w:rPr>
                <w:t>5.1</w:t>
              </w:r>
            </w:hyperlink>
          </w:p>
        </w:tc>
        <w:tc>
          <w:tcPr>
            <w:tcW w:w="9420" w:type="dxa"/>
            <w:tcBorders/>
            <w:vAlign w:val="center"/>
          </w:tcPr>
          <w:p>
            <w:pPr>
              <w:pStyle w:val="TableContents"/>
              <w:bidi w:val="0"/>
              <w:spacing w:before="0" w:after="283"/>
              <w:jc w:val="left"/>
              <w:rPr/>
            </w:pPr>
            <w:hyperlink w:anchor="tm2610711d1_ex5-1.htm">
              <w:r>
                <w:rPr>
                  <w:rStyle w:val="InternetLink"/>
                  <w:rFonts w:ascii="Times New Roman;Times;Serif" w:hAnsi="Times New Roman;Times;Serif"/>
                  <w:sz w:val="20"/>
                </w:rPr>
                <w:t>Opinion of Ropes &amp; Gray LLP. (Convertible Notes Offering)</w:t>
              </w:r>
            </w:hyperlink>
          </w:p>
        </w:tc>
      </w:tr>
      <w:tr>
        <w:trPr/>
        <w:tc>
          <w:tcPr>
            <w:tcW w:w="785" w:type="dxa"/>
            <w:tcBorders/>
            <w:vAlign w:val="center"/>
          </w:tcPr>
          <w:p>
            <w:pPr>
              <w:pStyle w:val="TableContents"/>
              <w:bidi w:val="0"/>
              <w:spacing w:before="0" w:after="283"/>
              <w:jc w:val="left"/>
              <w:rPr/>
            </w:pPr>
            <w:hyperlink w:anchor="tm2610711d1_ex5-2.htm">
              <w:r>
                <w:rPr>
                  <w:rStyle w:val="InternetLink"/>
                  <w:rFonts w:ascii="Times New Roman;Times;Serif" w:hAnsi="Times New Roman;Times;Serif"/>
                  <w:sz w:val="20"/>
                </w:rPr>
                <w:t>5.2</w:t>
              </w:r>
            </w:hyperlink>
          </w:p>
        </w:tc>
        <w:tc>
          <w:tcPr>
            <w:tcW w:w="9420" w:type="dxa"/>
            <w:tcBorders/>
            <w:vAlign w:val="center"/>
          </w:tcPr>
          <w:p>
            <w:pPr>
              <w:pStyle w:val="TableContents"/>
              <w:bidi w:val="0"/>
              <w:spacing w:before="0" w:after="283"/>
              <w:jc w:val="left"/>
              <w:rPr/>
            </w:pPr>
            <w:hyperlink w:anchor="tm2610711d1_ex5-2.htm">
              <w:r>
                <w:rPr>
                  <w:rStyle w:val="InternetLink"/>
                  <w:rFonts w:ascii="Times New Roman;Times;Serif" w:hAnsi="Times New Roman;Times;Serif"/>
                  <w:sz w:val="20"/>
                </w:rPr>
                <w:t>Opinion of Ropes &amp; Gray LLP. (Equity Offering)</w:t>
              </w:r>
            </w:hyperlink>
          </w:p>
        </w:tc>
      </w:tr>
      <w:tr>
        <w:trPr/>
        <w:tc>
          <w:tcPr>
            <w:tcW w:w="785" w:type="dxa"/>
            <w:tcBorders/>
            <w:vAlign w:val="center"/>
          </w:tcPr>
          <w:p>
            <w:pPr>
              <w:pStyle w:val="TableContents"/>
              <w:bidi w:val="0"/>
              <w:spacing w:before="0" w:after="283"/>
              <w:jc w:val="left"/>
              <w:rPr/>
            </w:pPr>
            <w:hyperlink w:anchor="tm2610711d1_ex5-1.htm">
              <w:r>
                <w:rPr>
                  <w:rStyle w:val="InternetLink"/>
                  <w:rFonts w:ascii="Times New Roman;Times;Serif" w:hAnsi="Times New Roman;Times;Serif"/>
                  <w:sz w:val="20"/>
                </w:rPr>
                <w:t>23.1</w:t>
              </w:r>
            </w:hyperlink>
          </w:p>
        </w:tc>
        <w:tc>
          <w:tcPr>
            <w:tcW w:w="9420" w:type="dxa"/>
            <w:tcBorders/>
            <w:vAlign w:val="center"/>
          </w:tcPr>
          <w:p>
            <w:pPr>
              <w:pStyle w:val="TableContents"/>
              <w:bidi w:val="0"/>
              <w:spacing w:before="0" w:after="283"/>
              <w:jc w:val="left"/>
              <w:rPr/>
            </w:pPr>
            <w:hyperlink w:anchor="tm2610711d1_ex5-1.htm">
              <w:r>
                <w:rPr>
                  <w:rStyle w:val="InternetLink"/>
                  <w:rFonts w:ascii="Times New Roman;Times;Serif" w:hAnsi="Times New Roman;Times;Serif"/>
                  <w:sz w:val="20"/>
                </w:rPr>
                <w:t>Consent of Ropes &amp; Gray LLP (included in Exhibit 5.1). (Convertible Notes Offering)</w:t>
              </w:r>
            </w:hyperlink>
          </w:p>
        </w:tc>
      </w:tr>
      <w:tr>
        <w:trPr/>
        <w:tc>
          <w:tcPr>
            <w:tcW w:w="785" w:type="dxa"/>
            <w:tcBorders/>
            <w:vAlign w:val="center"/>
          </w:tcPr>
          <w:p>
            <w:pPr>
              <w:pStyle w:val="TableContents"/>
              <w:bidi w:val="0"/>
              <w:spacing w:before="0" w:after="283"/>
              <w:jc w:val="left"/>
              <w:rPr/>
            </w:pPr>
            <w:hyperlink w:anchor="tm2610711d1_ex5-2.htm">
              <w:r>
                <w:rPr>
                  <w:rStyle w:val="InternetLink"/>
                  <w:rFonts w:ascii="Times New Roman;Times;Serif" w:hAnsi="Times New Roman;Times;Serif"/>
                  <w:sz w:val="20"/>
                </w:rPr>
                <w:t>23.2</w:t>
              </w:r>
            </w:hyperlink>
          </w:p>
        </w:tc>
        <w:tc>
          <w:tcPr>
            <w:tcW w:w="9420" w:type="dxa"/>
            <w:tcBorders/>
            <w:vAlign w:val="center"/>
          </w:tcPr>
          <w:p>
            <w:pPr>
              <w:pStyle w:val="TableContents"/>
              <w:bidi w:val="0"/>
              <w:spacing w:before="0" w:after="283"/>
              <w:jc w:val="left"/>
              <w:rPr/>
            </w:pPr>
            <w:hyperlink w:anchor="tm2610711d1_ex5-2.htm">
              <w:r>
                <w:rPr>
                  <w:rStyle w:val="InternetLink"/>
                  <w:rFonts w:ascii="Times New Roman;Times;Serif" w:hAnsi="Times New Roman;Times;Serif"/>
                  <w:sz w:val="20"/>
                </w:rPr>
                <w:t>Consent of Ropes &amp; Gray LLP (included in Exhibit 5.2). (Equity Offering)</w:t>
              </w:r>
            </w:hyperlink>
          </w:p>
        </w:tc>
      </w:tr>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2120"/>
        <w:gridCol w:w="320"/>
        <w:gridCol w:w="4100"/>
      </w:tblGrid>
      <w:tr>
        <w:trPr/>
        <w:tc>
          <w:tcPr>
            <w:tcW w:w="2120" w:type="dxa"/>
            <w:tcBorders/>
            <w:vAlign w:val="center"/>
          </w:tcPr>
          <w:p>
            <w:pPr>
              <w:pStyle w:val="TableContents"/>
              <w:bidi w:val="0"/>
              <w:spacing w:before="0" w:after="283"/>
              <w:jc w:val="left"/>
              <w:rPr/>
            </w:pPr>
            <w:r>
              <w:rPr/>
              <w:t>Date: March 31, 2026</w:t>
            </w:r>
          </w:p>
        </w:tc>
        <w:tc>
          <w:tcPr>
            <w:tcW w:w="44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ZENAS BIOPHARMA, INC.</w:t>
            </w:r>
          </w:p>
        </w:tc>
      </w:tr>
      <w:tr>
        <w:trPr/>
        <w:tc>
          <w:tcPr>
            <w:tcW w:w="2120" w:type="dxa"/>
            <w:tcBorders/>
            <w:vAlign w:val="center"/>
          </w:tcPr>
          <w:p>
            <w:pPr>
              <w:pStyle w:val="TableContents"/>
              <w:bidi w:val="0"/>
              <w:spacing w:before="0" w:after="283"/>
              <w:jc w:val="left"/>
              <w:rPr/>
            </w:pPr>
            <w:r>
              <w:rPr/>
              <w:t> </w:t>
            </w:r>
          </w:p>
        </w:tc>
        <w:tc>
          <w:tcPr>
            <w:tcW w:w="442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Fox</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Fox</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Business Officer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4" w:name="tm2610711d1_ex1-1.htm"/>
      <w:bookmarkStart w:id="25" w:name="kstm2610711d1_ex11"/>
      <w:bookmarkEnd w:id="24"/>
      <w:bookmarkEnd w:id="25"/>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 2.50% Convertible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b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EVERCORE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Introductory.</w:t>
      </w:r>
      <w:r>
        <w:rPr>
          <w:rFonts w:ascii="Times New Roman;Times;Serif" w:hAnsi="Times New Roman;Times;Serif"/>
          <w:b w:val="false"/>
          <w:i w:val="false"/>
          <w:caps w:val="false"/>
          <w:smallCaps w:val="false"/>
          <w:sz w:val="20"/>
        </w:rPr>
        <w:t xml:space="preserve"> Zenas BioPharma,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$200,000,000 principal amount of 2.50% Convertible Senior Notes due 2032 of the Company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$200,000,000 principal amount of Securities to be sold by the Company are called the “</w:t>
      </w:r>
      <w:r>
        <w:rPr>
          <w:rFonts w:ascii="Times New Roman;Times;Serif" w:hAnsi="Times New Roman;Times;Serif"/>
          <w:b/>
          <w:i w:val="false"/>
          <w:caps w:val="false"/>
          <w:smallCaps w:val="false"/>
          <w:sz w:val="20"/>
        </w:rPr>
        <w:t>Firm Securities</w:t>
      </w:r>
      <w:r>
        <w:rPr>
          <w:rFonts w:ascii="Times New Roman;Times;Serif" w:hAnsi="Times New Roman;Times;Serif"/>
          <w:b w:val="false"/>
          <w:i w:val="false"/>
          <w:caps w:val="false"/>
          <w:smallCaps w:val="false"/>
          <w:sz w:val="20"/>
        </w:rPr>
        <w:t>.” In addition, the Company has granted to the Underwriters an option to purchase up to an additional $30,000,000 principal amount of Securities as provided in Section 2. The additional $30,000,000 principal amount of Securities to be sold by the Company pursuant to such option are collectively called the “</w:t>
      </w:r>
      <w:r>
        <w:rPr>
          <w:rFonts w:ascii="Times New Roman;Times;Serif" w:hAnsi="Times New Roman;Times;Serif"/>
          <w:b/>
          <w:i w:val="false"/>
          <w:caps w:val="false"/>
          <w:smallCaps w:val="false"/>
          <w:sz w:val="20"/>
        </w:rPr>
        <w:t>Optional Securities</w:t>
      </w:r>
      <w:r>
        <w:rPr>
          <w:rFonts w:ascii="Times New Roman;Times;Serif" w:hAnsi="Times New Roman;Times;Serif"/>
          <w:b w:val="false"/>
          <w:i w:val="false"/>
          <w:caps w:val="false"/>
          <w:smallCaps w:val="false"/>
          <w:sz w:val="20"/>
        </w:rPr>
        <w:t>.” The Firm Securities and, if and to the extent such option is exercised, the Optional Securities are collectively called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Evercore Group L.L.C. (“</w:t>
      </w:r>
      <w:r>
        <w:rPr>
          <w:rFonts w:ascii="Times New Roman;Times;Serif" w:hAnsi="Times New Roman;Times;Serif"/>
          <w:b/>
          <w:i w:val="false"/>
          <w:caps w:val="false"/>
          <w:smallCaps w:val="false"/>
          <w:sz w:val="20"/>
        </w:rPr>
        <w:t>Evercore</w:t>
      </w:r>
      <w:r>
        <w:rPr>
          <w:rFonts w:ascii="Times New Roman;Times;Serif" w:hAnsi="Times New Roman;Times;Serif"/>
          <w:b w:val="false"/>
          <w:i w:val="false"/>
          <w:caps w:val="false"/>
          <w:smallCaps w:val="false"/>
          <w:sz w:val="20"/>
        </w:rPr>
        <w:t>”), Citigroup Global Markets Inc. (“</w:t>
      </w:r>
      <w:r>
        <w:rPr>
          <w:rFonts w:ascii="Times New Roman;Times;Serif" w:hAnsi="Times New Roman;Times;Serif"/>
          <w:b/>
          <w:i w:val="false"/>
          <w:caps w:val="false"/>
          <w:smallCaps w:val="false"/>
          <w:sz w:val="20"/>
        </w:rPr>
        <w:t>Citigroup</w:t>
      </w:r>
      <w:r>
        <w:rPr>
          <w:rFonts w:ascii="Times New Roman;Times;Serif" w:hAnsi="Times New Roman;Times;Serif"/>
          <w:b w:val="false"/>
          <w:i w:val="false"/>
          <w:caps w:val="false"/>
          <w:smallCaps w:val="false"/>
          <w:sz w:val="20"/>
        </w:rPr>
        <w:t>”) and Guggenheim Securities, LLC (“</w:t>
      </w:r>
      <w:r>
        <w:rPr>
          <w:rFonts w:ascii="Times New Roman;Times;Serif" w:hAnsi="Times New Roman;Times;Serif"/>
          <w:b/>
          <w:i w:val="false"/>
          <w:caps w:val="false"/>
          <w:smallCaps w:val="false"/>
          <w:sz w:val="20"/>
        </w:rPr>
        <w:t>Guggenheim Securities</w:t>
      </w:r>
      <w:r>
        <w:rPr>
          <w:rFonts w:ascii="Times New Roman;Times;Serif" w:hAnsi="Times New Roman;Times;Serif"/>
          <w:b w:val="false"/>
          <w:i w:val="false"/>
          <w:caps w:val="false"/>
          <w:smallCaps w:val="false"/>
          <w:sz w:val="20"/>
        </w:rPr>
        <w:t>”) have agreed to act as representatives of the several Underwriters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in connection with the offering and sale of the Offered Securities. The Offered Securities will be convertible into cash, shares (the “</w:t>
      </w:r>
      <w:r>
        <w:rPr>
          <w:rFonts w:ascii="Times New Roman;Times;Serif" w:hAnsi="Times New Roman;Times;Serif"/>
          <w:b/>
          <w:i w:val="false"/>
          <w:caps w:val="false"/>
          <w:smallCaps w:val="false"/>
          <w:sz w:val="20"/>
        </w:rPr>
        <w:t>Underlying Securities</w:t>
      </w:r>
      <w:r>
        <w:rPr>
          <w:rFonts w:ascii="Times New Roman;Times;Serif" w:hAnsi="Times New Roman;Times;Serif"/>
          <w:b w:val="false"/>
          <w:i w:val="false"/>
          <w:caps w:val="false"/>
          <w:smallCaps w:val="false"/>
          <w:sz w:val="20"/>
        </w:rPr>
        <w:t>”) of common stock of the Company,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or a combination of cash and Underlying Securities, at the Company’s election. The Securities will be issued pursuant to an indenture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as supplemented by a supplemental indenture (the Base Indenture, as so supplemented,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 each case, to be dated as of the First Closing Date (as hereinafter defined), between the Company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To the extent there are no additional underwriters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term “Representatives” as used herein shall mean you, as Underwriter, and the term “Underwriters” shall mean either the singular or the plural,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concurrently with the offering of the Offered Securities, the Company will, among other things, issue and sell up to 5,750,000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pursuant to a separate underwriting agreement and separate prospectus supplement, subject to customary closing conditions (such offering, the “</w:t>
      </w:r>
      <w:r>
        <w:rPr>
          <w:rFonts w:ascii="Times New Roman;Times;Serif" w:hAnsi="Times New Roman;Times;Serif"/>
          <w:b/>
          <w:i w:val="false"/>
          <w:caps w:val="false"/>
          <w:smallCaps w:val="false"/>
          <w:sz w:val="20"/>
        </w:rPr>
        <w:t>Concurrent Offering</w:t>
      </w:r>
      <w:r>
        <w:rPr>
          <w:rFonts w:ascii="Times New Roman;Times;Serif" w:hAnsi="Times New Roman;Times;Serif"/>
          <w:b w:val="false"/>
          <w:i w:val="false"/>
          <w:caps w:val="false"/>
          <w:smallCaps w:val="false"/>
          <w:sz w:val="20"/>
        </w:rPr>
        <w:t>”). The offering of the Offered Securities is not contingent upon the completion of the Concurrent Offering, the Concurrent Offering is not contingent upon the completion of the offering of the Offered Securities, and the Offered Securities are not being offered together with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S-3 (File No. 333-290777), including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to be used in connection with the public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all documents incorporated or deemed to be incorporated by reference therein and any information deemed to be a part thereof at the time of effectiveness pursuant to Rule 430B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preliminary prospectus supplement dated March 26, 2026 describing the Offered Securities and the offering thereof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together with the Base Prospectus, is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and the Preliminary Prospectus and any other prospectus supplement to the Base Prospectus in preliminary form that describes the Offered Securities and the offering thereof and is used prior to the filing of the Prospectus (as defined below), together with the Base Prospectus, is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final prospectus supplement to the Base Prospectus that describes the Offered Securities and the offering thereof (the “</w:t>
      </w:r>
      <w:r>
        <w:rPr>
          <w:rFonts w:ascii="Times New Roman;Times;Serif" w:hAnsi="Times New Roman;Times;Serif"/>
          <w:b/>
          <w:i w:val="false"/>
          <w:caps w:val="false"/>
          <w:smallCaps w:val="false"/>
          <w:sz w:val="20"/>
        </w:rPr>
        <w:t>Final Prospectus Supplement</w:t>
      </w:r>
      <w:r>
        <w:rPr>
          <w:rFonts w:ascii="Times New Roman;Times;Serif" w:hAnsi="Times New Roman;Times;Serif"/>
          <w:b w:val="false"/>
          <w:i w:val="false"/>
          <w:caps w:val="false"/>
          <w:smallCaps w:val="false"/>
          <w:sz w:val="20"/>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6:50 p.m. (New York City time) on March 26, 2026. As used herein,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has the meaning set forth in Rule 433(h) under the Securities Act and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Preliminary Prospectus, as amended or supplemented immediately prior to the Applicable Time, together with the free writing prospectuses, if any, identified in </w:t>
      </w:r>
      <w:r>
        <w:rPr>
          <w:rFonts w:ascii="Times New Roman;Times;Serif" w:hAnsi="Times New Roman;Times;Serif"/>
          <w:b w:val="false"/>
          <w:i w:val="false"/>
          <w:caps w:val="false"/>
          <w:smallCaps w:val="false"/>
          <w:sz w:val="20"/>
          <w:u w:val="single"/>
        </w:rPr>
        <w:t xml:space="preserve">Schedule B </w:t>
      </w:r>
      <w:r>
        <w:rPr>
          <w:rFonts w:ascii="Times New Roman;Times;Serif" w:hAnsi="Times New Roman;Times;Serif"/>
          <w:b w:val="false"/>
          <w:i w:val="false"/>
          <w:caps w:val="false"/>
          <w:smallCaps w:val="false"/>
          <w:sz w:val="20"/>
        </w:rPr>
        <w:t xml:space="preserve">hereto and the pricing term sheet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hereto. As used herein,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xml:space="preserve"> means a “road show” (as defined in Rule 433 under the Securities Act) relating to the offering of the Offered Securities contemplated hereby that is a “written communication” (as defined in Rule 405 under the Securities Act). As used herein, “</w:t>
      </w:r>
      <w:r>
        <w:rPr>
          <w:rFonts w:ascii="Times New Roman;Times;Serif" w:hAnsi="Times New Roman;Times;Serif"/>
          <w:b/>
          <w:i w:val="false"/>
          <w:caps w:val="false"/>
          <w:smallCaps w:val="false"/>
          <w:sz w:val="20"/>
        </w:rPr>
        <w:t>Section 5(d) Written Communication</w:t>
      </w:r>
      <w:r>
        <w:rPr>
          <w:rFonts w:ascii="Times New Roman;Times;Serif" w:hAnsi="Times New Roman;Times;Serif"/>
          <w:b w:val="false"/>
          <w:i w:val="false"/>
          <w:caps w:val="false"/>
          <w:smallCaps w:val="false"/>
          <w:sz w:val="20"/>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Times;Serif" w:hAnsi="Times New Roman;Times;Serif"/>
          <w:b/>
          <w:i w:val="false"/>
          <w:caps w:val="false"/>
          <w:smallCaps w:val="false"/>
          <w:sz w:val="20"/>
        </w:rPr>
        <w:t>QIBs</w:t>
      </w:r>
      <w:r>
        <w:rPr>
          <w:rFonts w:ascii="Times New Roman;Times;Serif" w:hAnsi="Times New Roman;Times;Serif"/>
          <w:b w:val="false"/>
          <w:i w:val="false"/>
          <w:caps w:val="false"/>
          <w:smallCaps w:val="false"/>
          <w:sz w:val="20"/>
        </w:rPr>
        <w:t>”) and/or institutions that are accredited investors (“</w:t>
      </w:r>
      <w:r>
        <w:rPr>
          <w:rFonts w:ascii="Times New Roman;Times;Serif" w:hAnsi="Times New Roman;Times;Serif"/>
          <w:b/>
          <w:i w:val="false"/>
          <w:caps w:val="false"/>
          <w:smallCaps w:val="false"/>
          <w:sz w:val="20"/>
        </w:rPr>
        <w:t>IAIs</w:t>
      </w:r>
      <w:r>
        <w:rPr>
          <w:rFonts w:ascii="Times New Roman;Times;Serif" w:hAnsi="Times New Roman;Times;Serif"/>
          <w:b w:val="false"/>
          <w:i w:val="false"/>
          <w:caps w:val="false"/>
          <w:smallCaps w:val="false"/>
          <w:sz w:val="20"/>
        </w:rPr>
        <w:t>”), as such terms are respectively defined in Rule 144A and Rule 501(a) under the Securities Act, to determine whether such investors might have an interest in the offering of the Offered Securities; “</w:t>
      </w:r>
      <w:r>
        <w:rPr>
          <w:rFonts w:ascii="Times New Roman;Times;Serif" w:hAnsi="Times New Roman;Times;Serif"/>
          <w:b/>
          <w:i w:val="false"/>
          <w:caps w:val="false"/>
          <w:smallCaps w:val="false"/>
          <w:sz w:val="20"/>
        </w:rPr>
        <w:t>Section 5(d) Oral Communication</w:t>
      </w:r>
      <w:r>
        <w:rPr>
          <w:rFonts w:ascii="Times New Roman;Times;Serif" w:hAnsi="Times New Roman;Times;Serif"/>
          <w:b w:val="false"/>
          <w:i w:val="false"/>
          <w:caps w:val="false"/>
          <w:smallCaps w:val="false"/>
          <w:sz w:val="20"/>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Securities;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 and “</w:t>
      </w:r>
      <w:r>
        <w:rPr>
          <w:rFonts w:ascii="Times New Roman;Times;Serif" w:hAnsi="Times New Roman;Times;Serif"/>
          <w:b/>
          <w:i w:val="false"/>
          <w:caps w:val="false"/>
          <w:smallCaps w:val="false"/>
          <w:sz w:val="20"/>
        </w:rPr>
        <w:t>Permitted Section 5(d) Communication</w:t>
      </w:r>
      <w:r>
        <w:rPr>
          <w:rFonts w:ascii="Times New Roman;Times;Serif" w:hAnsi="Times New Roman;Times;Serif"/>
          <w:b w:val="false"/>
          <w:i w:val="false"/>
          <w:caps w:val="false"/>
          <w:smallCaps w:val="false"/>
          <w:sz w:val="20"/>
        </w:rPr>
        <w:t xml:space="preserve">” means the Section 5(d) Written Communication(s) and Marketing Materials listed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any free writing prospectus, or any issuer free writing prospectus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and (ii) the Prospectus shall be deemed to include any “electronic Prospectus” provided for use in connection with the offering of the Offered Securities as contemplated by Section 3(n)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agreements with the Underwriters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w:t>
        <w:tab/>
        <w:t>     Representations and Warranties of the Company.</w:t>
      </w:r>
      <w:r>
        <w:rPr>
          <w:rFonts w:ascii="Times New Roman;Times;Serif" w:hAnsi="Times New Roman;Times;Serif"/>
          <w:b w:val="false"/>
          <w:i w:val="false"/>
          <w:caps w:val="false"/>
          <w:smallCaps w:val="false"/>
          <w:sz w:val="20"/>
        </w:rPr>
        <w:t xml:space="preserve"> The Company hereby represents, warrants and covenants to each Underwriter, as of the date of this Agreement, as of the First Closing Date (as hereinafter defined) and as of each Option Closing Date (as hereinafter defined), if 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Compliance with Registration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 Statement has become effective; no stop order suspending the effectiveness of the Registration Statement is in effect, and no proceedings for such purpose or pursuant to Section 8A of the Securities Act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Disclosure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Each document, if any, filed or to be filed pursuant to the Exchange Act and incorporated by reference in the Registration Statement, Time of Sale Prospectus or the Prospectus complied when so filed or will comply when so filed in all material respects with the Exchange Act and the applicable rules and regulations of the Commission thereunder, (ii) each part of the Registration Statement, when such part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as of the date of such amendment or supplement, will comply in all material respects with the Securities Act and the applicable rules and regulations of the Commission thereunder and the Trust Indenture Act of 1939, as amended, and the rules and Regulations of the Commission thereunder (collectively, the “</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(iv) the Time of Sale Prospectus does not, and at the time of each sale of the Offered Securities in connection with the offering when the Prospectus is not yet available to prospective purchasers and at the Closing Date (as defined in Section 2), the Time of Sale Prospectus, as then amended or supplemented by the Company, if applicable, as of the date of such amendment or supplement, will not, contain any untrue statement of a material fact or omit to state a material fact necessary in order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and (vi) the Prospectus, as of its date, does not contain and, as amended or supplemented, if applicable, as of the date of such amendment or supplement, will not contain any untrue statement of a material fact or omit to state a material fact necessary in order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(1) based upon information relating to any Underwriter furnished to the Company in writing by or on behalf of such Underwriter through the Representatives expressly for use therein or (2) from that part of the Registration Statement that constitutes the Statement of Eligibility and Qualification (Form T-1) of the Trustee under the Trust Indenture Act. The statements set forth in the Registration Statement, the Time of Sale Prospectus and the Prospectus under the caption “Description of Notes” and “Description of Common Stock” insofar as they purport to constitute a summary of the terms of the Offered Securities and the Common Stock, and under the caption “Material U.S. Federal Income Tax Considerations,” insofar as they purport to describe laws or legal conclusions with respect thereto, in each case, are accurate, complete and fair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Free Writing Prospectuses; Road Show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applicable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and electronic road shows, if any, each furnished to the Representatives before first use, the Company has not prepared, used or referred to, and will not, without the prior consent of the Representatives,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Incorporation and Good Standing of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has been duly incorporated, is validly existing as a corporation in good standing under the laws of the State of Delaware, has the corporate power and authority necessary to own or lease its property and to conduct its business as described in each of the Registration Statement, the Time of Sale Prospectus and the Prospectus and is duly qualified to transact business and is in good standing in each jurisdiction (to the extent such concept of good standing is applicable in such jurisdiction) in which the conduct of its business or its ownership or leasing of property requires such qualification, except to the extent that the failure to be so qualified or be in good standing or have such power or authority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Incorporation and Good Standing of Subsidiaries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subsidiary of the Company has been duly incorporated, organized or formed, as applicable, is validly existing as a corporation or other business entity in good standing (to the extent such concept of good standing is applicable in such jurisdiction) under the laws of the jurisdiction of its incorporation, organization or formation, as applicable, has the corporate or other business entity power and authority, as applicable, to own or lease its property and to conduct its business as described in each of the Registration Statement, the Time of Sale Prospectus and the Prospectus and is duly qualified to transact business and is in good standing (to the extent such concept of good standing is applicable in such jurisdiction) in each jurisdiction in which the conduct of its business or its ownership or leasing of property requires such qualification, except to the extent that the failure to be so qualified or be in good standing or have such power and authority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in such jurisdiction) and are owned directly or indirectly by the Company, free and clear of all liens, encumbrances, equities or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Due Authorization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Authorized Capital Stock</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authorized capital stock of the Company, including the shares of Common Stock underlying the Offered Securities, conforms in all material respects as to legal matters to the description thereof contained in each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 xml:space="preserve">Due Authorization of Outstanding Common Stock. </w:t>
      </w:r>
      <w:r>
        <w:rPr>
          <w:rFonts w:ascii="Times New Roman;Times;Serif" w:hAnsi="Times New Roman;Times;Serif"/>
          <w:b w:val="false"/>
          <w:i w:val="false"/>
          <w:caps w:val="false"/>
          <w:smallCaps w:val="false"/>
          <w:sz w:val="20"/>
        </w:rPr>
        <w:t>The shares of Common Stock outstanding prior to the issuance of the Offered Securities have been duly authorized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Authorization of the Offered Securities.</w:t>
      </w:r>
      <w:r>
        <w:rPr>
          <w:rFonts w:ascii="Times New Roman;Times;Serif" w:hAnsi="Times New Roman;Times;Serif"/>
          <w:b w:val="false"/>
          <w:i w:val="false"/>
          <w:caps w:val="false"/>
          <w:smallCaps w:val="false"/>
          <w:sz w:val="20"/>
        </w:rPr>
        <w:t xml:space="preserve"> The Offered Securities have been duly authorized for issuance and sale pursuant to this Agreement and at the First Closing Date and any Option Closing Date, as the case may be, will have been duly executed by the Company and, when authenticated, issued and delivered by the Company as provided in the Indenture against payment therefor pursuant to this Agreement, will be duly and validly issued and outstanding and will constitute valid and legally binding obligations of the Company enforceable against the Company in accordance with their terms, subject to the Enforceability Exceptions (as defined below), and will be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Stock Option Plans of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With respect to the stock options granted pursuant to the stock-based compensation plans of the Company and its subsidiaries (the “</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(ii) each such grant was made in accordance with the terms of the Company Stock Plans, and all applicable laws and regulatory rules or requirements, including all applicable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Non-Contravention of Existing Instruments; No Further Authorizations or Approvals Required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execution and delivery by the Company of, and the performance by the Company of its obligations under, each of this Agreement, the Indenture and the Offered Securities (together,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including the issuance and delivery of cash, shares of Underlying Securities or a combination of cash and Underlying Securities upon conversion thereof,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where such contravention would not, singly or in the aggregate, reasonably be expected to have a material adverse effect on the Company and its subsidiaries taken as a whole, and no consent, approval, authorization or order of, or qualification with, any governmental body, agency or court having jurisdiction over the Company or any subsidiary is required for the performance by the Company of its obligations under each of the Transaction Documents, except for the registration of the Offered Securities under the Securities Act and the qualification of the Indenture under the Trust Indenture Act and such consents, approvals, authorizations, orders and registrations or qualifications as may be required by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and as may be required by the securities or Blue Sky laws of the various states and foreign securities laws in connection with the purchase and distribution of the Offered Securities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No Material Adverse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 xml:space="preserve">Organizational Documents and Material Contracts. </w:t>
      </w:r>
      <w:r>
        <w:rPr>
          <w:rFonts w:ascii="Times New Roman;Times;Serif" w:hAnsi="Times New Roman;Times;Serif"/>
          <w:b w:val="false"/>
          <w:i w:val="false"/>
          <w:caps w:val="false"/>
          <w:smallCaps w:val="false"/>
          <w:sz w:val="20"/>
        </w:rPr>
        <w:t>Neither the Company nor any of its subsidiaries is (i) in violation of its respective certificate of incorporation, bylaws or other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binding upon the Company or any of its subsidiaries to the Company and its subsidiaries, taken as a whole; or (iii) in violation of any law or statute or any judgment, order, rule or regulation of any court or arbitrator or governmental or regulatory authority applicable to the Company, any of its subsidiaries or their respective businesses and properties, except, in the case of clauses (ii) and (iii) above, for any such default or violation that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i/>
          <w:caps w:val="false"/>
          <w:smallCaps w:val="false"/>
          <w:sz w:val="20"/>
        </w:rPr>
        <w:t>No Material Actions or Proceedings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each of the Transaction Documents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to which the Company is subject or by which the Company is bound that are required to be described in the Registration Statement, the Time of Sale Prospectus or the Prospectus or to be filed or incorporated by reference as exhibits to the Registration Statement that are not described in all material respects or filed or incorporated by reference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i/>
          <w:caps w:val="false"/>
          <w:smallCaps w:val="false"/>
          <w:sz w:val="20"/>
        </w:rPr>
        <w:t>Preliminary Prospectus Compliance.</w:t>
      </w:r>
      <w:r>
        <w:rPr>
          <w:rFonts w:ascii="Times New Roman;Times;Serif" w:hAnsi="Times New Roman;Times;Serif"/>
          <w:b w:val="false"/>
          <w:i w:val="false"/>
          <w:caps w:val="false"/>
          <w:smallCaps w:val="false"/>
          <w:sz w:val="20"/>
        </w:rPr>
        <w:t xml:space="preserve"> 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i/>
          <w:caps w:val="false"/>
          <w:smallCaps w:val="false"/>
          <w:sz w:val="20"/>
        </w:rPr>
        <w:t>Company Not an “Investment Company.”</w:t>
      </w:r>
      <w:r>
        <w:rPr>
          <w:rFonts w:ascii="Times New Roman;Times;Serif" w:hAnsi="Times New Roman;Times;Serif"/>
          <w:b w:val="false"/>
          <w:i w:val="false"/>
          <w:caps w:val="false"/>
          <w:smallCaps w:val="false"/>
          <w:sz w:val="20"/>
        </w:rPr>
        <w:t xml:space="preserve"> The Company is not, and after giving effect to the offering and sale of the Offered Securities and the offering and sale of the Shares in the Concurrent Offering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i/>
          <w:caps w:val="false"/>
          <w:smallCaps w:val="false"/>
          <w:sz w:val="20"/>
        </w:rPr>
        <w:t>Compliance with Environmental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in each case of (i) through (iii) above, where such noncompliance with applicable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i/>
          <w:caps w:val="false"/>
          <w:smallCaps w:val="false"/>
          <w:sz w:val="20"/>
        </w:rPr>
        <w:t>No Liabilities Pursuant to Environmental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costs or liabilities of the Company or its subsidiaries arising under applicable Environmental Laws (including, without limitation, any capital or operating expenditures required for clean-up, closure of properties or compliance with Environmental Laws or any permit, license or approval required under applicable Environmental Laws, any related constraints on operating activities and any potential liabilities to third parties) which would,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i/>
          <w:caps w:val="false"/>
          <w:smallCaps w:val="false"/>
          <w:sz w:val="20"/>
        </w:rPr>
        <w:t>Registration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described in the Registration Statement, the Time of Sale Prospectus or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Offered Securities registered pursuant to the Registration Statement, except as otherwise have been validly waived in connection with the issuance and sale of the Offered Securities contemplated hereby and as described in the Registration Statement,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i/>
          <w:caps w:val="false"/>
          <w:smallCaps w:val="false"/>
          <w:sz w:val="20"/>
        </w:rPr>
        <w:t>Anti-Corruption and Anti-Bribery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None of the Company or any of its subsidiaries or controlled affiliates, or any director, officer, or employee thereof, nor,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in order to improperly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i/>
          <w:caps w:val="false"/>
          <w:smallCaps w:val="false"/>
          <w:sz w:val="20"/>
        </w:rPr>
        <w:t>Anti-Money Laundering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or regulatory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or regulatory agency, authority or body or any arbitrator involving the Company or any of its subsidiaries with respect to the Anti-Money Laundering Laws is pending or, to the Company’s knowledge,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i/>
          <w:caps w:val="false"/>
          <w:smallCaps w:val="false"/>
          <w:sz w:val="20"/>
        </w:rPr>
        <w:t>No Conflicts with Sanctions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None of the Company, any of its subsidiaries, or any director, or employee thereof, or, to the Company’s knowledge, any agent, controlled affiliate or representative of the Company or any of its subsidiaries, is an individual or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that is, or is owned or controlled by one or more Persons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Crimea, Cuba, Iran, North Korea, Syria, and the Donetsk People’s Republic and Luhansk People’s Republic located in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val="false"/>
          <w:i w:val="false"/>
          <w:caps w:val="false"/>
          <w:smallCaps w:val="false"/>
          <w:sz w:val="20"/>
        </w:rPr>
        <w:t>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i/>
          <w:caps w:val="false"/>
          <w:smallCaps w:val="false"/>
          <w:sz w:val="20"/>
        </w:rPr>
        <w:t>Company Operations in Ordinary Course of Business.</w:t>
      </w:r>
      <w:r>
        <w:rPr>
          <w:rFonts w:ascii="Times New Roman;Times;Serif" w:hAnsi="Times New Roman;Times;Serif"/>
          <w:b w:val="false"/>
          <w:i w:val="false"/>
          <w:caps w:val="false"/>
          <w:smallCaps w:val="false"/>
          <w:sz w:val="20"/>
        </w:rPr>
        <w:t xml:space="preserve">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the terms of the employee benefit or stock-based compensation plans or agreements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i/>
          <w:caps w:val="false"/>
          <w:smallCaps w:val="false"/>
          <w:sz w:val="20"/>
        </w:rPr>
        <w:t>Title to Properties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does not own any real property. The Company and each of its subsidiaries have good and marketable title to all personal property (other than intellectual property which is addressed exclusively in Section 1(z) hereof) owned by them which is material to the business of the Company and its subsidiaries, in each case free and clear of all liens, encumbrances and defects except such as are described in the Registration Statement, the Time of Sale Prospectus and the Prospectus or except such as do not materially and adversely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real property and buildings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            </w:t>
      </w:r>
      <w:r>
        <w:rPr>
          <w:rFonts w:ascii="Times New Roman;Times;Serif" w:hAnsi="Times New Roman;Times;Serif"/>
          <w:b/>
          <w:i/>
          <w:caps w:val="false"/>
          <w:smallCaps w:val="false"/>
          <w:sz w:val="20"/>
        </w:rPr>
        <w:t>Intellectual Property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own or have valid, binding and enforceable licenses or other rights to practice and use all technology,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and its subsidiaries (including as described in the Time of Sale Prospectus and the Prospectus) (collectively, the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or to the development, manufacture, operation, and sale of any products and services sold or proposed to be sold by the Company and its subsidiaries. To the Company’s knowledge, the conduct of the Company’s and its subsidiaries’ respective business and the proposed conduct of its business (including the development and commercialization of the product candidates described in the Time of Sale Prospectus and the Prospectus) has not and will not infringe, misappropriate or otherwise conflict in any material respect with any valid intellectual property rights of others; except as described in the Registration Statement, the Time of Sale Prospectus and the Prospectus, there are no rights of third parties to any of the intellectual property owned by the Company or any of its subsidiaries, and such intellectual property is owned by the Company or its subsidiary free and clear of all liens, security interests, or encumbrances; to the Company’s knowledge, the patents, trademarks and copyrights held or licensed by the Company and its subsidiaries included within the Company Intellectual Property are valid, enforceable and subsisting, and the patent, trademark, and copyright applications included within the Company Intellectual Property are subsisting and have not been abandoned; and there is no infringement by third parties of any of the Company Intellectual Property. Except as described in the Registration Statement, Time of Sale Prospectus and the Prospectus, (i) the Company and its subsidiaries are not obligated or under any material liability to pay a royalty, grant a license, or provide other material consideration to any third party in connection with the Company Intellectual Property, (ii) no action, suit, claim or other proceeding is pending or, to the Company’s knowledge, is threatened, alleging that the Company or any of its subsidiaries is infringing, misappropriating, diluting or otherwise violating, or would, upon the commercialization of any product or service proposed in the Time of Sale Prospectus and the Prospectus to be conducted, infringe, misappropriate, dilute, or otherwise violate, any valid intellectual property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Company’s knowledge, is threatened, challenging the validity, enforceability, scope, registration, ownership or use of any of the Company Intellectual Property, and the Company is unaware of any facts which could form a reasonable basis for any such action, suit, proceeding or claim, (iv) no action, suit, claim or other proceeding is pending or, to the Company’s knowledge, is threatened, challenging the Company’s rights in or to any Company Intellectual Property, and the Company is unaware of any facts which could form a reasonable basis for any such action, suit, proceeding or claim, (v) the Company has not received notice of any claim of infringement, misappropriation or conflict with any asserted rights of others with respect to any of the Company’s products, proposed products, processes or Company Intellectual Property, and the Company is unaware of any facts which would form a reasonable basis for any such claim, (vi) to the Company’s knowledge, the development, manufacture, sale, and any currently proposed use of any of the products, proposed products or processes of the Company referred to in the Time of Sale Prospectus and the Prospectus, in the current or proposed conduct of the business of the Company, do not infringe any right or valid patent claim of any third party, (vii) to the Company’s knowledge, no employee, consultant or independent contractor of the Company or any of its subsidiaries (“</w:t>
      </w:r>
      <w:r>
        <w:rPr>
          <w:rFonts w:ascii="Times New Roman;Times;Serif" w:hAnsi="Times New Roman;Times;Serif"/>
          <w:b/>
          <w:i w:val="false"/>
          <w:caps w:val="false"/>
          <w:smallCaps w:val="false"/>
          <w:sz w:val="20"/>
        </w:rPr>
        <w:t>Company Personnel</w:t>
      </w:r>
      <w:r>
        <w:rPr>
          <w:rFonts w:ascii="Times New Roman;Times;Serif" w:hAnsi="Times New Roman;Times;Serif"/>
          <w:b w:val="false"/>
          <w:i w:val="false"/>
          <w:caps w:val="false"/>
          <w:smallCaps w:val="false"/>
          <w:sz w:val="20"/>
        </w:rPr>
        <w:t>”) is in or has ever been in violation in any respect of any material term of any employment contract, patent disclosure agreement, invention assignment agreement, non-competition agreement, non-solicitation agreement, nondisclosure agreement or any restrictive covenant to or with a former employer or counterparty to such agreements, where the basis of such violation relates to such Company Personnel’s employment or independent contractor’s engagement with the Company or any of its subsidiaries, actions undertaken while employed or engaged with the Company or any of its subsidiaries, or the ownership by the Company of any Company Intellectual Property, (viii) the Company has taken reasonable steps in accordance with normal industry practice to maintain the confidentiality of all Company Intellectual Property, including the execution of appropriate nondisclosure and confidentiality agreements, (ix) the Company and its subsidiaries have complied with the material terms of each agreement pursuant to which intellectual property has been licensed to the Company or any of its subsidiaries, and all such agreements are in full force and effect, (x) none of the Company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(xi) the product candidates described in the Time of Sale Prospectus and the Prospectus as under development by the Company fall within the scope of the claims of one or more patents or patent applications owned by, or exclusively licensed to, the Company, and (xii) the duties of candor and good faith required by the United States Patent and Trademark Office during the prosecution of the United States patents and patent applications included in the Company Intellectual Property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       </w:t>
      </w:r>
      <w:r>
        <w:rPr>
          <w:rFonts w:ascii="Times New Roman;Times;Serif" w:hAnsi="Times New Roman;Times;Serif"/>
          <w:b/>
          <w:i/>
          <w:caps w:val="false"/>
          <w:smallCaps w:val="false"/>
          <w:sz w:val="20"/>
        </w:rPr>
        <w:t>ERISA Compliance.</w:t>
      </w:r>
      <w:r>
        <w:rPr>
          <w:rFonts w:ascii="Times New Roman;Times;Serif" w:hAnsi="Times New Roman;Times;Serif"/>
          <w:b w:val="false"/>
          <w:i w:val="false"/>
          <w:caps w:val="false"/>
          <w:smallCaps w:val="false"/>
          <w:sz w:val="20"/>
        </w:rPr>
        <w:t xml:space="preserve"> Except as would not, singly or in the aggregate, reasonably be expected to result in a material adverse effect on the Company and its subsidiaries, taken as a whole, (A) each Plan (as defined below) has been maintained in compliance with its terms and the requirements of any applicable statutes, orders, rules and regulations, including but not limited to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and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(B) no non-exempt prohibited transaction, within the meaning of Section 406 of ERISA or Section 4975 of the Code, has occurred, or is reasonably expected to occur,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the thirty day notice period is waived) has occurred or is reasonably expected to occur; and (E) neither the Company nor any member of its “Controlled Group” (defined as any organization which is a member of a controlled group of corporations within the meaning of Section 414 of the Code) has incurred, nor is reasonably expected to incur, any liability under Title IV of ERISA (other than contributions to any Plan or any Multiemployer Plan or premiums to the PBGC, in the ordinary course and without default) in respect of a Plan or a Multiemployer Plan. For purposes of this paragraph, (x) the term “Plan” means an employee benefit plan, within the meaning of Section 3(3) of ERISA, subject to Title IV of ERISA, but excluding any Multiemployer Plan, for which the Company or any member of its “Controlled Group” has any liability and (y) the term “Multiemployer Plan” means a multiemployer plan within the meaning of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       </w:t>
      </w:r>
      <w:r>
        <w:rPr>
          <w:rFonts w:ascii="Times New Roman;Times;Serif" w:hAnsi="Times New Roman;Times;Serif"/>
          <w:b/>
          <w:i/>
          <w:caps w:val="false"/>
          <w:smallCaps w:val="false"/>
          <w:sz w:val="20"/>
        </w:rPr>
        <w:t xml:space="preserve">Labor Relations. </w:t>
      </w:r>
      <w:r>
        <w:rPr>
          <w:rFonts w:ascii="Times New Roman;Times;Serif" w:hAnsi="Times New Roman;Times;Serif"/>
          <w:b w:val="false"/>
          <w:i w:val="false"/>
          <w:caps w:val="false"/>
          <w:smallCaps w:val="false"/>
          <w:sz w:val="20"/>
        </w:rPr>
        <w:t>No material labor dispute with the employees of the Company or any of its subsidiaries exists, or, to the Company’s knowledge,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       </w:t>
      </w:r>
      <w:r>
        <w:rPr>
          <w:rFonts w:ascii="Times New Roman;Times;Serif" w:hAnsi="Times New Roman;Times;Serif"/>
          <w:b/>
          <w:i/>
          <w:caps w:val="false"/>
          <w:smallCaps w:val="false"/>
          <w:sz w:val="20"/>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are, in the Company’s reasonable judgment, generally deemed adequate and customary for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       </w:t>
      </w:r>
      <w:r>
        <w:rPr>
          <w:rFonts w:ascii="Times New Roman;Times;Serif" w:hAnsi="Times New Roman;Times;Serif"/>
          <w:b/>
          <w:i/>
          <w:caps w:val="false"/>
          <w:smallCaps w:val="false"/>
          <w:sz w:val="20"/>
        </w:rPr>
        <w:t>Permits, Licenses, etc.</w:t>
      </w:r>
      <w:r>
        <w:rPr>
          <w:rFonts w:ascii="Times New Roman;Times;Serif" w:hAnsi="Times New Roman;Times;Serif"/>
          <w:b w:val="false"/>
          <w:i w:val="false"/>
          <w:caps w:val="false"/>
          <w:smallCaps w:val="false"/>
          <w:sz w:val="20"/>
        </w:rPr>
        <w:t xml:space="preserve"> The Company and each of its subsidiaries possess all material certificates, authorizations and permits issued by the appropriate federal, state or foreign regulatory authorities necessary to conduct their respective businesses, and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       </w:t>
      </w:r>
      <w:r>
        <w:rPr>
          <w:rFonts w:ascii="Times New Roman;Times;Serif" w:hAnsi="Times New Roman;Times;Serif"/>
          <w:b/>
          <w:i/>
          <w:caps w:val="false"/>
          <w:smallCaps w:val="false"/>
          <w:sz w:val="20"/>
        </w:rPr>
        <w:t xml:space="preserve">Financial Statements. </w:t>
      </w:r>
      <w:r>
        <w:rPr>
          <w:rFonts w:ascii="Times New Roman;Times;Serif" w:hAnsi="Times New Roman;Times;Serif"/>
          <w:b w:val="false"/>
          <w:i w:val="false"/>
          <w:caps w:val="false"/>
          <w:smallCaps w:val="false"/>
          <w:sz w:val="20"/>
        </w:rPr>
        <w:t>The financial statements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the Exchange Act, as applicable,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        </w:t>
      </w:r>
      <w:r>
        <w:rPr>
          <w:rFonts w:ascii="Times New Roman;Times;Serif" w:hAnsi="Times New Roman;Times;Serif"/>
          <w:b/>
          <w:i/>
          <w:caps w:val="false"/>
          <w:smallCaps w:val="false"/>
          <w:sz w:val="20"/>
        </w:rPr>
        <w:t>Independent Accountants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Ernst &amp; Young LLP, which has expressed its opinion and certified certain of the financial statements of the Company and its subsidiaries and delivered its report with respect to the audited consolidated financial statements filed with the Commission as part of, or incorporated by reference in, the Registration Statement,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      </w:t>
      </w:r>
      <w:r>
        <w:rPr>
          <w:rFonts w:ascii="Times New Roman;Times;Serif" w:hAnsi="Times New Roman;Times;Serif"/>
          <w:b/>
          <w:i/>
          <w:caps w:val="false"/>
          <w:smallCaps w:val="false"/>
          <w:sz w:val="20"/>
        </w:rPr>
        <w:t>Company’s Accounting System.</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      </w:t>
      </w:r>
      <w:r>
        <w:rPr>
          <w:rFonts w:ascii="Times New Roman;Times;Serif" w:hAnsi="Times New Roman;Times;Serif"/>
          <w:b/>
          <w:i/>
          <w:caps w:val="false"/>
          <w:smallCaps w:val="false"/>
          <w:sz w:val="20"/>
        </w:rPr>
        <w:t>Statistical and Market-Related Data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statistical, industry and market related data included or incorporated by reference in the Registration Statement, the Time of Sale Prospectus and the Prospectus are based on or derived from sources that the Company believes, after reasonable inquiry, to be reliable and accurate. To the Company’s knowledge, after reasonable investigation, it does not require the consent of any third party for the use of any such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i/>
          <w:caps w:val="false"/>
          <w:smallCaps w:val="false"/>
          <w:sz w:val="20"/>
        </w:rPr>
        <w:t>Disclosure Controls and Procedures; Deficiencies in or Changes to Internal Control Over Financial Reporting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maintain an effective system of “disclosure controls and procedures” (as defined in Rule 13a-15(e)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        </w:t>
      </w:r>
      <w:r>
        <w:rPr>
          <w:rFonts w:ascii="Times New Roman;Times;Serif" w:hAnsi="Times New Roman;Times;Serif"/>
          <w:b/>
          <w:i/>
          <w:caps w:val="false"/>
          <w:smallCaps w:val="false"/>
          <w:sz w:val="20"/>
        </w:rPr>
        <w:t>No Integrated Offering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described in the Time of Sale Prospectus and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     </w:t>
      </w:r>
      <w:r>
        <w:rPr>
          <w:rFonts w:ascii="Times New Roman;Times;Serif" w:hAnsi="Times New Roman;Times;Serif"/>
          <w:b/>
          <w:i/>
          <w:caps w:val="false"/>
          <w:smallCaps w:val="false"/>
          <w:sz w:val="20"/>
        </w:rPr>
        <w:t>Tax Law Compliance.</w:t>
      </w:r>
      <w:r>
        <w:rPr>
          <w:rFonts w:ascii="Times New Roman;Times;Serif" w:hAnsi="Times New Roman;Times;Serif"/>
          <w:b w:val="false"/>
          <w:i w:val="false"/>
          <w:caps w:val="false"/>
          <w:smallCaps w:val="false"/>
          <w:sz w:val="20"/>
        </w:rPr>
        <w:t xml:space="preserve"> 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whether or not reported thereon (except for cases in which the failure to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 There are no outstanding agreements or waivers extending the statutory period of limitation applicable to any federal, state, local or foreign tax return for any period, other than pursuant to automatic extensions of the due date for filing a tax return obtained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(ll)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xml:space="preserve"> There is and has been no failure on the part of the Company, or to the knowledge of the Company, any of the Company’s directors or officers, in their capacities as such, to comply with any provision of the Sarbanes-Oxley Act of 2002, as amended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and the rules and regulations promulgated in connection therewith, including Section 402 related to loans, to the extent compliance is required, and is taking steps designed to ensure that it will be in compliance, at all times, with the other provisions of the Sarbanes-Oxley Act when they become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    </w:t>
      </w:r>
      <w:r>
        <w:rPr>
          <w:rFonts w:ascii="Times New Roman;Times;Serif" w:hAnsi="Times New Roman;Times;Serif"/>
          <w:b/>
          <w:i/>
          <w:caps w:val="false"/>
          <w:smallCaps w:val="false"/>
          <w:sz w:val="20"/>
        </w:rPr>
        <w:t>No Price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not taken, directly or indirectly, any action designed to or that would reasonably be expected to cause or result in any stabilization or manipulation of the price of the Offered Securities or of any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with respect to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      </w:t>
      </w:r>
      <w:r>
        <w:rPr>
          <w:rFonts w:ascii="Times New Roman;Times;Serif" w:hAnsi="Times New Roman;Times;Serif"/>
          <w:b/>
          <w:i/>
          <w:caps w:val="false"/>
          <w:smallCaps w:val="false"/>
          <w:sz w:val="20"/>
        </w:rPr>
        <w:t xml:space="preserve">Emerging Growth Company. </w:t>
      </w:r>
      <w:r>
        <w:rPr>
          <w:rFonts w:ascii="Times New Roman;Times;Serif" w:hAnsi="Times New Roman;Times;Serif"/>
          <w:b w:val="false"/>
          <w:i w:val="false"/>
          <w:caps w:val="false"/>
          <w:smallCaps w:val="false"/>
          <w:sz w:val="20"/>
        </w:rPr>
        <w:t>From the time of initial confidential submission of the registration statement to the Commission relating to the Company’s initial public offering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       </w:t>
      </w:r>
      <w:r>
        <w:rPr>
          <w:rFonts w:ascii="Times New Roman;Times;Serif" w:hAnsi="Times New Roman;Times;Serif"/>
          <w:b/>
          <w:i/>
          <w:caps w:val="false"/>
          <w:smallCaps w:val="false"/>
          <w:sz w:val="20"/>
        </w:rPr>
        <w:t xml:space="preserve">Distribution of Offering Materials. </w:t>
      </w:r>
      <w:r>
        <w:rPr>
          <w:rFonts w:ascii="Times New Roman;Times;Serif" w:hAnsi="Times New Roman;Times;Serif"/>
          <w:b w:val="false"/>
          <w:i w:val="false"/>
          <w:caps w:val="false"/>
          <w:smallCaps w:val="false"/>
          <w:sz w:val="20"/>
        </w:rPr>
        <w:t>Other than in connection with the Company’s initial public offering, the Company (i) has not engaged in any Testing-the-Waters Communication and (ii) has not authorized anyone to engage in Testing-the-Waters Communications. The Company has not distributed any Testing-the-Waters Communication that is a written communication within the meaning of Rule 405 under the Securities Act other than those listed on Schedule D hereto.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communication with potential investors undertaken in reliance on Section 5(d) or Rule 163B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       </w:t>
      </w:r>
      <w:r>
        <w:rPr>
          <w:rFonts w:ascii="Times New Roman;Times;Serif" w:hAnsi="Times New Roman;Times;Serif"/>
          <w:b/>
          <w:i/>
          <w:caps w:val="false"/>
          <w:smallCaps w:val="false"/>
          <w:sz w:val="20"/>
        </w:rPr>
        <w:t>Securities Act Compliance.</w:t>
      </w:r>
      <w:r>
        <w:rPr>
          <w:rFonts w:ascii="Times New Roman;Times;Serif" w:hAnsi="Times New Roman;Times;Serif"/>
          <w:b w:val="false"/>
          <w:i w:val="false"/>
          <w:caps w:val="false"/>
          <w:smallCaps w:val="false"/>
          <w:sz w:val="20"/>
        </w:rPr>
        <w:t xml:space="preserve"> As of the time of each sale of the Offered Securities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that the Company makes no representation and warranty with respect to any statements or omissions in the Time of Sale Prospectus, any free writing prospectus or any Testing-the-Waters Communication based upon information relating to any Underwriter furnished to the Company in writing by or on behalf of such Underwriter through the Representatives expressly for use therein, which includes Underwriting Information (as defined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       </w:t>
      </w:r>
      <w:r>
        <w:rPr>
          <w:rFonts w:ascii="Times New Roman;Times;Serif" w:hAnsi="Times New Roman;Times;Serif"/>
          <w:b/>
          <w:i/>
          <w:caps w:val="false"/>
          <w:smallCaps w:val="false"/>
          <w:sz w:val="20"/>
        </w:rPr>
        <w:t xml:space="preserve">Health Care Law Compliance. </w:t>
      </w:r>
      <w:r>
        <w:rPr>
          <w:rFonts w:ascii="Times New Roman;Times;Serif" w:hAnsi="Times New Roman;Times;Serif"/>
          <w:b w:val="false"/>
          <w:i w:val="false"/>
          <w:caps w:val="false"/>
          <w:smallCaps w:val="false"/>
          <w:sz w:val="20"/>
        </w:rPr>
        <w:t>The Company and its subsidiaries are and at all times have been in compliance with all applicable Health Care Laws, as defined below, in all material respects.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 301 et seq.), the Public Health Service Act (42 U.S.C. §§ 201 et seq.) and the regulations promulgated thereunder; (ii) all applicable federal, state, local and all applicable foreign health care related fraud and abuse laws, including, without limitation, the U.S. Anti-Kickback Statute (42 U.S.C. § 1320a-7b(b)), the U.S. False Statements Law (42 U.S.C. § 1320a-7b(a)), the Civil Monetary Penalties Law (42 U.S.C. § 1320a-7a), the U.S. Civil False Claims Act (31 U.S.C. § 3729 et seq.), all criminal laws relating to health care fraud and abuse, including but not limited to 18 U.S.C. §§ 286 and 287, and the health care fraud criminal provisions under the U.S.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(42 U.S.C. §§ 1320d et seq.), the Physician Payments Sunshine Act (42 U.S.C. § 1320a-7h), the exclusions law (42 U.S.C. § 1320a-7), and the regulations promulgated thereunder; (iii) Medicare (Title XVIII of the Social Security Act) and Medicaid (Title XIX of the Social Security Act), and the regulations promulgated thereunder; (iv) the Standards for Privacy of Individually Identifiable Health Information, the Security Standards, and the Standards for Electronic Transactions and Code Sets promulgated under HIPAA, the Health Information Technology for Economic and Clinical Health Act (“</w:t>
      </w:r>
      <w:r>
        <w:rPr>
          <w:rFonts w:ascii="Times New Roman;Times;Serif" w:hAnsi="Times New Roman;Times;Serif"/>
          <w:b/>
          <w:i w:val="false"/>
          <w:caps w:val="false"/>
          <w:smallCaps w:val="false"/>
          <w:sz w:val="20"/>
        </w:rPr>
        <w:t>HITECH Act</w:t>
      </w:r>
      <w:r>
        <w:rPr>
          <w:rFonts w:ascii="Times New Roman;Times;Serif" w:hAnsi="Times New Roman;Times;Serif"/>
          <w:b w:val="false"/>
          <w:i w:val="false"/>
          <w:caps w:val="false"/>
          <w:smallCaps w:val="false"/>
          <w:sz w:val="20"/>
        </w:rPr>
        <w:t>”) (42 U.S.C. §§ 17921 et seq.), and the regulations promulgated thereunder and any state or non-U.S. counterpart thereof or other law or regulation the purpose of which is to protect the privacy of individuals or prescribers; (v) the Patient Protection and Affordable Care Act of 2010, as amended by the Health Care and Education Reconciliation Act of 2010, and the regulations promulgated thereunder; (vi) any and all other healthcare laws, statutes, rules and regulations applicable to the ownership, testing, development, manufacture, packaging, processing, use, distribution, marketing, advertising, labeling, promotion, sale, offer for sale, storage, import or export of any product manufactured or distributed by the Company; and (vii) all amendments to any of the foregoing. Neither the Company nor its subsidiaries has received written notice of any claim, action, suit, proceeding, hearing, enforcement, investigation, arbitration or other action from any court or arbitrator or governmental or regulatory authority or third party alleging that the Company or its subsidiaries are in material violation of any Health Care Laws, and, to the Company’s knowledge, no such claim, action, suit, proceeding, hearing, enforcement, investigation, arbitration or other action is threatened in writing. Neither the Company, nor any of its subsidiaries, is a party to any corporate integrity agreements, monitoring agreements, consent decrees, settlement orders, or similar agreements with or imposed by any governmental or regulatory authority. The Company and its subsidiaries (i) possess all material licenses, certificates, approvals, clearances, exemptions, authorizations and permits required under the Health Care Laws (“</w:t>
      </w:r>
      <w:r>
        <w:rPr>
          <w:rFonts w:ascii="Times New Roman;Times;Serif" w:hAnsi="Times New Roman;Times;Serif"/>
          <w:b/>
          <w:i w:val="false"/>
          <w:caps w:val="false"/>
          <w:smallCaps w:val="false"/>
          <w:sz w:val="20"/>
        </w:rPr>
        <w:t>Health Care Permits</w:t>
      </w:r>
      <w:r>
        <w:rPr>
          <w:rFonts w:ascii="Times New Roman;Times;Serif" w:hAnsi="Times New Roman;Times;Serif"/>
          <w:b w:val="false"/>
          <w:i w:val="false"/>
          <w:caps w:val="false"/>
          <w:smallCaps w:val="false"/>
          <w:sz w:val="20"/>
        </w:rPr>
        <w:t>”); (ii) are in material compliance with and have fulfilled and performed their respective material obligations with respect to such Health Care Permits; and (iii) to the Company’s knowledge, no event has occurred which allows, or after notice or lapse of time would reasonably be expected to allow, revocation or termination of any Health Care Permit; and (iv) have filed, obtained, maintained or submitted all material reports, applications, records, submissions, supplements or amendments as required by the Health Care Laws or the Health Care Permits, and all such reports, applications, records, submissions, supplements or amendments were timely, complete, accurate and not misleading on the date filed (or were corrected or supplemented by a subsequent submission)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       </w:t>
      </w:r>
      <w:r>
        <w:rPr>
          <w:rFonts w:ascii="Times New Roman;Times;Serif" w:hAnsi="Times New Roman;Times;Serif"/>
          <w:b/>
          <w:i/>
          <w:caps w:val="false"/>
          <w:smallCaps w:val="false"/>
          <w:sz w:val="20"/>
        </w:rPr>
        <w:t xml:space="preserve">Regulatory Correspondence. </w:t>
      </w:r>
      <w:r>
        <w:rPr>
          <w:rFonts w:ascii="Times New Roman;Times;Serif" w:hAnsi="Times New Roman;Times;Serif"/>
          <w:b w:val="false"/>
          <w:i w:val="false"/>
          <w:caps w:val="false"/>
          <w:smallCaps w:val="false"/>
          <w:sz w:val="20"/>
        </w:rPr>
        <w:t>The Company has not received (i) any warning letter, untitled letter or other material notice from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other governmental entity alleging or asserting material noncompliance with any Health Care Laws or (ii) any notice that the FDA or any governmental entity has taken or is taking action to limit, suspend, modify or revoke any material Health Care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(ss)       </w:t>
      </w:r>
      <w:r>
        <w:rPr>
          <w:rFonts w:ascii="Times New Roman;Times;Serif" w:hAnsi="Times New Roman;Times;Serif"/>
          <w:b/>
          <w:i/>
          <w:caps w:val="false"/>
          <w:smallCaps w:val="false"/>
          <w:sz w:val="20"/>
        </w:rPr>
        <w:t>Clinical Data Compliance.</w:t>
      </w:r>
      <w:r>
        <w:rPr>
          <w:rFonts w:ascii="Times New Roman;Times;Serif" w:hAnsi="Times New Roman;Times;Serif"/>
          <w:b w:val="false"/>
          <w:i w:val="false"/>
          <w:caps w:val="false"/>
          <w:smallCaps w:val="false"/>
          <w:sz w:val="20"/>
        </w:rPr>
        <w:t xml:space="preserve"> The preclinical tests and clinical trials, and other studies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that are 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all Health Care Laws. Each description of the results of the Studies is accurate and complete in all material respects and fairly presents the data derived from such Studies, and to the Company’s knowledge, there are no other Studies the results of which are materially inconsistent with, or otherwise call into question, the results described or referred to in the Registration Statement, the Time of Sale Prospectus or the Prospectus. Except as described in the Registration Statement, the Time of Sale Prospectus and the Prospectus, the Company has not received any notice of, or correspondence from, the FDA or any other governmental entity or institutional review board requiring the termination, suspension or material modification or partial or full clinical hold of any clinical trials that are described or referred to in the Registration Statement,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(tt)        </w:t>
      </w:r>
      <w:r>
        <w:rPr>
          <w:rFonts w:ascii="Times New Roman;Times;Serif" w:hAnsi="Times New Roman;Times;Serif"/>
          <w:b/>
          <w:i/>
          <w:caps w:val="false"/>
          <w:smallCaps w:val="false"/>
          <w:sz w:val="20"/>
        </w:rPr>
        <w:t>No Exclusion, Suspension or Debarment.</w:t>
      </w:r>
      <w:r>
        <w:rPr>
          <w:rFonts w:ascii="Times New Roman;Times;Serif" w:hAnsi="Times New Roman;Times;Serif"/>
          <w:b w:val="false"/>
          <w:i w:val="false"/>
          <w:caps w:val="false"/>
          <w:smallCaps w:val="false"/>
          <w:sz w:val="20"/>
        </w:rPr>
        <w:t xml:space="preserve"> Neither the Company nor its subsidiaries, or its subsidiaries’ officers or directors, or to the knowledge of the Company, its employees or agents, is or has been excluded, suspended or debarred from participation in any U.S. federal health care program or by the FDA or any other governmental entity pursuant to 21 U.S.C. § 335a or similar laws, or, to the Company’s knowledge, is subject to a governmental inquiry, investigation, proceeding, or other similar action that could reasonably be expected to result in debarment, suspension, or exclusion, or engaged in any conduct that would reasonably be expected to result in debarment, suspension, or exclusion.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(uu)      </w:t>
      </w:r>
      <w:r>
        <w:rPr>
          <w:rFonts w:ascii="Times New Roman;Times;Serif" w:hAnsi="Times New Roman;Times;Serif"/>
          <w:b/>
          <w:i/>
          <w:caps w:val="false"/>
          <w:smallCaps w:val="false"/>
          <w:sz w:val="20"/>
        </w:rPr>
        <w:t>Compliance with Data Privacy Laws</w:t>
      </w:r>
      <w:r>
        <w:rPr>
          <w:rFonts w:ascii="Times New Roman;Times;Serif" w:hAnsi="Times New Roman;Times;Serif"/>
          <w:b w:val="false"/>
          <w:i w:val="false"/>
          <w:caps w:val="false"/>
          <w:smallCaps w:val="false"/>
          <w:sz w:val="20"/>
        </w:rPr>
        <w:t>. Except as would not, singly or in the aggregate, reasonably be expected to have a material adverse effect on the Company and its subsidiaries, taken as a whole, the Company and each of its subsidiaries are, and at all prior times in the past six years were, in compliance in all respects with all applicable data privacy and security laws and regulations or contractual obligations regarding the collection, use, transfer, storage, processing, protection, disposal or disclosure of all Personal Data, including, without limitation, and in each case only to the extent applicable, the European Union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(EU 2016/679), Access to U.S. Sensitive Personal Data and Government-Related Data by Countries of Concern or Covered Persons,” 90 Fed. Reg. 1636 (Jan. 8, 2025) codified at 28 C.F.R. § 202, including any amendments thereto and guidance issued thereunder (together, the “</w:t>
      </w:r>
      <w:r>
        <w:rPr>
          <w:rFonts w:ascii="Times New Roman;Times;Serif" w:hAnsi="Times New Roman;Times;Serif"/>
          <w:b/>
          <w:i w:val="false"/>
          <w:caps w:val="false"/>
          <w:smallCaps w:val="false"/>
          <w:sz w:val="20"/>
        </w:rPr>
        <w:t>U.S. Data Security Program</w:t>
      </w:r>
      <w:r>
        <w:rPr>
          <w:rFonts w:ascii="Times New Roman;Times;Serif" w:hAnsi="Times New Roman;Times;Serif"/>
          <w:b w:val="false"/>
          <w:i w:val="false"/>
          <w:caps w:val="false"/>
          <w:smallCaps w:val="false"/>
          <w:sz w:val="20"/>
        </w:rPr>
        <w:t>”), and the California Consumer Privacy Act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of 2018, as amended by the California Privacy Rights Act of 2020 (collectively, the “</w:t>
      </w:r>
      <w:r>
        <w:rPr>
          <w:rFonts w:ascii="Times New Roman;Times;Serif" w:hAnsi="Times New Roman;Times;Serif"/>
          <w:b/>
          <w:i w:val="false"/>
          <w:caps w:val="false"/>
          <w:smallCaps w:val="false"/>
          <w:sz w:val="20"/>
        </w:rPr>
        <w:t>Privacy and Security Obligations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of the natural person, social security number or tax identification number, driver’s license number, passport number, credit card number, bank information, or customer or account number; (ii) “personal data,” “personal information,” or similar term as defined by the Privacy and Security Obligations; and (iii) any other piece of information that reasonably allows the identification of such natural person, except any “protected health information” as defined by HIPAA or other information that has been explicitly exempted by an applicable Privacy and Security Obligation. The Company and its subsidiaries have in place, comply with, and take appropriate steps designed to ensure compliance in all material respects with their policies and procedures relating to data privacy and security and the collection, storage, processing, use, disclosure, handling, and analysis of all sensitive, confidential, or regulated data (collectively “</w:t>
      </w:r>
      <w:r>
        <w:rPr>
          <w:rFonts w:ascii="Times New Roman;Times;Serif" w:hAnsi="Times New Roman;Times;Serif"/>
          <w:b/>
          <w:i w:val="false"/>
          <w:caps w:val="false"/>
          <w:smallCaps w:val="false"/>
          <w:sz w:val="20"/>
        </w:rPr>
        <w:t>Sensitive Data</w:t>
      </w:r>
      <w:r>
        <w:rPr>
          <w:rFonts w:ascii="Times New Roman;Times;Serif" w:hAnsi="Times New Roman;Times;Serif"/>
          <w:b w:val="false"/>
          <w:i w:val="false"/>
          <w:caps w:val="false"/>
          <w:smallCaps w:val="false"/>
          <w:sz w:val="20"/>
        </w:rPr>
        <w:t>”) and Personal Data (collectively all such policies, procedures comprising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has (i) provided accurate notice of its privacy practices then in effect to appropriate data subjects, which contain materially accurate and sufficient notice of the Company’s then-current privacy practices relating to its subject matter and do not contain any material omissions of the Company’s then-current privacy practices and (ii) made all disclosures to appropriate data subjects required by applicable Privacy and Security Obligations in all material respects. None of such disclosures made have been inaccurate, misleading, deceptive or in violation of any Privacy and Security Obligations or Policies in any material respect. The execution, delivery and performance of this Agreement or any other agreement referred to in this Agreement will not result in a breach of violation of any Privacy and Security Obligations or Policies. The Company further certifies that neither it nor any subsidiary: (i) has received notice of any actual or potential liability under or relating to, or actual or potential violation of, any of the Privacy and Security Obligations, and has no knowledge of any event or condition that would reasonably be expected to result in any such notice; (ii) is currently conducting or paying for, in whole or in part, any investigation, remediation, or other corrective action pursuant to any Privacy and Security Obligation; or (iii) is a party to any order, decree, or agreement that imposes any obligation or liability under any Privacy and Security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(vv)       </w:t>
      </w:r>
      <w:r>
        <w:rPr>
          <w:rFonts w:ascii="Times New Roman;Times;Serif" w:hAnsi="Times New Roman;Times;Serif"/>
          <w:b/>
          <w:i/>
          <w:caps w:val="false"/>
          <w:smallCaps w:val="false"/>
          <w:sz w:val="20"/>
        </w:rPr>
        <w:t>Cybersecurity.</w:t>
      </w:r>
      <w:r>
        <w:rPr>
          <w:rFonts w:ascii="Times New Roman;Times;Serif" w:hAnsi="Times New Roman;Times;Serif"/>
          <w:b w:val="false"/>
          <w:i w:val="false"/>
          <w:caps w:val="false"/>
          <w:smallCaps w:val="false"/>
          <w:sz w:val="20"/>
        </w:rPr>
        <w:t xml:space="preserve"> The Company’s, its subsidiaries’, and, to the knowledge of the Company, its third party providers’ information technology assets and equipment, computers, technology systems and other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its subsidiaries, and, to the knowledge of the Company, its third party service providers have implemented and maintained physical, technical and administrative controls, policies, procedures, and safeguards designed to maintain and protect its confidential information and the integrity, continuous operation, redundancy and security of all IT Systems (including all Sensitive Data and Personal Data) and data used in connection with the operation of the Company or its subsidiaries. The Company and its subsidiaries have used reasonable efforts to establish, and have established, commercially reasonable disaster recovery and security plans, procedures and facilities for the business, including, without limitation, for the information technology systems and data held or used by or for the Company or any of its subsidiaries. There have been no internal or external security breaches or attacks, outages or unauthorized uses of or accesses to IT Systems, Sensitive Data, or Personal Data, or any other compromises of or relating to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(ww)     </w:t>
      </w:r>
      <w:r>
        <w:rPr>
          <w:rFonts w:ascii="Times New Roman;Times;Serif" w:hAnsi="Times New Roman;Times;Serif"/>
          <w:b/>
          <w:i/>
          <w:caps w:val="false"/>
          <w:smallCaps w:val="false"/>
          <w:sz w:val="20"/>
        </w:rPr>
        <w:t xml:space="preserve">Statistical Rating Organization. </w:t>
      </w:r>
      <w:r>
        <w:rPr>
          <w:rFonts w:ascii="Times New Roman;Times;Serif" w:hAnsi="Times New Roman;Times;Serif"/>
          <w:b w:val="false"/>
          <w:i w:val="false"/>
          <w:caps w:val="false"/>
          <w:smallCaps w:val="false"/>
          <w:sz w:val="20"/>
        </w:rPr>
        <w:t>Neither the Company nor any of its subsidiaries has any securities rated by any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       </w:t>
      </w:r>
      <w:r>
        <w:rPr>
          <w:rFonts w:ascii="Times New Roman;Times;Serif" w:hAnsi="Times New Roman;Times;Serif"/>
          <w:b/>
          <w:i/>
          <w:caps w:val="false"/>
          <w:smallCaps w:val="false"/>
          <w:sz w:val="20"/>
        </w:rPr>
        <w:t>Outbound Investment Security Program.</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Times;Serif" w:hAnsi="Times New Roman;Times;Serif"/>
          <w:b/>
          <w:i w:val="false"/>
          <w:caps w:val="false"/>
          <w:smallCaps w:val="false"/>
          <w:sz w:val="20"/>
        </w:rPr>
        <w:t>Covered Activity</w:t>
      </w:r>
      <w:r>
        <w:rPr>
          <w:rFonts w:ascii="Times New Roman;Times;Serif" w:hAnsi="Times New Roman;Times;Serif"/>
          <w:b w:val="false"/>
          <w:i w:val="false"/>
          <w:caps w:val="false"/>
          <w:smallCaps w:val="false"/>
          <w:sz w:val="20"/>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(yy)       </w:t>
      </w:r>
      <w:r>
        <w:rPr>
          <w:rFonts w:ascii="Times New Roman;Times;Serif" w:hAnsi="Times New Roman;Times;Serif"/>
          <w:b/>
          <w:i/>
          <w:caps w:val="false"/>
          <w:smallCaps w:val="false"/>
          <w:sz w:val="20"/>
        </w:rPr>
        <w:t>eXtensible Business Reporting Language.</w:t>
      </w:r>
      <w:r>
        <w:rPr>
          <w:rFonts w:ascii="Times New Roman;Times;Serif" w:hAnsi="Times New Roman;Times;Serif"/>
          <w:b w:val="false"/>
          <w:i w:val="false"/>
          <w:caps w:val="false"/>
          <w:smallCaps w:val="false"/>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(zz)       </w:t>
      </w:r>
      <w:r>
        <w:rPr>
          <w:rFonts w:ascii="Times New Roman;Times;Serif" w:hAnsi="Times New Roman;Times;Serif"/>
          <w:b/>
          <w:i/>
          <w:caps w:val="false"/>
          <w:smallCaps w:val="false"/>
          <w:sz w:val="20"/>
        </w:rPr>
        <w:t>Stock Exchange Listing. </w:t>
      </w:r>
      <w:r>
        <w:rPr>
          <w:rFonts w:ascii="Times New Roman;Times;Serif" w:hAnsi="Times New Roman;Times;Serif"/>
          <w:b w:val="false"/>
          <w:i w:val="false"/>
          <w:caps w:val="false"/>
          <w:smallCaps w:val="false"/>
          <w:sz w:val="20"/>
        </w:rPr>
        <w:t>The Common Stock is registered pursuant to Section 12(b) or 12(g) of the Exchange Act and is listed on the Nasdaq Global Select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and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(aaa)     </w:t>
      </w:r>
      <w:r>
        <w:rPr>
          <w:rFonts w:ascii="Times New Roman;Times;Serif" w:hAnsi="Times New Roman;Times;Serif"/>
          <w:b/>
          <w:i/>
          <w:caps w:val="false"/>
          <w:smallCaps w:val="false"/>
          <w:sz w:val="20"/>
        </w:rPr>
        <w:t xml:space="preserve">The Indenture. </w:t>
      </w:r>
      <w:r>
        <w:rPr>
          <w:rFonts w:ascii="Times New Roman;Times;Serif" w:hAnsi="Times New Roman;Times;Serif"/>
          <w:b w:val="false"/>
          <w:i w:val="false"/>
          <w:caps w:val="false"/>
          <w:smallCaps w:val="false"/>
          <w:sz w:val="20"/>
        </w:rPr>
        <w:t>The Indenture has been duly authorized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the Indenture will conform in all material respects to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(bbb)     </w:t>
      </w:r>
      <w:r>
        <w:rPr>
          <w:rFonts w:ascii="Times New Roman;Times;Serif" w:hAnsi="Times New Roman;Times;Serif"/>
          <w:b/>
          <w:i/>
          <w:caps w:val="false"/>
          <w:smallCaps w:val="false"/>
          <w:sz w:val="20"/>
        </w:rPr>
        <w:t>The Maximum Number of Underlying Securities</w:t>
      </w:r>
      <w:r>
        <w:rPr>
          <w:rFonts w:ascii="Times New Roman;Times;Serif" w:hAnsi="Times New Roman;Times;Serif"/>
          <w:b w:val="false"/>
          <w:i w:val="false"/>
          <w:caps w:val="false"/>
          <w:smallCaps w:val="false"/>
          <w:sz w:val="20"/>
        </w:rPr>
        <w:t>. Upon issuance and delivery of the Offered Securities in accordance with this Agreement and the Indenture, the Offered Securities will be convertible at the option of the holder thereof into cash, Underlying Securities, or a combination of cash and Underlying Securities, at the Company’s election, in accordance with the terms of the Offered Securities and the Indenture. A number of Underlying Securities equal to the product of (x) the number of Offered Securities (assuming the Underwriters exercise their option to purchase Optional Securities in full) and (y) the conversion rate for the Offered Securities (assuming the maximum increase to such conversion rate for a conversion of Offered Securities in connection with a “make-whole fundamental change”) (the “</w:t>
      </w:r>
      <w:r>
        <w:rPr>
          <w:rFonts w:ascii="Times New Roman;Times;Serif" w:hAnsi="Times New Roman;Times;Serif"/>
          <w:b/>
          <w:i w:val="false"/>
          <w:caps w:val="false"/>
          <w:smallCaps w:val="false"/>
          <w:sz w:val="20"/>
        </w:rPr>
        <w:t>Maximum Number of Underlying Securities</w:t>
      </w:r>
      <w:r>
        <w:rPr>
          <w:rFonts w:ascii="Times New Roman;Times;Serif" w:hAnsi="Times New Roman;Times;Serif"/>
          <w:b w:val="false"/>
          <w:i w:val="false"/>
          <w:caps w:val="false"/>
          <w:smallCaps w:val="false"/>
          <w:sz w:val="20"/>
        </w:rPr>
        <w:t>”) have been duly authorized and reserved for issuance by the Company by all necessary corporate action and such Maximum Number of Underlying Securities, if and when issued upon any conversion of the Offered Securities in accordance with the terms of the Offered Securities and the Indenture, will be validly issued, fully paid and non-assessable; no holder of such Underlying Securities will be subject to personal liability by reason of being such a holder; and the issuance of such Underlying Securities upon any such conversion will not be subject to the preemptive or other similar rights of any securityholder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(ccc)     </w:t>
      </w:r>
      <w:r>
        <w:rPr>
          <w:rFonts w:ascii="Times New Roman;Times;Serif" w:hAnsi="Times New Roman;Times;Serif"/>
          <w:b/>
          <w:i/>
          <w:caps w:val="false"/>
          <w:smallCaps w:val="false"/>
          <w:sz w:val="20"/>
        </w:rPr>
        <w:t>Descriptions of the Transaction Documents</w:t>
      </w:r>
      <w:r>
        <w:rPr>
          <w:rFonts w:ascii="Times New Roman;Times;Serif" w:hAnsi="Times New Roman;Times;Serif"/>
          <w:b w:val="false"/>
          <w:i w:val="false"/>
          <w:caps w:val="false"/>
          <w:smallCaps w:val="false"/>
          <w:sz w:val="20"/>
        </w:rPr>
        <w:t>. Each Transaction Document conforms (or will conform) in all material respects to the description thereof contained in each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(ddd)     </w:t>
      </w:r>
      <w:r>
        <w:rPr>
          <w:rFonts w:ascii="Times New Roman;Times;Serif" w:hAnsi="Times New Roman;Times;Serif"/>
          <w:b/>
          <w:i/>
          <w:caps w:val="false"/>
          <w:smallCaps w:val="false"/>
          <w:sz w:val="20"/>
        </w:rPr>
        <w:t>Margin Rules</w:t>
      </w:r>
      <w:r>
        <w:rPr>
          <w:rFonts w:ascii="Times New Roman;Times;Serif" w:hAnsi="Times New Roman;Times;Serif"/>
          <w:b w:val="false"/>
          <w:i w:val="false"/>
          <w:caps w:val="false"/>
          <w:smallCaps w:val="false"/>
          <w:sz w:val="20"/>
        </w:rPr>
        <w:t>. None of the issuance, sale and delivery of the Offered Securities or the Maximum Number of Underlying Securities nor the application of the proceeds thereof by the Company as described in each of the Registration Statement, the Time of Sale Prospectus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w:t>
        <w:tab/>
        <w:t>     Purchase, Sale and Delivery of the 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The Firm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herein set forth, the Company agrees to issue and sell to the several Underwriters $200,000,000 aggregate principal amount of Firm Securities. On the basis of the representations, warranties and agreements herein contained, and upon the terms but subject to the conditions herein set forth, the Underwriters agree, severally and not jointly, to purchase from the Company the respective principal amount of Firm Securities set forth opposite their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 a price equal to 97.0% of the principal amount thereof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plus accrued interest, if any, from March 31, 2026 to the First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The First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Delivery of the Firm Securities to be purchased by the Underwriters and payment therefor shall be made at the offices of Cooley LLP (or such other place as may be agreed to by the Company and the Representatives) at 10:00 a.m. New York City time, on March 31, 2026 or such other time and date not later than 1:30 p.m. New York City time, on April 14, 2026 as the Representatives shall designate by notice to the Company (the time and date of such closing are called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The Optional Securities; Option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addition, on the basis of the representations, warranties and agreements herein contained, and upon the terms but subject to the conditions herein set forth, the Company hereby grants an option to the several Underwriters to purchase, severally and not jointly, up to an additional $30,000,000 principal amount of Optional Securities from the Company, solely to cover over-allotments, at the Purchase Price plus accrued interest, if any, from March 31, 2026 to the Option Closing Date, or if such time and date of delivery of the Optional Securities occurs on the First Closing Date, then the First Closing Date. The option granted hereunder may be exercised at any time and from time to time in whole or in part upon notice by the Representatives to the Company, which notice may be given at any time within 30 days from the date of this Agreement. Such notice shall set forth (i) the principal amount of Optional Securities plus accrued interest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shall refer to the time and date of delivery of the Firm Securities and such Optional Securities). Any such time and date of delivery, if subsequent to the First Closing Date, is called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xml:space="preserve">,” and shall be determined by the Representatives and shall not be earlier than two or later than five full business days after delivery of such notice of exercise. If any Optional Securities are to be purchased, each Underwriter agrees, severally and not jointly, to purchase the principal amount of Optional Securities (subject to such adjustments to eliminate Securities in denominations other than $1,000 as the Representatives in their sole discretion shall make) that bears the same proportion to the principal amount of Firm Securities (a) to be purchased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name of such Underwriter bears to the total principal amount of Firm Securities and (b) the Company agrees to sell the number of Optional Securities set forth in the paragraph “Introductory” of this Agreement (subject to such adjustments to eliminate Securities in denominations other than $1,000 as the Representatives in their sole discretion shall make). The Representatives may cancel the option at any time prior to its expiration by giving written notice of such cancellation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Public Offering of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Representatives, in their sole judgment, have determined is advisable and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Payment for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Payment for the Offered Securities to be sold by the Company shall be made at the First Closing Date (and, if applicable, at each Option Closing Date) by wire transfer of immediately available funds to the order of the Company. It is understood that the Representatives have been authorized, for their own accounts and the accounts of the several Underwriters, to accept delivery of and receipt for, and make payment of the purchase price for, the Firm Securities and any Optional Securities the Underwriters have agreed to purchase. Jefferies, Evercore, Citigroup and Guggenheim Securities,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Delivery of the Offered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deliver, or cause to be delivered to the nominee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for the Representatives for the accounts of the several Underwriters one or more global notes representing the Offered Securities (collectively, the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at the First Closing Date and any Option Closing Date, as applicable, against release of a wire transfer of immediately available funds for the amount of the purchase price therefor. Time shall be of the essence, and delivery at the time and place specified in this Agreement is a further condition to the obligations of the Underwriters. The Global Note will be made available for inspection by the Representatives at the office of Jefferies LLC set forth above not later than 1:00 p.m. New York City time, on the business day prior to the First Closing Date or any Option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tab/>
        <w:t>     Additional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Commission Filing Fees.</w:t>
      </w:r>
      <w:r>
        <w:rPr>
          <w:rFonts w:ascii="Times New Roman;Times;Serif" w:hAnsi="Times New Roman;Times;Serif"/>
          <w:b w:val="false"/>
          <w:i w:val="false"/>
          <w:caps w:val="false"/>
          <w:smallCaps w:val="false"/>
          <w:sz w:val="20"/>
        </w:rPr>
        <w:t xml:space="preserve"> The Company agrees to pay the required Commission filing fees relating to the Offered Securities within the time required by Rule 456(b)(1) under the Securities Act without regard to the proviso therein and otherwise in accordance with the Rules 456(b) and 457(r)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Delivery of Registration Statement, Time of Sale Prospectus and Prospectus.</w:t>
      </w:r>
      <w:r>
        <w:rPr>
          <w:rFonts w:ascii="Times New Roman;Times;Serif" w:hAnsi="Times New Roman;Times;Serif"/>
          <w:b w:val="false"/>
          <w:i w:val="false"/>
          <w:caps w:val="false"/>
          <w:smallCaps w:val="false"/>
          <w:sz w:val="20"/>
        </w:rPr>
        <w:t xml:space="preserve"> The Company shall furnish to you in New York City, 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Representatives’ Review of Proposed Amendments and Supplements.</w:t>
      </w:r>
      <w:r>
        <w:rPr>
          <w:rFonts w:ascii="Times New Roman;Times;Serif" w:hAnsi="Times New Roman;Times;Serif"/>
          <w:b w:val="false"/>
          <w:i w:val="false"/>
          <w:caps w:val="false"/>
          <w:smallCaps w:val="false"/>
          <w:sz w:val="20"/>
        </w:rPr>
        <w:t xml:space="preserve"> 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or delayed. The Company shall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Free Writing Prospectuses.</w:t>
      </w:r>
      <w:r>
        <w:rPr>
          <w:rFonts w:ascii="Times New Roman;Times;Serif" w:hAnsi="Times New Roman;Times;Serif"/>
          <w:b w:val="false"/>
          <w:i w:val="false"/>
          <w:caps w:val="false"/>
          <w:smallCaps w:val="false"/>
          <w:sz w:val="20"/>
        </w:rPr>
        <w:t xml:space="preserve"> The Company shall furnish to the Representatives for review, a reasonable amount of time prior to the proposed time of filing or use thereof, a copy of each proposed free writing prospectus or issuer free writing prospectus or any amendment or supplement thereto prepared by or on behalf of, used by, or referred to by the Company, and the Company shall not file, use or refer to any proposed free writing prospectus or any issuer free writing prospectus or any amendment or supplement thereto without the Representatives’ prior written consent, which consent shall not be unreasonably withheld or delayed. The Company shall furnish to each Underwriter, without charge, as many copies of any free writing prospectus or any issuer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or any issuer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or issuer free writing prospectus, as applicable, to eliminate or correct such conflict or so that the statements in such free writing prospectus or issuer free writing prospectus, as applicable,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or any such issuer free writing prospectus, the Company shall furnish to the Representatives for review, a reasonable amount of time prior to the proposed time of filing or use thereof, a copy of such proposed amended or supplemented free writing prospectus or issuer free writing prospectus, as applicable, and the Company shall not file, use or refer to any such amended or supplemented free writing prospectus or issuer free writing prospectus, as applicable, without the Representatives’ prior written consent,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Amendments and Supplements to Time of Sale Prospectus.</w:t>
      </w:r>
      <w:r>
        <w:rPr>
          <w:rFonts w:ascii="Times New Roman;Times;Serif" w:hAnsi="Times New Roman;Times;Serif"/>
          <w:b w:val="false"/>
          <w:i w:val="false"/>
          <w:caps w:val="false"/>
          <w:smallCaps w:val="false"/>
          <w:sz w:val="20"/>
        </w:rPr>
        <w:t xml:space="preserve"> 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under which they were made when delivered to a prospective purchaser, not misleading, or if during such time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the Company shall (subject to Section 3(b) and Section 3(c))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Certain Notifications and Required 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After the date of this Agreement,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any issuer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any issuer free writing prospectus, or of any proceedings to remove, suspend or terminate from listing or quotation of the shares of Common Stock issuable upon conversion of the Offered Securities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If, after the date of this Agreement and during any time when a prospectus is required by the Securities Act to be delivered (whether physically or through compliance with Rule 172 under the Securities Act or any similar rule), the Company receives notice pursuant to Rule 401(g)(2) under the Securities Act from the Commission or otherwise ceases to be eligible to use the automatic shelf registration form, the Company shall promptly advise the Representatives in writing of such notice or ineligibility and will (i) promptly file a new registration statement or post-effective amendment on the proper form relating to the Offered Securities, (ii) use its best efforts to cause such registration statement or post-effective amendment to be declared effective by the Commission as soon as practicable and (iii) promptly notify the Representatives in writing of such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Blue Sky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cooperate with the Representatives and counsel for the Underwriters to qualify or register the Offered Securities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where it is not otherwise subject to taxation.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Use of Proceeds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apply the net proceeds from the sale of the Offered Securities sold by it in the manner described under the caption “Use of Proceeds”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Transfer Agent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engage and maintain, at its expense, a registrar and transfer agent for the Offered Securities and the shares of Common Stock issuable upon conversion of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Earnings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occurring after the date of this Agreement which shall satisfy the provisions of Section 11(a) of the Securities Act and the rules and regulations of the Commission thereunder, provided that the Company will be deemed to have made generally available such statement to the extent it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Continued Compliance with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comply with the Securities Act and the Exchange Act so as to permit the completion of the distribution of the Offered Securities as contemplated by the Transaction Documents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            </w:t>
      </w:r>
      <w:r>
        <w:rPr>
          <w:rFonts w:ascii="Times New Roman;Times;Serif" w:hAnsi="Times New Roman;Times;Serif"/>
          <w:b/>
          <w:i/>
          <w:caps w:val="false"/>
          <w:smallCaps w:val="false"/>
          <w:sz w:val="20"/>
        </w:rPr>
        <w:t xml:space="preserve">The Maximum Number of Underlying Securities. </w:t>
      </w:r>
      <w:r>
        <w:rPr>
          <w:rFonts w:ascii="Times New Roman;Times;Serif" w:hAnsi="Times New Roman;Times;Serif"/>
          <w:b w:val="false"/>
          <w:i w:val="false"/>
          <w:caps w:val="false"/>
          <w:smallCaps w:val="false"/>
          <w:sz w:val="20"/>
        </w:rPr>
        <w:t>The Company will reserve and keep available at all times, free of preemptive rights, a number of shares of Common Stock equal to the Maximum Number of Underlying Securities. The Company will use its reasonable best efforts to effect and maintain the listing of a number of shares of Common Stock issuable upon conversion of the Offered Securities equal to the Maximum Number of Underlying Securities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w:t>
      </w:r>
      <w:r>
        <w:rPr>
          <w:rFonts w:ascii="Times New Roman;Times;Serif" w:hAnsi="Times New Roman;Times;Serif"/>
          <w:b/>
          <w:i/>
          <w:caps w:val="false"/>
          <w:smallCaps w:val="false"/>
          <w:sz w:val="20"/>
        </w:rPr>
        <w:t>Company to Provide Copy of the Prospectus in Form That May be Downloaded from the Internet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Underwriters in connection with the offering and sale of the Offered Securities.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            </w:t>
      </w:r>
      <w:r>
        <w:rPr>
          <w:rFonts w:ascii="Times New Roman;Times;Serif" w:hAnsi="Times New Roman;Times;Serif"/>
          <w:b/>
          <w:i/>
          <w:caps w:val="false"/>
          <w:smallCaps w:val="false"/>
          <w:sz w:val="20"/>
        </w:rPr>
        <w:t>Agreement Not to Offer or Sell Additional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also covenants with each Underwriter that, without the prior written consent of Jefferies LLC, it will not, and will not publicly disclose an intention to, during the period ending 60 days after the date of the Prospectus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(2) enter into any hedging,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confidentially submit any draft registration statement or file any registration statement with the Commission relating to the offering of any shares of Common Stock or any securities convertible into or exercisable or exchangeable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restrictions contained in the preceding paragraph shall not apply to (a) the Offered Securities to be sold hereunder, (b) the issuance by the Company of shares of Common Stock upon the exercise of an option or warrant or the conversion or settlement of a security outstanding on the date hereof that is described in each of the Registration Statement, Time of Sale Prospectus and Prospectus, (c) grants of options, restricted stock or other equity awards and the issuance of Common Stock or securities convertible into or exercisable for Common Stock (whether upon the exercise of stock options or otherwise) to employees, officers, directors, advisors, or consultants of the Company pursuant to the terms of a plan as described in the Registration Statement, Time of Sale Prospectus and Prospectus, provided that the Company shall cause each recipient of such grant to execute and deliver to the Representatives an agreement substantially in the form of Exhibit A hereto if such recipient has not already delivered one, (d) the filing of a registration statement on Form S-8 to register Common Stock issuable pursuant to any employee benefit plans, qualified stock option plans or other employee compensation plans, described in the Registration Statement, Time of Sale Prospectus and Prospectus, (e) Common Stock or any securities convertible into, or exercisable or exchangeable for, Common Stock, or the entrance into an agreement to issue Common Stock or any securities convertible into, or exercisable or exchangeable for, Common Stock, in connection with (i) the acquisition by the Company or any of its subsidiaries of the securities, business, property or other assets of another person or entity, including pursuant to an employee benefit or equity-based compensation plan or agreement assumed by the Company or any of its subsidiaries in connection with such acquisition or (ii) joint ventures, licensing arrangements, commercial relationships or other strategic transactions; provided that the aggregate number of shares of Common Stock issued or issuable pursuant to this clause (e) shall not exceed ten percent of the total number of shares of Common Stock issued and outstanding immediately following the offering and issuance of the Shares in the Concurrent Offering and provided further that the Company shall cause each recipient of such shares to execute and deliver to the Representatives, on or prior to such issuance, a “lock-up” agreement, substantially in the form of Exhibit A hereto, (f) facilitating the establishment of a trading plan on behalf of a stockholder, officer or director of the Company pursuant to Rule 10b5-1 under the Exchange Act for the transfer of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(g) the issuance and sale of the Shares in the Concurrent Offering, (h) the 2,000,000 shares of Common Stock issuable to InnoCare Pharma Limited (“InnoCare”) as partial consideration pursuant to that certain license agreement between InnoCare and the Company, dated October 7, 2025, or (i) shares of Common Stock that may be issued and sold pursuant to the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dated October 8, 2025, by and between the Company and Jefferies, following the earlier to occur of (x) the date that is 30 days following the date hereof and (y) the date that the Underwriters exercise in full their option to purchase the Optional Securities pursuant to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            </w:t>
      </w:r>
      <w:r>
        <w:rPr>
          <w:rFonts w:ascii="Times New Roman;Times;Serif" w:hAnsi="Times New Roman;Times;Serif"/>
          <w:b/>
          <w:i/>
          <w:caps w:val="false"/>
          <w:smallCaps w:val="false"/>
          <w:sz w:val="20"/>
        </w:rPr>
        <w:t>Investment Limitation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invest or otherwise use the proceeds received by the Company from its sale of the Offered Securities in such a manner as would require the Company to register as an investment company under the Investment Company Act. During the period of one year after the First Closing Date or any Option Closing Date, if later, the Company will not be, nor will it become, an open-end investment company, unit investment trust or face-amount certificate company that is or is required to be registered under Section 8 of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            </w:t>
      </w:r>
      <w:r>
        <w:rPr>
          <w:rFonts w:ascii="Times New Roman;Times;Serif" w:hAnsi="Times New Roman;Times;Serif"/>
          <w:b/>
          <w:i/>
          <w:caps w:val="false"/>
          <w:smallCaps w:val="false"/>
          <w:sz w:val="20"/>
        </w:rPr>
        <w:t>No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not take, and will ensure that no affiliate of the Company will take, directly or indirectly, any action designed to or that might cause or result in stabilization or manipulation of the price of the Common Stock or any reference security with respect to the Common Stock, whether to facilitate the sale or resale of the Offered Securities or otherwise, and the Company will, and shall cause each of its affiliates to, comply with all applicable provisions of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            </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i/>
          <w:caps w:val="false"/>
          <w:smallCaps w:val="false"/>
          <w:sz w:val="20"/>
        </w:rPr>
        <w:t xml:space="preserve">Amendments and Supplements to Permitted Section 5(d) Communications. </w:t>
      </w:r>
      <w:r>
        <w:rPr>
          <w:rFonts w:ascii="Times New Roman;Times;Serif" w:hAnsi="Times New Roman;Times;Serif"/>
          <w:b w:val="false"/>
          <w:i w:val="false"/>
          <w:caps w:val="false"/>
          <w:smallCaps w:val="false"/>
          <w:sz w:val="20"/>
        </w:rPr>
        <w:t>If at any time following the distribution of any Permitted 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            </w:t>
      </w:r>
      <w:r>
        <w:rPr>
          <w:rFonts w:ascii="Times New Roman;Times;Serif" w:hAnsi="Times New Roman;Times;Serif"/>
          <w:b/>
          <w:i/>
          <w:caps w:val="false"/>
          <w:smallCaps w:val="false"/>
          <w:sz w:val="20"/>
        </w:rPr>
        <w:t xml:space="preserve">DTC. </w:t>
      </w:r>
      <w:r>
        <w:rPr>
          <w:rFonts w:ascii="Times New Roman;Times;Serif" w:hAnsi="Times New Roman;Times;Serif"/>
          <w:b w:val="false"/>
          <w:i w:val="false"/>
          <w:caps w:val="false"/>
          <w:smallCaps w:val="false"/>
          <w:sz w:val="20"/>
        </w:rPr>
        <w:t>The Company will assist the Underwriters in arranging for the Offered Securities to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i/>
          <w:caps w:val="false"/>
          <w:smallCaps w:val="false"/>
          <w:sz w:val="20"/>
        </w:rPr>
        <w:t>Conversion Rate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 event has occurred that would, if the Offered Securities were outstanding, require an adjustment to the Conversion Rate (as defined in the Indenture) for the Offered Securities pursuant to the terms of the Indenture. During the period beginning from the date hereof and continuing until the latest Option Closing Date, the Company will not do or authorize any act or thing that would result in an adjustment of the Conversion Rate (as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            </w:t>
      </w:r>
      <w:r>
        <w:rPr>
          <w:rFonts w:ascii="Times New Roman;Times;Serif" w:hAnsi="Times New Roman;Times;Serif"/>
          <w:b/>
          <w:i/>
          <w:caps w:val="false"/>
          <w:smallCaps w:val="false"/>
          <w:sz w:val="20"/>
        </w:rPr>
        <w:t>Term Sheet</w:t>
      </w:r>
      <w:r>
        <w:rPr>
          <w:rFonts w:ascii="Times New Roman;Times;Serif" w:hAnsi="Times New Roman;Times;Serif"/>
          <w:b w:val="false"/>
          <w:i w:val="false"/>
          <w:caps w:val="false"/>
          <w:smallCaps w:val="false"/>
          <w:sz w:val="20"/>
        </w:rPr>
        <w:t>. The Company will prepare a final term sheet relating to this offering of the Offered Securities and the Concurrent Offering in a form approved by the Representatives (as set forth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hereto) and will file such term sheet pursuant to and within the time required by Rule 433(d)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w:t>
        <w:tab/>
        <w:t>     Payment of Expenses.</w:t>
      </w:r>
      <w:r>
        <w:rPr>
          <w:rFonts w:ascii="Times New Roman;Times;Serif" w:hAnsi="Times New Roman;Times;Serif"/>
          <w:b w:val="false"/>
          <w:i w:val="false"/>
          <w:caps w:val="false"/>
          <w:smallCaps w:val="false"/>
          <w:sz w:val="20"/>
        </w:rPr>
        <w:t xml:space="preserve">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Offered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Offered Securities to the Underwriters, including any transfer or other taxes payable thereon, (iii) the reasonable and documented cost of printing or producing any Blue Sky or Legal Investment memorandum in connection with the offer and sale of the Offered Securities under state securities laws and all expenses in connection with the qualification of the Offered Securities for offer and sale under state securities laws, including filing fees and the reasonable and documented fees and disbursements of counsel for the Underwriters in 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Offered Securities by FINRA (provided such fees and disbursements of counsel payable by the Company pursuant to clauses (iii) and (iv) shall not, in the aggregate, exceed $25,000), (v) all fees and expenses in connection with the preparation and filing of the registration statement on Form 8-A relating to the Common Stock and all costs and expenses incident to listing the shares of Common Stock underlying the Offered Securities on Nasdaq, (vi) the cost of printing certificates representing the Offered Securities, (vii) the costs and charges of any transfer agent, registrar or depositary, (viii) the costs and expenses of the Company relating to investor presentations on any “road show” undertaken in connection with the marketing of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the cost of such aircraft to be paid by the Underwriters), (ix) the document production charges and expenses associated with printing this Agreement, (x) any fees charged by rating agencies for rating the Offered Securities, (xi) the fees and expenses of the Trustee and any paying agent (including related fees and expenses of any counsel to such parties), (xii) all expenses and application fees incurred in connection with the approval of the Offered Securities for book-entry transfer by DTC, and (xiii) all other costs and expenses incident to the performance of the obligations of the Company under the Transaction Documents for which provision is not otherwise made in this Section. It is understood, however, that except as provided in this Section, and the last paragraph of Section 7, Section 9 or Section 10 below, the Underwriters will pay all of their own costs and expenses, including, without limitation, fees and disbursements of their counsel, travel and lodging expenses of the Underwriters (except as otherwise specifically set forth in clause (viii) of this paragraph with respect to the costs related to chartered aircraft, if any) stock transfer taxes payable on resale of any of the Offered Securities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w:t>
        <w:tab/>
        <w:t>     Covenant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Underwriters may use the term sheet as set forth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w:t>
        <w:tab/>
        <w:t>     Conditions of the Obligations of the Underwriters.</w:t>
      </w:r>
      <w:r>
        <w:rPr>
          <w:rFonts w:ascii="Times New Roman;Times;Serif" w:hAnsi="Times New Roman;Times;Serif"/>
          <w:b w:val="false"/>
          <w:i w:val="false"/>
          <w:caps w:val="false"/>
          <w:smallCaps w:val="false"/>
          <w:sz w:val="20"/>
        </w:rPr>
        <w:t xml:space="preserve"> The respective obligations of the several Underwriters hereunder to 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caps w:val="false"/>
          <w:smallCaps w:val="false"/>
          <w:sz w:val="20"/>
        </w:rPr>
        <w:t>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date hereof, the Representatives shall have received from Ernst &amp; Young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caps w:val="false"/>
          <w:smallCaps w:val="false"/>
          <w:sz w:val="20"/>
        </w:rPr>
        <w:t xml:space="preserve">Compliance with Registration Requirements; No Stop Order. </w:t>
      </w:r>
      <w:r>
        <w:rPr>
          <w:rFonts w:ascii="Times New Roman;Times;Serif" w:hAnsi="Times New Roman;Times;Serif"/>
          <w:b w:val="false"/>
          <w:i w:val="false"/>
          <w:caps w:val="false"/>
          <w:smallCaps w:val="false"/>
          <w:sz w:val="20"/>
        </w:rPr>
        <w:t>For the period from and after the date of this Agreement and through and including the First Closing Date and, with respect to any Optional Securities purchased after the First Closing Date, each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have filed the Prospectus with the Commission (including the information required by Rule 430B under the Securities Act) in the manner and within the time period required by Rule 424(b) under the Securities Act and will file any free writing prospectus or any issuer free writing prospectus, if any, identified in </w:t>
      </w:r>
      <w:r>
        <w:rPr>
          <w:rFonts w:ascii="Times New Roman;Times;Serif" w:hAnsi="Times New Roman;Times;Serif"/>
          <w:b w:val="false"/>
          <w:i w:val="false"/>
          <w:caps w:val="false"/>
          <w:smallCaps w:val="false"/>
          <w:sz w:val="20"/>
          <w:u w:val="single"/>
        </w:rPr>
        <w:t xml:space="preserve">Schedule B </w:t>
      </w:r>
      <w:r>
        <w:rPr>
          <w:rFonts w:ascii="Times New Roman;Times;Serif" w:hAnsi="Times New Roman;Times;Serif"/>
          <w:b w:val="false"/>
          <w:i w:val="false"/>
          <w:caps w:val="false"/>
          <w:smallCaps w:val="false"/>
          <w:sz w:val="20"/>
        </w:rPr>
        <w:t>hereto (including the term sheet substantially in the form of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hereto) to the extent required by Rule 433 under the Securities Act; or the Company shall have filed a post-effective amendment to the Registration Statement containing the information required by such Rule 430B, and such post-effective amendment shall have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order suspending the effectiveness of the Registration Statement shall be in effect, and no proceeding for such purpose or pursuant to Section 8A under the Securities Act shall be pending before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Offered Securities on the terms and in the manner contemplated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caps w:val="false"/>
          <w:smallCaps w:val="false"/>
          <w:sz w:val="20"/>
        </w:rPr>
        <w:t>No Material Adverse Change or Ratings Agency Change; No Objection from FINRA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period from and after the date of this Agreement and through and including the First Closing Date and, with respect to any Optional Securities purchased after the First Closing Date, each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judgment of the Representatives there shall not have occurred any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that term is used in Rule 15c3-1(c)(2)(vi)(F) under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FINRA shall have raised no objection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Opinion of Counsel for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Ropes &amp; Gray LLP, counsel for the Company, in form and substance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caps w:val="false"/>
          <w:smallCaps w:val="false"/>
          <w:sz w:val="20"/>
        </w:rPr>
        <w:t>Opinion of Intellectual Property Counsel for the Company.</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of Proskauer Rose LLP, counsel for the Company with respect to intellectual property matters, dated as of such date, in form and substance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caps w:val="false"/>
          <w:smallCaps w:val="false"/>
          <w:sz w:val="20"/>
        </w:rPr>
        <w:t>Opinion of Counsel for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Cooley LLP, counsel for the Underwriters in connection with the offer and sale of the Offered Securities, in form and substance satisfactory to the Underwriters, dated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caps w:val="false"/>
          <w:smallCaps w:val="false"/>
          <w:sz w:val="20"/>
        </w:rPr>
        <w:t>Officers’ Certificate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a certificate executed by the Chief Executive Officer of the Company and the Chief Financial Officer of the Company, dated as of such date, to the effect set forth in Section 6(b)(B) and 6(b)(C) and further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the representations and warranties of the Company contained in this Agreement are true and correct as of the Closing Date and that the Company has complied in all material respects with all of the agreements and satisfied all of the conditions on its part to be performed or satisfied hereunder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signing and delivering such certificate may rely upon the best of his or her knowledge as to proceedings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caps w:val="false"/>
          <w:smallCaps w:val="false"/>
          <w:sz w:val="20"/>
        </w:rPr>
        <w:t>Bring-down 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from Ernst &amp; Young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xml:space="preserve"> On or prior to the date hereof, the Company shall have furnished to the Representatives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 each such agreement shall be in full force and effect on each of the First Closing Date and each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i/>
          <w:caps w:val="false"/>
          <w:smallCaps w:val="false"/>
          <w:sz w:val="20"/>
        </w:rPr>
        <w:t>Approval of Listing</w:t>
      </w:r>
      <w:r>
        <w:rPr>
          <w:rFonts w:ascii="Times New Roman;Times;Serif" w:hAnsi="Times New Roman;Times;Serif"/>
          <w:b w:val="false"/>
          <w:i w:val="false"/>
          <w:caps w:val="false"/>
          <w:smallCaps w:val="false"/>
          <w:sz w:val="20"/>
        </w:rPr>
        <w:t>. At the First Closing Date, the Company shall have provided notification to Nasdaq that the Company intends to issue the number of shares of Common Stock equal to the Maximum Number of Underlying Securities and there shall not be any written objection from Nasdaq with respect to such notification.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The Offered Securities shall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w:t>
      </w:r>
      <w:r>
        <w:rPr>
          <w:rFonts w:ascii="Times New Roman;Times;Serif" w:hAnsi="Times New Roman;Times;Serif"/>
          <w:b/>
          <w:i/>
          <w:caps w:val="false"/>
          <w:smallCaps w:val="false"/>
          <w:sz w:val="20"/>
        </w:rPr>
        <w:t>Additional Documents</w:t>
      </w:r>
      <w:r>
        <w:rPr>
          <w:rFonts w:ascii="Times New Roman;Times;Serif" w:hAnsi="Times New Roman;Times;Serif"/>
          <w:b w:val="false"/>
          <w:i w:val="false"/>
          <w:caps w:val="false"/>
          <w:smallCaps w:val="false"/>
          <w:sz w:val="20"/>
        </w:rPr>
        <w:t>.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is not satisfied when and as required to be satisfied, this Agreement may be terminated by the Representatives by notice from Jefferies, Evercore, Citigroup and Guggenheim Securities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w:t>
        <w:tab/>
        <w:t>     Reimbursement of Underwriters’ Expenses</w:t>
      </w:r>
      <w:r>
        <w:rPr>
          <w:rFonts w:ascii="Times New Roman;Times;Serif" w:hAnsi="Times New Roman;Times;Serif"/>
          <w:b w:val="false"/>
          <w:i w:val="false"/>
          <w:caps w:val="false"/>
          <w:smallCaps w:val="false"/>
          <w:sz w:val="20"/>
        </w:rPr>
        <w:t>. If this Agreement is terminated by the Representatives pursuant to Section 6, Section 11 or Section 12,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w:t>
        <w:tab/>
        <w:t>     Effectiveness of this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w:t>
        <w:tab/>
        <w:t>     Indemnity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(in the case 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any Testing-the-Waters Communication, in the light of the circumstances under which they were made),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or on behalf of such Underwriter through the Representatives expressly for use therein, it being understood and agreed that the only such information furnished by any Underwriter through the Representatives consists of the following information in the Prospectus: (i) the first sentence of the third paragraph under the caption “Underwriting”, (ii) the first and second sentences of the first paragraph under the section entitled “Commission and Expenses,” (iii) the first sentence of the first paragraph under the section entitled “Stabilization,” and (iv) the first sentence of the first paragraph under the section entitled “Electronic Distribution,” each under the caption “Underwriting” in the Preliminary Prospectus and the Prospectus (the “</w:t>
      </w:r>
      <w:r>
        <w:rPr>
          <w:rFonts w:ascii="Times New Roman;Times;Serif" w:hAnsi="Times New Roman;Times;Serif"/>
          <w:b/>
          <w:i w:val="false"/>
          <w:caps w:val="false"/>
          <w:smallCaps w:val="false"/>
          <w:sz w:val="20"/>
        </w:rPr>
        <w:t>Underwriting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or any amendment or supplement thereto, any issuer free writing prospectus, road show or the Prospectus or any amendment or supplement thereto, it being understood and agreed that the only such information furnished by any Underwriter through the Representatives consists of the Underwriting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any proceeding (including any governmental investigation) shall be instituted involving any person in respect of which indemnity may be sought pursuant to Section 9(a) or 9(b), such person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reasonably incurred and documented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reasonably incurred and documented fees and expenses of more than one separate firm (in addition to any local counsel) for all such indemnified parties and that all such reasonably incurred and documented fees and expenses shall be reimbursed as they are incurred. Such firm shall be designated in writing by the Representatives, in the case of parties indemnified pursuant to Section 9(a), and by the Company, in the case of parties indemnified pursuant to Section 9(b).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reasonably incurred and documented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Offered Securities or (ii) if the allocation provided by clause 9(d)(i) above is not permitted by applicable law, in such proportion as is appropriate to reflect not only the relative benefits referred to in clause 9(d)(i)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Offered Securities shall be deemed to be in the same respective proportions as the net proceeds from the offering of the Offered Securities (before deducting expenses) received by the Company and the total underwriting discounts and commissions received by the Underwriters, in each case as set forth in the table on the cover of the Prospectus, bear to the aggregate initial public offering price of the Offered Securities as set forth on such cover.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Offered Securities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The Company and the Underwriters agree that it would not be just or equitable if contribution pursuant to this Section 9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Offered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indemnity and contribution provisions contained in this Section 9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w:t>
        <w:tab/>
        <w:t>     Default of One or More of the Several Underwriters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on the First Closing Date or any Option Closing Date any one or more of the several Underwriters shall fail or refuse to purchase Offered Securities that it or they have agreed to purchase hereunder on such date, and the aggregate principal amount of Offered Securities which such defaulting Underwriter or Underwriters agreed but failed or refused to purchase does not exceed 10% of the aggregate principal amount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of the principal amount of Firm Securities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bears to the aggregate principal amount of Firm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any one or more of the Underwriters shall fail or refuse to purchase Offered Securities and the aggregate principal amount of Offered Securities with respect to which such default occurs exceeds 10% of the aggregate principal amount of Offered Securities to be purchased on such date, and arrangements satisfactory to the Representatives and the Company for the purchase of such Offered Securities are not made within 36 hours after such default, this Agreement shall terminate without liability of any party to any other party except that the provisions of Section 4, Section 7, Section 9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 If, on any Option Closing Date, any one or more of the several Underwriters shall fail or refuse to purchase Optional Securities and the aggregate number of Optional Securities with respect to which such default occurs exceeds 10% of the aggregate principal amount of the Offered Securities, the non-defaulting Underwriters shall have the option to (i) terminate their obligation hereunder to purchase the Optional Securities to be sold on such Option Closing Date or (ii) purchase not less than the number of Optional Securities that such non-defaulting Underwriters would have been obligated to purchase in the absence of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tab/>
        <w:t>     Termination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or Nasdaq, (ii) trading of any securities of the Company shall have been suspended on any national securities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Offered Securities on the terms and in the manner contemplated in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w:t>
        <w:tab/>
        <w:t xml:space="preserve">     No Advisory or Fiduciary Relationship. </w:t>
      </w:r>
      <w:r>
        <w:rPr>
          <w:rFonts w:ascii="Times New Roman;Times;Serif" w:hAnsi="Times New Roman;Times;Serif"/>
          <w:b w:val="false"/>
          <w:i w:val="false"/>
          <w:caps w:val="false"/>
          <w:smallCaps w:val="false"/>
          <w:sz w:val="20"/>
        </w:rPr>
        <w:t>The Company acknowledges and agrees that (a) the purchase and sale of the 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w:t>
        <w:tab/>
        <w:t>     Representations and Indemnities to Survive Delivery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w:t>
        <w:tab/>
        <w:t>     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80"/>
        <w:gridCol w:w="2045"/>
        <w:gridCol w:w="2795"/>
      </w:tblGrid>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Representatives:</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(646) 619-4437</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Street, 36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ECM, General Counsel</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(646) 291-1469</w:t>
            </w:r>
          </w:p>
        </w:tc>
      </w:tr>
      <w:tr>
        <w:trPr/>
        <w:tc>
          <w:tcPr>
            <w:tcW w:w="8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80"/>
        <w:gridCol w:w="1550"/>
        <w:gridCol w:w="3500"/>
      </w:tblGrid>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658-9689</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Head of Equity Capital Markets</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Hudson Yards</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Richard C. Segal</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rsegal@cooley.com</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Winter Street, Suite 250</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 Held, Chief Legal Officer</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Prudential Tower</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02199-3600</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Thomas Danielski</w:t>
            </w:r>
          </w:p>
        </w:tc>
      </w:tr>
      <w:tr>
        <w:trPr/>
        <w:tc>
          <w:tcPr>
            <w:tcW w:w="8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w:t>
        <w:tab/>
        <w:t>     Successors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will inure to the benefit of and be binding upon the parties hereto, including any substitute Underwriters pursuant to Section 10 hereof, and to the benefit of the affiliates, directors, officers, employees, agents and controlling persons referred to in Section 9, and in each case their respective successors and personal representatives, and no other person will have any right or obligation hereunder. The term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 shall not include any purchaser of the Offered Securities as such from any of the Underwriters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w:t>
        <w:tab/>
        <w:t>     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17.</w:t>
        <w:tab/>
        <w:t>     Recognition of the U.S. Special Resolution Regimes.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“U</w:t>
      </w:r>
      <w:r>
        <w:rPr>
          <w:rFonts w:ascii="Times New Roman;Times;Serif" w:hAnsi="Times New Roman;Times;Serif"/>
          <w:b/>
          <w:i w:val="false"/>
          <w:caps w:val="false"/>
          <w:smallCaps w:val="false"/>
          <w:sz w:val="20"/>
        </w:rPr>
        <w:t>.S.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w:t>
        <w:tab/>
        <w:t>     Governing Law Provisions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any claim, controversy or disputes arising under or related to this Agreement and any transaction contemplated by this Agreement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w:t>
        <w:tab/>
        <w:t>     General Provisions.</w:t>
      </w:r>
      <w:r>
        <w:rPr>
          <w:rFonts w:ascii="Times New Roman;Times;Serif" w:hAnsi="Times New Roman;Times;Serif"/>
          <w:b w:val="false"/>
          <w:i w:val="false"/>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and contribution provisions of Section 9, and is fully informed regarding said provisions. Each of the parties hereto further acknowledges that the provisions of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each issuer free writing prospectus and the Prospectus (and any amendments and supplements to the foregoing), as contemplated by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80"/>
        <w:gridCol w:w="320"/>
        <w:gridCol w:w="4595"/>
      </w:tblGrid>
      <w:tr>
        <w:trPr/>
        <w:tc>
          <w:tcPr>
            <w:tcW w:w="80"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w:t>
            </w:r>
          </w:p>
        </w:tc>
      </w:tr>
      <w:tr>
        <w:trPr/>
        <w:tc>
          <w:tcPr>
            <w:tcW w:w="80"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Jennifer Fox</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Jennifer Fox</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Business Officer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399"/>
        <w:gridCol w:w="3145"/>
        <w:gridCol w:w="440"/>
      </w:tblGrid>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EVERCORE GROUP L.L.C.</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CITIGROUP GLOBAL MARKETS INC.</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and as Representatives</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Underwriters named in</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attached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Brinkman</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Brinkman</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EVERCORE GROUP L.L.C.</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Bilali</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Adam Bilali</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Managing Director</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CITIGROUP GLOBAL MARKETS INC.</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Nicholson</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James Nicholson</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3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Shiv Taylor, M.D.</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Shiv Taylor, M.D.</w:t>
            </w:r>
          </w:p>
        </w:tc>
        <w:tc>
          <w:tcPr>
            <w:tcW w:w="440" w:type="dxa"/>
            <w:tcBorders/>
            <w:vAlign w:val="center"/>
          </w:tcPr>
          <w:p>
            <w:pPr>
              <w:pStyle w:val="TableContents"/>
              <w:bidi w:val="0"/>
              <w:spacing w:before="0" w:after="283"/>
              <w:ind w:left="0" w:right="0" w:firstLine="360"/>
              <w:jc w:val="left"/>
              <w:rPr/>
            </w:pPr>
            <w:r>
              <w:rPr/>
              <w:t> </w:t>
            </w:r>
          </w:p>
        </w:tc>
      </w:tr>
      <w:tr>
        <w:trPr/>
        <w:tc>
          <w:tcPr>
            <w:tcW w:w="399" w:type="dxa"/>
            <w:tcBorders/>
            <w:vAlign w:val="center"/>
          </w:tcPr>
          <w:p>
            <w:pPr>
              <w:pStyle w:val="TableContents"/>
              <w:bidi w:val="0"/>
              <w:spacing w:before="0" w:after="283"/>
              <w:jc w:val="left"/>
              <w:rPr>
                <w:caps w:val="false"/>
                <w:smallCaps w:val="false"/>
              </w:rPr>
            </w:pPr>
            <w:r>
              <w:rPr>
                <w:caps w:val="false"/>
                <w:smallCaps w:val="false"/>
              </w:rPr>
              <w:t> </w:t>
            </w:r>
          </w:p>
        </w:tc>
        <w:tc>
          <w:tcPr>
            <w:tcW w:w="3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Managing Direcotr</w:t>
            </w:r>
          </w:p>
        </w:tc>
        <w:tc>
          <w:tcPr>
            <w:tcW w:w="4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tbl>
      <w:tblPr>
        <w:tblW w:w="4369" w:type="dxa"/>
        <w:jc w:val="left"/>
        <w:tblInd w:w="0" w:type="dxa"/>
        <w:tblLayout w:type="fixed"/>
        <w:tblCellMar>
          <w:top w:w="0" w:type="dxa"/>
          <w:left w:w="0" w:type="dxa"/>
          <w:bottom w:w="28" w:type="dxa"/>
          <w:right w:w="0" w:type="dxa"/>
        </w:tblCellMar>
      </w:tblPr>
      <w:tblGrid>
        <w:gridCol w:w="2480"/>
        <w:gridCol w:w="65"/>
        <w:gridCol w:w="184"/>
        <w:gridCol w:w="1560"/>
        <w:gridCol w:w="80"/>
      </w:tblGrid>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Firm 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Purchased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6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Prospectuses Included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 dated March 26, 2026, relating to the 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Issuer Free Writing Prospectuses Not Included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 dated March 26, 2026, relating to the launch press release, filed pursuant to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 to be dated March 26, 2026, relating to the pricing press release, filed pursuant to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Written Communications and Marketing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3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Equity Underwriters named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to the Equity Underwriting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referred to below 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Debt Underwriters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A to the Debt Underwriting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referred to below</w:t>
      </w:r>
    </w:p>
    <w:p>
      <w:pPr>
        <w:pStyle w:val="TextBody"/>
        <w:bidi w:val="0"/>
        <w:spacing w:before="0" w:after="0"/>
        <w:ind w:left="0" w:right="0" w:hanging="0"/>
        <w:jc w:val="left"/>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290"/>
        <w:gridCol w:w="2465"/>
        <w:gridCol w:w="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c>
          <w:tcPr>
            <w:tcW w:w="8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8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tc>
        <w:tc>
          <w:tcPr>
            <w:tcW w:w="8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tc>
        <w:tc>
          <w:tcPr>
            <w:tcW w:w="800" w:type="dxa"/>
            <w:tcBorders/>
            <w:vAlign w:val="center"/>
          </w:tcPr>
          <w:p>
            <w:pPr>
              <w:pStyle w:val="TableContents"/>
              <w:bidi w:val="0"/>
              <w:spacing w:before="0" w:after="283"/>
              <w:ind w:left="0" w:right="0" w:firstLine="720"/>
              <w:jc w:val="left"/>
              <w:rPr/>
            </w:pPr>
            <w:r>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c>
          <w:tcPr>
            <w:tcW w:w="8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Evercore Group L.L.C. (“</w:t>
      </w:r>
      <w:r>
        <w:rPr>
          <w:rFonts w:ascii="Times New Roman;Times;Serif" w:hAnsi="Times New Roman;Times;Serif"/>
          <w:b/>
          <w:i w:val="false"/>
          <w:caps w:val="false"/>
          <w:smallCaps w:val="false"/>
          <w:sz w:val="20"/>
        </w:rPr>
        <w:t>Evercore</w:t>
      </w:r>
      <w:r>
        <w:rPr>
          <w:rFonts w:ascii="Times New Roman;Times;Serif" w:hAnsi="Times New Roman;Times;Serif"/>
          <w:b w:val="false"/>
          <w:i w:val="false"/>
          <w:caps w:val="false"/>
          <w:smallCaps w:val="false"/>
          <w:sz w:val="20"/>
        </w:rPr>
        <w:t>”), Citigroup Global Markets Inc. (“</w:t>
      </w:r>
      <w:r>
        <w:rPr>
          <w:rFonts w:ascii="Times New Roman;Times;Serif" w:hAnsi="Times New Roman;Times;Serif"/>
          <w:b/>
          <w:i w:val="false"/>
          <w:caps w:val="false"/>
          <w:smallCaps w:val="false"/>
          <w:sz w:val="20"/>
        </w:rPr>
        <w:t>Citi</w:t>
      </w:r>
      <w:r>
        <w:rPr>
          <w:rFonts w:ascii="Times New Roman;Times;Serif" w:hAnsi="Times New Roman;Times;Serif"/>
          <w:b w:val="false"/>
          <w:i w:val="false"/>
          <w:caps w:val="false"/>
          <w:smallCaps w:val="false"/>
          <w:sz w:val="20"/>
        </w:rPr>
        <w:t>”) and Guggenheim Securities, LLC (“</w:t>
      </w:r>
      <w:r>
        <w:rPr>
          <w:rFonts w:ascii="Times New Roman;Times;Serif" w:hAnsi="Times New Roman;Times;Serif"/>
          <w:b/>
          <w:i w:val="false"/>
          <w:caps w:val="false"/>
          <w:smallCaps w:val="false"/>
          <w:sz w:val="20"/>
        </w:rPr>
        <w:t>Guggenheim Securities</w:t>
      </w:r>
      <w:r>
        <w:rPr>
          <w:rFonts w:ascii="Times New Roman;Times;Serif" w:hAnsi="Times New Roman;Times;Serif"/>
          <w:b w:val="false"/>
          <w:i w:val="false"/>
          <w:caps w:val="false"/>
          <w:smallCaps w:val="false"/>
          <w:sz w:val="20"/>
        </w:rPr>
        <w:t>” and together with Jefferies, Evercore and Citi,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as representatives of the several underwriters named in Schedule A to such agreement (collectively, the “</w:t>
      </w:r>
      <w:r>
        <w:rPr>
          <w:rFonts w:ascii="Times New Roman;Times;Serif" w:hAnsi="Times New Roman;Times;Serif"/>
          <w:b/>
          <w:i w:val="false"/>
          <w:caps w:val="false"/>
          <w:smallCaps w:val="false"/>
          <w:sz w:val="20"/>
        </w:rPr>
        <w:t>Equity Underwriters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i w:val="false"/>
          <w:caps w:val="false"/>
          <w:smallCaps w:val="false"/>
          <w:sz w:val="20"/>
        </w:rPr>
        <w:t>Equity Underwriting Agreement</w:t>
      </w:r>
      <w:r>
        <w:rPr>
          <w:rFonts w:ascii="Times New Roman;Times;Serif" w:hAnsi="Times New Roman;Times;Serif"/>
          <w:b w:val="false"/>
          <w:i w:val="false"/>
          <w:caps w:val="false"/>
          <w:smallCaps w:val="false"/>
          <w:sz w:val="20"/>
        </w:rPr>
        <w:t>”) with Zenas BioPharma,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providing for the public offering (the “</w:t>
      </w:r>
      <w:r>
        <w:rPr>
          <w:rFonts w:ascii="Times New Roman;Times;Serif" w:hAnsi="Times New Roman;Times;Serif"/>
          <w:b/>
          <w:i w:val="false"/>
          <w:caps w:val="false"/>
          <w:smallCaps w:val="false"/>
          <w:sz w:val="20"/>
        </w:rPr>
        <w:t>Equity Offering</w:t>
      </w:r>
      <w:r>
        <w:rPr>
          <w:rFonts w:ascii="Times New Roman;Times;Serif" w:hAnsi="Times New Roman;Times;Serif"/>
          <w:b w:val="false"/>
          <w:i w:val="false"/>
          <w:caps w:val="false"/>
          <w:smallCaps w:val="false"/>
          <w:sz w:val="20"/>
        </w:rPr>
        <w:t>”) by the several Equity Underwriters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common stock,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Jefferies, Evercore, Citi and Guggenheim Securities, as representatives of the several underwriters named in Schedule A to such agreement (collectively, the “</w:t>
      </w:r>
      <w:r>
        <w:rPr>
          <w:rFonts w:ascii="Times New Roman;Times;Serif" w:hAnsi="Times New Roman;Times;Serif"/>
          <w:b/>
          <w:i w:val="false"/>
          <w:caps w:val="false"/>
          <w:smallCaps w:val="false"/>
          <w:sz w:val="20"/>
        </w:rPr>
        <w:t>Debt Underwriters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i w:val="false"/>
          <w:caps w:val="false"/>
          <w:smallCaps w:val="false"/>
          <w:sz w:val="20"/>
        </w:rPr>
        <w:t>Debt Underwriting Agreement</w:t>
      </w:r>
      <w:r>
        <w:rPr>
          <w:rFonts w:ascii="Times New Roman;Times;Serif" w:hAnsi="Times New Roman;Times;Serif"/>
          <w:b w:val="false"/>
          <w:i w:val="false"/>
          <w:caps w:val="false"/>
          <w:smallCaps w:val="false"/>
          <w:sz w:val="20"/>
        </w:rPr>
        <w:t>” and together with the Equity Underwriting Agreement, the “</w:t>
      </w:r>
      <w:r>
        <w:rPr>
          <w:rFonts w:ascii="Times New Roman;Times;Serif" w:hAnsi="Times New Roman;Times;Serif"/>
          <w:b/>
          <w:i w:val="false"/>
          <w:caps w:val="false"/>
          <w:smallCaps w:val="false"/>
          <w:sz w:val="20"/>
        </w:rPr>
        <w:t>Underwriting Agreements</w:t>
      </w:r>
      <w:r>
        <w:rPr>
          <w:rFonts w:ascii="Times New Roman;Times;Serif" w:hAnsi="Times New Roman;Times;Serif"/>
          <w:b w:val="false"/>
          <w:i w:val="false"/>
          <w:caps w:val="false"/>
          <w:smallCaps w:val="false"/>
          <w:sz w:val="20"/>
        </w:rPr>
        <w:t>”) with the Company providing for the public offering (the “</w:t>
      </w:r>
      <w:r>
        <w:rPr>
          <w:rFonts w:ascii="Times New Roman;Times;Serif" w:hAnsi="Times New Roman;Times;Serif"/>
          <w:b/>
          <w:i w:val="false"/>
          <w:caps w:val="false"/>
          <w:smallCaps w:val="false"/>
          <w:sz w:val="20"/>
        </w:rPr>
        <w:t>Debt Offering</w:t>
      </w:r>
      <w:r>
        <w:rPr>
          <w:rFonts w:ascii="Times New Roman;Times;Serif" w:hAnsi="Times New Roman;Times;Serif"/>
          <w:b w:val="false"/>
          <w:i w:val="false"/>
          <w:caps w:val="false"/>
          <w:smallCaps w:val="false"/>
          <w:sz w:val="20"/>
        </w:rPr>
        <w:t>” and together with the Equity Offering, the “</w:t>
      </w:r>
      <w:r>
        <w:rPr>
          <w:rFonts w:ascii="Times New Roman;Times;Serif" w:hAnsi="Times New Roman;Times;Serif"/>
          <w:b/>
          <w:i w:val="false"/>
          <w:caps w:val="false"/>
          <w:smallCaps w:val="false"/>
          <w:sz w:val="20"/>
        </w:rPr>
        <w:t>Offerings</w:t>
      </w:r>
      <w:r>
        <w:rPr>
          <w:rFonts w:ascii="Times New Roman;Times;Serif" w:hAnsi="Times New Roman;Times;Serif"/>
          <w:b w:val="false"/>
          <w:i w:val="false"/>
          <w:caps w:val="false"/>
          <w:smallCaps w:val="false"/>
          <w:sz w:val="20"/>
        </w:rPr>
        <w:t>”) by the several Debt Underwriters of convertible senior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together with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Notes will be convertible into Shares. In the event that the Company and the Representatives determine to only commence the Equity Offering, then references herein to the term “Offerings” and “Securities” shall mean the “Equity Offering” and “Shares”, respectively, while if such parties determine to only commence the Debt Offering, then references herein to the term “Offerings” and “Securities” shall mean the “Debt Offering” and “Notes”,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Equity Underwriters and the Debt Underwriters that may participate in the Offerings to continue their efforts in connection with the Offerings, the undersigned hereby agrees that, without the prior written consent of Jefferies on behalf of the Equity Underwriters and the Debt Underwriters, it will not, and will not publicly disclose an intention to, during the period commencing on the date hereof and ending 60 days after the date of the final prospectus supplements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relating to the Offerings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paragraph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undersigned is not an officer or director of the Company, in transactions relating to shares of Common Stock or other securities acquired in the Offerings or in open market transactions after the pricing of the Offerings;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filing under Section 16(a) of the Exchange Act or other public announcement shall be required or shall be voluntarily made in connection with subsequent sales of Common Stock or other securities acquired in the Offerings or in such open market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transfers of shares of Common Stock or any other securities (i) as a bona fide gift or for bona fide estate planning purposes, (ii) to an immediate family member (as defined below) or to any trust for the direct or indirect benefit of the undersigned or an immediate family member of the undersigned, (iii) to any corporation, partnership, limited liability company, investment fund, trust or other entity of which the undersigned and the immediate family of the undersigned are the legal and beneficial owner of all of the outstanding equity securities or similar interests, or (iv) by will, other testamentary document or intestate succession to the legal representative, heir, beneficiary or an immediate family member of the undersigned;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transfer or distribution pursuant to this clause (b), (A) each donee, distributee or transferee shall sign and deliver a lock-up agreement substantially in the form of this agreement, (B) no filing under Section 16(a) of the Exchange Act or other public announcement, reporting a reduction in beneficial ownership of shares of Common Stock, shall be voluntarily made during the Restricted Period, (C) other than in the case of preceding clauses (i) and (iv), no filing under Section 16(a) of the Exchange Act or other public announcement, reporting a reduction in beneficial ownership of shares of Common Stock, shall be required during the Restricted Period (other than a required filing on Schedule 13D, 13F or 13G) and, to the extent a filing under Section 16(a) of the Exchange Act is required during the Restricted Period as a result of transfers pursuant to clauses (i) and (iv) of this paragraph, such filing shall clearly indicate in the footnotes thereto that the filing relates to the circumstances described in clause (i) or clause (iv) hereof, respectively, and (D) such transfer shall not involve a disposition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transfers of shares of Common Stock or any other securities to a charitable organization or educational institution in a transaction not involving a disposition for value;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transfer or distribution pursuant to this clause (c), (A) each transferee shall sign and deliver a lock-up agreement substantially in the form of this agreement and (B) no filing under Section 16(a) of the Exchange Act or other public announcement, reporting a reduction in beneficial ownership of shares of Common Stock, shall be voluntarily made during the Restricted Period and, to the extent a Form 4 or Form 5 filing under Section 16(a) of the Exchange Act is required during the Restricted Period as a result of transfers made pursuant to this clause (c), such filing shall clearly indicate in the footnotes thereto that the filing relates to the circumstances described in this clause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undersigned is a corporation, partnership, limited liability company, trust or other business entity, (i) transfers or distributions of shares of Common Stock or any other securities to current or former general or limited partners, managers or members, stockholders, other equityholders or direct or indirect affiliates (within the meaning of Rule 405 under the Securities Act of 1933, as amended) of the undersigned, or to the estates of any of the foregoing or (ii) transfers or distributions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transfer or distribution pursuant to this clause (d), (A) each distributee or transferee shall sign and deliver a lock-up agreement substantially in the form of this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transfer of shares of Common Stock or any other securities to the Company to satisfy any tax, including estimated tax, remittance, or other payment obligations of the undersigned arising in connection with a vesting event of the Company’s securities, upon the settlement of restricted stock units or the payment due for the exercise of options (including a transfer to the Company for the “net” or “cashless” exercise of options) or other rights to purchase securities of the Company, in all such cases pursuant to equity awards granted under a stock incentive plan or other equity award plan of the Company described in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remaining shares of Common Stock or securities convertible into Common Stock received upon such vesting, settlement or exercise shall be subject to the terms of this agreement;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clause (e), such filing shall clearly indicate in the footnotes thereto that the filing relates to the circumstances described in this clause (e), including that (i) the securities remain subject to the terms of this agreement and (ii) that no securities were sold by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establishment or amendment of a trading plan pursuant to Rule 10b5-1 under the Exchange Act for the transfer of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plan does not provide for the transfer of Common Stock during the Restricted Period, and (ii) to the extent a filing under Section 16(a) of the Exchange Act or other public announcement is required or voluntarily made during the Restricted Period by or on behalf of the undersigned or the Company regarding the establishment of such plan, such announcement or filing shall include a statement to the effect that no transfer of Common Stock may be made under such plan during the Restricted Period and any such filing under Section 16(a) of the Exchange Act shall clearly indicate in the footnotes thereto that the filing relates to the circumstances described in this clause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transfer of shares of Common Stock or any other securities that occurs by operation of law pursuant to a qualified domestic order or in connection with a divorce settlement or other court order;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transferee shall sign and deliver a lock-up agreement substantially in the form of this agreement, and (ii) and, to the extent a filing under Section 16(a) of the Exchange Act is required during the Restricted Period as a result of transfers made pursuant to this clause (g), such filing shall clearly indicate in the footnotes thereto that the filing relates to the circumstances described in this clause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transfers to the Company in connection with the repurchase of Common Stock in connection with the termination of the undersigned’s employment with the Company pursuant to contractual agreements with the Company as in effect as of the date of the Prospectus and described in the Prospectus;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clause (h), such filing shall clearly indicate in the footnotes thereto that the filing relates to the circumstances described in this clause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transfer of shares of Common Stock or any other securities pursuant to a bona fide third- party tender offer, merger, consolidation or other similar transaction that is approved by the Board of Directors of the Company, made to all holders of Common Stock involving a change of control (as defined below);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event that the change of control is not completed, the Common Stock or any other securities owned by the undersigned shall remain subject to the restrictions contained in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transfers with the prior written consent of Jefferies.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(i) “immediate family member” means the spouse, domestic partner, lineal descendant, father, mother, brother, sister, or any other person with whom the undersigned has a relationship by blood, marriage or adoption not more remote than first cousin and (ii) “change of control” shall mean the transfer (whether by tender offer, merger, consolidation or other similar transaction), in one transaction or a series of related transactions, to a person or group of affiliated persons (other than an Equity Underwriter and Debt Underwriter, as applicable, pursuant to the Offerings), of the Company’s voting securities if, after such transfer, such person or group of affiliated persons would hold more than 50% of the number of outstanding voting securities of the Company (or the surviving entity) and 50% of the voting control of the outstanding voting securities of the Company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undersigned agrees that, without the prior written consent of Jefferies on behalf of the Equity Underwriters and the Debt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or any security convertible into or exercisable or exchangeable for Common Stock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Equity Underwriters and the Debt Underwriters are relying upon this agreement in proceeding toward consummation of the Offerings. The undersigned further understands that this agreement is irrevocable and shall be binding upon the undersigned’s heirs, legal representatives,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Equity Underwriters and the Debt Underwriters have not provided any recommendation or investment advice nor have the Equity Underwriters and the Debt Underwriters solicited any action from the undersigned with respect to the Offerings of the Securities and the undersigned has consulted their own legal, accounting, financial, regulatory and tax advisors to the extent deemed appropriate. The undersigned further acknowledges and agrees that, although the Equity Underwriters and the Debt Underwriters may provide certain Regulation Best Interest and Form CRS disclosures or other related documentation to you in connection with the Offerings, the Equity Underwriters and the Debt Underwriters are not making a recommendation to you to participate in the Offerings or sell any Securities at the price determined in the Offerings, and nothing set forth in such disclosures or documentation is intended to suggest that any Equity Underwriter or Debt Underwriter is making such a recommendation. The undersigned further acknowledges and agrees that none of the Equity Underwriters and the Debt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Offerings actually occur depends on a number of factors, including market conditions. The Offerings will only be made pursuant to the Underwriting Agreements, the terms of which are subject to negotiation between the Company and the Equity Underwriters and the Debt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automatically terminate and the undersigned will be released from all obligations hereunder upon the earliest to occur, if any, of (a) the Company, on the one hand, or Jefferies, on the other hand, advising the other in writing that such party or parties have determined not to proceed with the Offerings prior to the execution of the Underwriting Agreements, (b) the date the registration statement on Form S-3 is withdrawn, (c) the date the Underwriting Agreements are terminated (other than the provisions thereof that survive termination pursuant to the terms thereof), if prior to the closing of the Offerings, and (d) April 30, 2026, if the Underwriting Agreements have not been executed by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7749" w:type="dxa"/>
        <w:jc w:val="left"/>
        <w:tblInd w:w="0" w:type="dxa"/>
        <w:tblLayout w:type="fixed"/>
        <w:tblCellMar>
          <w:top w:w="0" w:type="dxa"/>
          <w:left w:w="0" w:type="dxa"/>
          <w:bottom w:w="0" w:type="dxa"/>
          <w:right w:w="0" w:type="dxa"/>
        </w:tblCellMar>
      </w:tblPr>
      <w:tblGrid>
        <w:gridCol w:w="80"/>
        <w:gridCol w:w="1953"/>
        <w:gridCol w:w="5716"/>
      </w:tblGrid>
      <w:tr>
        <w:trPr/>
        <w:tc>
          <w:tcPr>
            <w:tcW w:w="80" w:type="dxa"/>
            <w:tcBorders/>
            <w:vAlign w:val="center"/>
          </w:tcPr>
          <w:p>
            <w:pPr>
              <w:pStyle w:val="TableContents"/>
              <w:bidi w:val="0"/>
              <w:spacing w:before="0" w:after="283"/>
              <w:jc w:val="left"/>
              <w:rPr/>
            </w:pPr>
            <w:r>
              <w:rPr/>
              <w:t> </w:t>
            </w:r>
          </w:p>
        </w:tc>
        <w:tc>
          <w:tcPr>
            <w:tcW w:w="766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Securityholder (</w:t>
            </w:r>
            <w:r>
              <w:rPr>
                <w:rFonts w:ascii="Times New Roman;Times;Serif" w:hAnsi="Times New Roman;Times;Serif"/>
                <w:b w:val="false"/>
                <w:i/>
                <w:caps w:val="false"/>
                <w:smallCaps w:val="false"/>
                <w:sz w:val="20"/>
              </w:rPr>
              <w:t>Print exact name</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1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1953" w:type="dxa"/>
            <w:tcBorders/>
            <w:vAlign w:val="center"/>
          </w:tcPr>
          <w:p>
            <w:pPr>
              <w:pStyle w:val="TableContents"/>
              <w:bidi w:val="0"/>
              <w:spacing w:before="0" w:after="283"/>
              <w:jc w:val="left"/>
              <w:rPr>
                <w:caps w:val="false"/>
                <w:smallCaps w:val="false"/>
              </w:rPr>
            </w:pPr>
            <w:r>
              <w:rPr>
                <w:caps w:val="false"/>
                <w:smallCaps w:val="false"/>
              </w:rPr>
              <w:t> </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signing in an individual capacity:</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r>
              <w:rPr>
                <w:rFonts w:ascii="Times New Roman;Times;Serif" w:hAnsi="Times New Roman;Times;Serif"/>
                <w:b w:val="false"/>
                <w:i/>
                <w:caps w:val="false"/>
                <w:smallCaps w:val="false"/>
                <w:sz w:val="20"/>
              </w:rPr>
              <w:t>Print</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r>
              <w:rPr>
                <w:rFonts w:ascii="Times New Roman;Times;Serif" w:hAnsi="Times New Roman;Times;Serif"/>
                <w:b w:val="false"/>
                <w:i/>
                <w:caps w:val="false"/>
                <w:smallCaps w:val="false"/>
                <w:sz w:val="20"/>
              </w:rPr>
              <w:t>Print</w:t>
            </w:r>
            <w:r>
              <w:rPr>
                <w:rFonts w:ascii="Times New Roman;Times;Serif" w:hAnsi="Times New Roman;Times;Serif"/>
                <w:b w:val="false"/>
                <w:i w:val="false"/>
                <w:caps w:val="false"/>
                <w:smallCaps w:val="false"/>
                <w:sz w:val="20"/>
              </w:rPr>
              <w:t>)</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(indicate capacity of person signing if signing as custodian, trustee, or on behalf of an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Executive Officers and Others Signing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Non-Employee Directors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857"/>
        <w:gridCol w:w="9088"/>
      </w:tblGrid>
      <w:tr>
        <w:trPr/>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rFonts w:ascii="Symbol" w:hAnsi="Symbol"/>
              </w:rPr>
            </w:pPr>
            <w:r>
              <w:rPr>
                <w:rFonts w:ascii="Symbol" w:hAnsi="Symbol"/>
              </w:rPr>
              <w:t>·</w:t>
            </w:r>
          </w:p>
        </w:tc>
        <w:tc>
          <w:tcPr>
            <w:tcW w:w="90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Patricia Allen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840"/>
        <w:gridCol w:w="9110"/>
      </w:tblGrid>
      <w:tr>
        <w:trPr/>
        <w:tc>
          <w:tcPr>
            <w:tcW w:w="2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rFonts w:ascii="Symbol" w:hAnsi="Symbol"/>
              </w:rPr>
            </w:pPr>
            <w:r>
              <w:rPr>
                <w:rFonts w:ascii="Symbol" w:hAnsi="Symbol"/>
              </w:rPr>
              <w:t>·</w:t>
            </w:r>
          </w:p>
        </w:tc>
        <w:tc>
          <w:tcPr>
            <w:tcW w:w="9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Boylan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786"/>
        <w:gridCol w:w="9181"/>
      </w:tblGrid>
      <w:tr>
        <w:trPr/>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rFonts w:ascii="Symbol" w:hAnsi="Symbol"/>
              </w:rPr>
            </w:pPr>
            <w:r>
              <w:rPr>
                <w:rFonts w:ascii="Symbol" w:hAnsi="Symbol"/>
              </w:rPr>
              <w:t>·</w:t>
            </w:r>
          </w:p>
        </w:tc>
        <w:tc>
          <w:tcPr>
            <w:tcW w:w="9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Patrick Enright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786"/>
        <w:gridCol w:w="9181"/>
      </w:tblGrid>
      <w:tr>
        <w:trPr/>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rFonts w:ascii="Symbol" w:hAnsi="Symbol"/>
              </w:rPr>
            </w:pPr>
            <w:r>
              <w:rPr>
                <w:rFonts w:ascii="Symbol" w:hAnsi="Symbol"/>
              </w:rPr>
              <w:t>·</w:t>
            </w:r>
          </w:p>
        </w:tc>
        <w:tc>
          <w:tcPr>
            <w:tcW w:w="9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Tomas Kiselak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643"/>
        <w:gridCol w:w="9367"/>
      </w:tblGrid>
      <w:tr>
        <w:trPr/>
        <w:tc>
          <w:tcPr>
            <w:tcW w:w="19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rFonts w:ascii="Symbol" w:hAnsi="Symbol"/>
              </w:rPr>
            </w:pPr>
            <w:r>
              <w:rPr>
                <w:rFonts w:ascii="Symbol" w:hAnsi="Symbol"/>
              </w:rPr>
              <w:t>·</w:t>
            </w:r>
          </w:p>
        </w:tc>
        <w:tc>
          <w:tcPr>
            <w:tcW w:w="93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Hongbo Lu, Ph.D.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047"/>
        <w:gridCol w:w="8840"/>
      </w:tblGrid>
      <w:tr>
        <w:trPr/>
        <w:tc>
          <w:tcPr>
            <w:tcW w:w="31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rFonts w:ascii="Symbol" w:hAnsi="Symbol"/>
              </w:rPr>
            </w:pPr>
            <w:r>
              <w:rPr>
                <w:rFonts w:ascii="Symbol" w:hAnsi="Symbol"/>
              </w:rPr>
              <w:t>·</w:t>
            </w:r>
          </w:p>
        </w:tc>
        <w:tc>
          <w:tcPr>
            <w:tcW w:w="8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Jake Nunn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663"/>
        <w:gridCol w:w="9341"/>
      </w:tblGrid>
      <w:tr>
        <w:trPr/>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rFonts w:ascii="Symbol" w:hAnsi="Symbol"/>
              </w:rPr>
            </w:pPr>
            <w:r>
              <w:rPr>
                <w:rFonts w:ascii="Symbol" w:hAnsi="Symbol"/>
              </w:rPr>
              <w:t>·</w:t>
            </w:r>
          </w:p>
        </w:tc>
        <w:tc>
          <w:tcPr>
            <w:tcW w:w="9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Orloff, M.D.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Officers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586"/>
        <w:gridCol w:w="9442"/>
      </w:tblGrid>
      <w:tr>
        <w:trPr/>
        <w:tc>
          <w:tcPr>
            <w:tcW w:w="17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Symbol" w:hAnsi="Symbol"/>
              </w:rPr>
            </w:pPr>
            <w:r>
              <w:rPr>
                <w:rFonts w:ascii="Symbol" w:hAnsi="Symbol"/>
              </w:rPr>
              <w:t>·</w:t>
            </w:r>
          </w:p>
        </w:tc>
        <w:tc>
          <w:tcPr>
            <w:tcW w:w="94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Leon O. Moulder, Jr.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690"/>
        <w:gridCol w:w="9306"/>
      </w:tblGrid>
      <w:tr>
        <w:trPr/>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rFonts w:ascii="Symbol" w:hAnsi="Symbol"/>
              </w:rPr>
            </w:pPr>
            <w:r>
              <w:rPr>
                <w:rFonts w:ascii="Symbol" w:hAnsi="Symbol"/>
              </w:rPr>
              <w:t>·</w:t>
            </w:r>
          </w:p>
        </w:tc>
        <w:tc>
          <w:tcPr>
            <w:tcW w:w="93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L. Farmer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922"/>
        <w:gridCol w:w="9003"/>
      </w:tblGrid>
      <w:tr>
        <w:trPr/>
        <w:tc>
          <w:tcPr>
            <w:tcW w:w="28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rFonts w:ascii="Symbol" w:hAnsi="Symbol"/>
              </w:rPr>
            </w:pPr>
            <w:r>
              <w:rPr>
                <w:rFonts w:ascii="Symbol" w:hAnsi="Symbol"/>
              </w:rPr>
              <w:t>·</w:t>
            </w:r>
          </w:p>
        </w:tc>
        <w:tc>
          <w:tcPr>
            <w:tcW w:w="90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Jennifer Fox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534"/>
        <w:gridCol w:w="9509"/>
      </w:tblGrid>
      <w:tr>
        <w:trPr/>
        <w:tc>
          <w:tcPr>
            <w:tcW w:w="16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rFonts w:ascii="Symbol" w:hAnsi="Symbol"/>
              </w:rPr>
            </w:pPr>
            <w:r>
              <w:rPr>
                <w:rFonts w:ascii="Symbol" w:hAnsi="Symbol"/>
              </w:rPr>
              <w:t>·</w:t>
            </w:r>
          </w:p>
        </w:tc>
        <w:tc>
          <w:tcPr>
            <w:tcW w:w="9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Lisa von Moltke, M.D.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Affiliated Funds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485"/>
        <w:gridCol w:w="9573"/>
      </w:tblGrid>
      <w:tr>
        <w:trPr/>
        <w:tc>
          <w:tcPr>
            <w:tcW w:w="1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Symbol" w:hAnsi="Symbol"/>
              </w:rPr>
            </w:pPr>
            <w:r>
              <w:rPr>
                <w:rFonts w:ascii="Symbol" w:hAnsi="Symbol"/>
              </w:rPr>
              <w:t>·</w:t>
            </w:r>
          </w:p>
        </w:tc>
        <w:tc>
          <w:tcPr>
            <w:tcW w:w="95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Tellus BioVentures,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563"/>
        <w:gridCol w:w="9472"/>
      </w:tblGrid>
      <w:tr>
        <w:trPr/>
        <w:tc>
          <w:tcPr>
            <w:tcW w:w="17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rFonts w:ascii="Symbol" w:hAnsi="Symbol"/>
              </w:rPr>
            </w:pPr>
            <w:r>
              <w:rPr>
                <w:rFonts w:ascii="Symbol" w:hAnsi="Symbol"/>
              </w:rPr>
              <w:t>·</w:t>
            </w:r>
          </w:p>
        </w:tc>
        <w:tc>
          <w:tcPr>
            <w:tcW w:w="94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Enavate Sciences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51"/>
        <w:gridCol w:w="9748"/>
      </w:tblGrid>
      <w:tr>
        <w:trPr/>
        <w:tc>
          <w:tcPr>
            <w:tcW w:w="10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rFonts w:ascii="Symbol" w:hAnsi="Symbol"/>
              </w:rPr>
            </w:pPr>
            <w:r>
              <w:rPr>
                <w:rFonts w:ascii="Symbol" w:hAnsi="Symbol"/>
              </w:rPr>
              <w:t>·</w:t>
            </w:r>
          </w:p>
        </w:tc>
        <w:tc>
          <w:tcPr>
            <w:tcW w:w="97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Fairmount Funds Management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5"/>
        <w:gridCol w:w="9808"/>
      </w:tblGrid>
      <w:tr>
        <w:trPr/>
        <w:tc>
          <w:tcPr>
            <w:tcW w:w="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Symbol" w:hAnsi="Symbol"/>
              </w:rPr>
            </w:pPr>
            <w:r>
              <w:rPr>
                <w:rFonts w:ascii="Symbol" w:hAnsi="Symbol"/>
              </w:rPr>
              <w:t>·</w:t>
            </w:r>
          </w:p>
        </w:tc>
        <w:tc>
          <w:tcPr>
            <w:tcW w:w="98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Longitude Capital Management Co., 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376"/>
        <w:gridCol w:w="9715"/>
      </w:tblGrid>
      <w:tr>
        <w:trPr/>
        <w:tc>
          <w:tcPr>
            <w:tcW w:w="1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Symbol" w:hAnsi="Symbol"/>
              </w:rPr>
            </w:pPr>
            <w:r>
              <w:rPr>
                <w:rFonts w:ascii="Symbol" w:hAnsi="Symbol"/>
              </w:rPr>
              <w:t>·</w:t>
            </w:r>
          </w:p>
        </w:tc>
        <w:tc>
          <w:tcPr>
            <w:tcW w:w="9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SR One Capital Management, LP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658"/>
        <w:gridCol w:w="9347"/>
      </w:tblGrid>
      <w:tr>
        <w:trPr/>
        <w:tc>
          <w:tcPr>
            <w:tcW w:w="20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rFonts w:ascii="Symbol" w:hAnsi="Symbol"/>
              </w:rPr>
            </w:pPr>
            <w:r>
              <w:rPr>
                <w:rFonts w:ascii="Symbol" w:hAnsi="Symbol"/>
              </w:rPr>
              <w:t>·</w:t>
            </w:r>
          </w:p>
        </w:tc>
        <w:tc>
          <w:tcPr>
            <w:tcW w:w="93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NEXTBio Capital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sz w:val="20"/>
          <w:bdr w:val="single" w:sz="8" w:space="1" w:color="000000"/>
        </w:rPr>
      </w:pPr>
      <w:r>
        <w:rPr>
          <w:sz w:val="20"/>
          <w:bdr w:val="single" w:sz="8" w:space="1" w:color="000000"/>
        </w:rPr>
        <w:t>D-1</w:t>
      </w:r>
    </w:p>
    <w:p>
      <w:pPr>
        <w:pStyle w:val="TextBody"/>
        <w:bidi w:val="0"/>
        <w:ind w:left="720" w:right="0" w:hanging="360"/>
        <w:jc w:val="left"/>
        <w:rPr/>
      </w:pPr>
      <w:bookmarkStart w:id="26" w:name="tm2610711d1_ex1-2.htm"/>
      <w:bookmarkStart w:id="27" w:name="kstm2610711d1_ex12"/>
      <w:bookmarkEnd w:id="26"/>
      <w:bookmarkEnd w:id="27"/>
      <w:r>
        <w:rPr/>
        <w:t> </w:t>
      </w:r>
      <w:r>
        <w:br w:type="page"/>
      </w:r>
    </w:p>
    <w:p>
      <w:pPr>
        <w:pStyle w:val="TextBody"/>
        <w:bidi w:val="0"/>
        <w:jc w:val="right"/>
        <w:rPr>
          <w:b/>
          <w:sz w:val="20"/>
        </w:rPr>
      </w:pPr>
      <w:r>
        <w:rPr>
          <w:b/>
          <w:sz w:val="20"/>
        </w:rPr>
        <w:t>Exhibit 1.2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br/>
        <w:t>Zenas biopharma, Inc.</w:t>
      </w:r>
      <w:r>
        <w:rPr>
          <w:rFonts w:ascii="Times New Roman;Times;Serif" w:hAnsi="Times New Roman;Times;Serif"/>
          <w:b/>
          <w:i w:val="false"/>
          <w:caps w:val="false"/>
          <w:smallCaps w:val="false"/>
          <w:sz w:val="20"/>
        </w:rPr>
        <w:br/>
        <w:t>COMMON STOCK, PAR VALUE $0.0001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to issue and sell to the several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for whom Jefferies LLC, Evercore Group L.L.C., Citigroup Global Markets Inc. and Guggenheim Securities, LLC are acting as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5,000,000 shares of its common stock, par value $0.0001 per share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The Company also proposes to issue and sell to the several Underwriters not more than an additional 750,000 shares of its common stock, par value $0.0001 per share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shares of common stock, par value $0.0001 per share, of the Company to be outstanding after giving effect to the sales contemplated hereby are hereinafter referred to as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concurrently with the offering of the Shares, the Company will, among other things, issue and sell up to $230,000,000 aggregate principal amount of its 2.50% Convertible Senior Notes due 2032 (the “</w:t>
      </w:r>
      <w:r>
        <w:rPr>
          <w:rFonts w:ascii="Times New Roman;Times;Serif" w:hAnsi="Times New Roman;Times;Serif"/>
          <w:b/>
          <w:i w:val="false"/>
          <w:caps w:val="false"/>
          <w:smallCaps w:val="false"/>
          <w:sz w:val="20"/>
        </w:rPr>
        <w:t>Convertible Notes”</w:t>
      </w:r>
      <w:r>
        <w:rPr>
          <w:rFonts w:ascii="Times New Roman;Times;Serif" w:hAnsi="Times New Roman;Times;Serif"/>
          <w:b w:val="false"/>
          <w:i w:val="false"/>
          <w:caps w:val="false"/>
          <w:smallCaps w:val="false"/>
          <w:sz w:val="20"/>
        </w:rPr>
        <w:t>), pursuant to a separate underwriting agreement and separate prospectus supplement, subject to customary closing conditions (such offering, the “</w:t>
      </w:r>
      <w:r>
        <w:rPr>
          <w:rFonts w:ascii="Times New Roman;Times;Serif" w:hAnsi="Times New Roman;Times;Serif"/>
          <w:b/>
          <w:i w:val="false"/>
          <w:caps w:val="false"/>
          <w:smallCaps w:val="false"/>
          <w:sz w:val="20"/>
        </w:rPr>
        <w:t>Concurrent Offering</w:t>
      </w:r>
      <w:r>
        <w:rPr>
          <w:rFonts w:ascii="Times New Roman;Times;Serif" w:hAnsi="Times New Roman;Times;Serif"/>
          <w:b w:val="false"/>
          <w:i w:val="false"/>
          <w:caps w:val="false"/>
          <w:smallCaps w:val="false"/>
          <w:sz w:val="20"/>
        </w:rPr>
        <w:t>”). The offering of the Shares is not contingent upon the completion of the Concurrent Offering, the Concurrent Offering is not contingent upon the completion of the offering of the Shares, and the Shares are not being offered together with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S-3 (File No. 333-290777), including a preliminary prospectus, relating to the securities (the “</w:t>
      </w:r>
      <w:r>
        <w:rPr>
          <w:rFonts w:ascii="Times New Roman;Times;Serif" w:hAnsi="Times New Roman;Times;Serif"/>
          <w:b/>
          <w:i w:val="false"/>
          <w:caps w:val="false"/>
          <w:smallCaps w:val="false"/>
          <w:sz w:val="20"/>
        </w:rPr>
        <w:t>Shelf Securities</w:t>
      </w:r>
      <w:r>
        <w:rPr>
          <w:rFonts w:ascii="Times New Roman;Times;Serif" w:hAnsi="Times New Roman;Times;Serif"/>
          <w:b w:val="false"/>
          <w:i w:val="false"/>
          <w:caps w:val="false"/>
          <w:smallCaps w:val="false"/>
          <w:sz w:val="20"/>
        </w:rPr>
        <w:t>”), including the Shares, to be issued from time to time by the Company. The registration statement as amended at the time it becomes effective, including the information (if any) deemed to be part of the registration statement at the time of effectiveness pursuant to Rule 430B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is hereinafter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related prospectus covering the Shelf Securities dated October 8, 2025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Times;Serif" w:hAnsi="Times New Roman;Times;Serif"/>
          <w:b/>
          <w:i w:val="false"/>
          <w:caps w:val="false"/>
          <w:smallCaps w:val="false"/>
          <w:sz w:val="20"/>
        </w:rPr>
        <w:t>Basic Prospectus</w:t>
      </w:r>
      <w:r>
        <w:rPr>
          <w:rFonts w:ascii="Times New Roman;Times;Serif" w:hAnsi="Times New Roman;Times;Serif"/>
          <w:b w:val="false"/>
          <w:i w:val="false"/>
          <w:caps w:val="false"/>
          <w:smallCaps w:val="false"/>
          <w:sz w:val="20"/>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means any preliminary form of the Prospectus,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means the documents and pricing information set forth below the caption “Time of Sale Prospectus” in Schedule II hereto, and “</w:t>
      </w:r>
      <w:r>
        <w:rPr>
          <w:rFonts w:ascii="Times New Roman;Times;Serif" w:hAnsi="Times New Roman;Times;Serif"/>
          <w:b/>
          <w:i w:val="false"/>
          <w:caps w:val="false"/>
          <w:smallCaps w:val="false"/>
          <w:sz w:val="20"/>
        </w:rPr>
        <w:t>broadly available road show</w:t>
      </w:r>
      <w:r>
        <w:rPr>
          <w:rFonts w:ascii="Times New Roman;Times;Serif" w:hAnsi="Times New Roman;Times;Serif"/>
          <w:b w:val="false"/>
          <w:i w:val="false"/>
          <w:caps w:val="false"/>
          <w:smallCaps w:val="false"/>
          <w:sz w:val="20"/>
        </w:rPr>
        <w:t>” means a “bona fide electronic road show” as defined in Rule 433(h)(5) under the Securities Act that has been made available without restriction to any person. As used herein, the terms “Registration Statement,” “Basic Prospectus,” “preliminary prospectus,” “Time of Sale Prospectus” and “Prospectus” shall include the documents, if any, incorporated by reference therein as of the date hereof. The terms “supplement,” “amendment” and “amend” as used herein with respect to the Registration Statement, the Basic Prospectus, any preliminary prospectus, the Prospectus or the Time of Sale Prospectus shall include all documents subsequently filed by the Company with the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are deemed to be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The Company represents and warrants to and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has become effective; no stop order suspending the effectiveness of the Registration Statement is in effect, and no proceedings for such purpose or pursuant to Section 8A of the Securities Act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document, if any, filed or to be filed pursuant to the Exchange Act and incorporated by reference in the Registration Statement, Time of Sale Prospectus or the Prospectus complied when so filed or will comply when so filed in all material respects with the Exchange Act and the applicable rules and regulations of the Commission thereunder, (ii) each part of the Registration Statement, when such part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in order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and (v) the Prospectus, as of its date, does not contain and, as amended or supplemented, if applicable, as of the date of such amendment or supplement, will not contain any untrue statement of a material fact or omit to state a material fact necessary in order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Representatives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applicable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prior consent of the Representatives,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been duly incorporated, is validly existing as a corporation in good standing under the laws of the State of Delaware, has the corporate power and authority necessary to own or lease its property and to conduct its business as described in each of the Registration Statement, the Time of Sale Prospectus and the Prospectus and is duly qualified to transact business and is in good standing in each jurisdiction (to the extent such concept of good standing is applicable in such jurisdiction) in which the conduct of its business or its ownership or leasing of property requires such qualification, except to the extent that the failure to be so qualified or be in good standing or have such power or authority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subsidiary of the Company has been duly incorporated, organized or formed, as applicable, is validly existing as a corporation or other business entity in good standing (to the extent such concept of good standing is applicable in such jurisdiction) under the laws of the jurisdiction of its incorporation, organization or formation, as applicable, has the corporate or other business entity power and authority, as applicable, to own or lease its property and to conduct its business as described in each of the Registration Statement, the Time of Sale Prospectus and the Prospectus and is duly qualified to transact business and is in good standing (to the extent such concept of good standing is applicable in such jurisdiction) in each jurisdiction in which the conduct of its business or its ownership or leasing of property requires such qualification, except to the extent that the failure to be so qualified or be in good standing or have such power and authority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in such jurisdiction) and are owned directly or indirectly by the Company, free and clear of all liens, encumbrances, equities or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authorized capital stock of the Company conforms in all material respects as to legal matters to the description thereof contained in each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shares of Common Stock outstanding prior to the issuance of the Shares have been duly authorized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With respect to the stock options granted pursuant to the stock-based compensation plans of the Company and its subsidiaries (the “</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(ii) each such grant was made in accordance with the terms of the Company Stock Plans, and all applicable laws and regulatory rules or requirements, including all applicable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where such contravention would not, singly or in the aggregate, reasonably be expected to have a material adverse effect on the Company and its subsidiaries taken as a whole, and no consent, approval, authorization or order of, or qualification with, any governmental body, agency or court having jurisdiction over the Company or any subsidiary is required for the performance by the Company of its obligations under this Agreement, except for the registration of the Shares under the Securities Act and such consents, approvals, authorizations, orders and registrations or qualifications as may be required by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and as may be required by the securities or Blue Sky laws of the various states and foreign securities laws in connection with the purchase and distribution of the Shares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of its subsidiaries is (i) in violation of its respective certificate of incorporation, bylaws or other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binding upon the Company or any of its subsidiaries to the Company and its subsidiaries, taken as a whole; or (iii) in violation of any law or statute or any judgment, order, rule or regulation of any court or arbitrator or governmental or regulatory authority applicable to the Company, any of its subsidiaries or their respective businesses and properties, except, in the case of clauses (ii) and (iii) above, for any such default or violation that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to which the Company is subject or by which the Company is bound that are required to be described in the Registration Statement, the Time of Sale Prospectus or the Prospectus or to be filed or incorporated by reference as exhibits to the Registration Statement that are not described in all material respects or filed or incorporated by reference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not, and after giving effect to the offering and sale of the Shares and the offering and sale of the Convertible Notes in the Concurrent Offering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in each case of (i) through (iii) above, where such noncompliance with applicable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There are no costs or liabilities of the Company or its subsidiaries arising under applicable Environmental Laws (including, without limitation, any capital or operating expenditures required for clean-up, closure of properties or compliance with Environmental Laws or any permit, license or approval required under applicable Environmental Laws, any related constraints on operating activities and any potential liabilities to third parties) which would,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Except as described in the Registration Statement, the Time of Sale Prospectus or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otherwise have been validly waived in connection with the issuance and sale of the Shares contemplated hereby and as described in the Registration Statement,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 None of the Company or any of its subsidiaries or controlled affiliates, or any director, officer, or employee thereof, nor, to the Company’s knowledge,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in order to improperly influence official action, or to any person in violation of any applicable anti-corruption 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or regulatory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or regulatory agency, authority or body or any arbitrator involving the Company or any of its subsidiaries with respect to the Anti-Money Laundering Laws is pending or, to the Company’s knowledge,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 None of the Company, any of its subsidiaries, or any director, or employee thereof, or, to the Company’s knowledge, any agent, controlled affiliate or representative of the Company or any of its subsidiaries, is an individual or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that is, or is owned or controlled by one or more Persons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Crimea, Cuba, Iran, North Korea, Syria, and the Donetsk People’s Republic and Luhansk People’s Republic located in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the terms of the employee benefit or stock-based compensation plans or agreements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does not own any real property. The Company and each of its subsidiaries have good and marketable title to all personal property (other than intellectual property which is addressed exclusively in Section 1(y) hereof) owned by them which is material to the business of the Company and its subsidiaries, in each case free and clear of all liens, encumbrances and defects except such as are described in the Registration Statement, the Time of Sale Prospectus and the Prospectus or except such as do not materially and adversely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real property and buildings by the Company and its subsidiaries, except as described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and its subsidiaries own or have valid, binding and enforceable licenses or other rights to practice and use all technology,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and its subsidiaries (including as described in the Time of Sale Prospectus and the Prospectus) (collectively, the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or to the development, manufacture, operation, and sale of any products and services sold or proposed to be sold by the Company and its subsidiaries. To the Company’s knowledge, the conduct of the Company’s and its subsidiaries’ respective business and the proposed conduct of its business (including the development and commercialization of the product candidates described in the Time of Sale Prospectus and the Prospectus) has not and will not infringe, misappropriate or otherwise conflict in any material respect with any valid intellectual property rights of others; except as described in the Registration Statement, the Time of Sale Prospectus and the Prospectus, there are no rights of third parties to any of the intellectual property owned by the Company or any of its subsidiaries, and such intellectual property is owned by the Company or its subsidiary free and clear of all liens, security interests, or encumbrances; to the Company’s knowledge, the patents, trademarks and copyrights held or licensed by the Company and its subsidiaries included within the Company Intellectual Property are valid, enforceable and subsisting, and the patent, trademark, and copyright applications included within the Company Intellectual Property are subsisting and have not been abandoned; and there is no infringement by third parties of any of the Company Intellectual Property. Except as described in the Registration Statement, Time of Sale Prospectus and the Prospectus, (i) the Company and its subsidiaries are not obligated or under any material liability to pay a royalty, grant a license, or provide other material consideration to any third party in connection with the Company Intellectual Property, (ii) no action, suit, claim or other proceeding is pending or, to the Company’s knowledge, is threatened, alleging that the Company or any of its subsidiaries is infringing, misappropriating, diluting or otherwise violating, or would, upon the commercialization of any product or service proposed in the Time of Sale Prospectus and the Prospectus to be conducted, infringe, misappropriate, dilute, or otherwise violate, any valid intellectual property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Company’s knowledge, is threatened, challenging the validity, enforceability, scope, registration, ownership or use of any of the Company Intellectual Property, and the Company is unaware of any facts which could form a reasonable basis for any such action, suit, proceeding or claim, (iv) no action, suit, claim or other proceeding is pending or, to the Company’s knowledge, is threatened, challenging the Company’s rights in or to any Company Intellectual Property, and the Company is unaware of any facts which could form a reasonable basis for any such action, suit, proceeding or claim, (v) the Company has not received notice of any claim of infringement, misappropriation or conflict with any asserted rights of others with respect to any of the Company’s products, proposed products, processes or Company Intellectual Property, and the Company is unaware of any facts which would form a reasonable basis for any such claim, (vi) to the Company’s knowledge, the development, manufacture, sale, and any currently proposed use of any of the products, proposed products or processes of the Company referred to in the Time of Sale Prospectus and the Prospectus, in the current or proposed conduct of the business of the Company, do not infringe any right or valid patent claim of any third party, (vii) to the Company’s knowledge, no employee, consultant or independent contractor of the Company or any of its subsidiaries (“</w:t>
      </w:r>
      <w:r>
        <w:rPr>
          <w:rFonts w:ascii="Times New Roman;Times;Serif" w:hAnsi="Times New Roman;Times;Serif"/>
          <w:b/>
          <w:i w:val="false"/>
          <w:caps w:val="false"/>
          <w:smallCaps w:val="false"/>
          <w:sz w:val="20"/>
        </w:rPr>
        <w:t>Company Personnel</w:t>
      </w:r>
      <w:r>
        <w:rPr>
          <w:rFonts w:ascii="Times New Roman;Times;Serif" w:hAnsi="Times New Roman;Times;Serif"/>
          <w:b w:val="false"/>
          <w:i w:val="false"/>
          <w:caps w:val="false"/>
          <w:smallCaps w:val="false"/>
          <w:sz w:val="20"/>
        </w:rPr>
        <w:t>”) is in or has ever been in violation in any respect of any material term of any employment contract, patent disclosure agreement, invention assignment agreement, non-competition agreement, non-solicitation agreement, nondisclosure agreement or any restrictive covenant to or with a former employer or counterparty to such agreements, where the basis of such violation relates to such Company Personnel’s employment or independent contractor’s engagement with the Company or any of its subsidiaries, actions undertaken while employed or engaged with the Company or any of its subsidiaries, or the ownership by the Company of any Company Intellectual Property, (viii) the Company has taken reasonable steps in accordance with normal industry practice to maintain the confidentiality of all Company Intellectual Property, including the execution of appropriate nondisclosure and confidentiality agreements, (ix) the Company and its subsidiaries have complied with the material terms of each agreement pursuant to which intellectual property has been licensed to the Company or any of its subsidiaries, and all such agreements are in full force and effect, (x) none of the Company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(xi) the product candidates described in the Time of Sale Prospectus and the Prospectus as under development by the Company fall within the scope of the claims of one or more patents or patent applications owned by, or exclusively licensed to, the Company, and (xii) the duties of candor and good faith required by the United States Patent and Trademark Office during the prosecution of the United States patents and patent applications included in the Company Intellectual Property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Except as would not, singly or in the aggregate, reasonably be expected to result in a material adverse effect on the Company and its subsidiaries, taken as a whole, (A) each Plan (as defined below) has been maintained in compliance with its terms and the requirements of any applicable statutes, orders, rules and regulations, including but not limited to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and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(B) no non-exempt prohibited transaction, within the meaning of Section 406 of ERISA or Section 4975 of the Code, has occurred, or is reasonably expected to occur,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the thirty day notice period is waived) has occurred or is reasonably expected to occur; and (E) neither the Company nor any member of its “Controlled Group” (defined as any organization which is a member of a controlled group of corporations within the meaning of Section 414 of the Code) has incurred, nor is reasonably expected to incur, any liability under Title IV of ERISA (other than contributions to any Plan or any Multiemployer Plan or premiums to the PBGC, in the ordinary course and without default) in respect of a Plan or a Multiemployer Plan. For purposes of this paragraph, (x) the term “Plan” means an employee benefit plan, within the meaning of Section 3(3) of ERISA, subject to Title IV of ERISA, but excluding any Multiemployer Plan, for which the Company or any member of its “Controlled Group” has any liability and (y) the term “Multiemployer Plan” means a multiemployer plan within the meaning of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No material labor dispute with the employees of the Company or any of its subsidiaries exists, or, to the Company’s knowledge,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each of its subsidiaries are insured by insurers of recognized financial responsibility against such losses and risks and in such amounts as are, in the Company’s reasonable judgment, generally deemed adequate and customary for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and each of its subsidiaries possess all material certificates, authorizations and permits issued by the appropriate federal, state or foreign regulatory authorities necessary to conduct their respective businesses, and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financial statements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the Exchange Act, as applicable,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Ernst &amp; Young LLP, which has expressed its opinion and certified certain of the financial statements of the Company and its subsidiaries and delivered its report with respect to the audited consolidated financial statements filed with the Commission as part of, or incorporated by reference in, the Registration Statement, the Time of Sale Prospectus and the Prospectus,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 statistical, industry and market related data included or incorporated by reference in the Registration Statement, the Time of Sale Prospectus and the Prospectus are based on or derived from sources that the Company believes, after reasonable inquiry, to be reliable and accurate. To the Company’s knowledge, after reasonable investigation, it does not require the consent of any third party for the use of any such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 Company and its Subsidiaries maintain an effective system of “disclosure controls and procedures” (as defined in Rule 13a-15(e)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described in the Time of Sale Prospectus and the Registration Statement,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whether or not reported thereon (except for cases in which the failure to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 There are no outstanding agreements or waivers extending the statutory period of limitation applicable to any federal, state, local or foreign tax return for any period, other than pursuant to automatic extensions of the due date for filing a tax return obtained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There is and has been no failure on the part of the Company, or to the knowledge of the Company, any of the Company’s directors or officers, in their capacities as such, to comply with any provision of the Sarbanes-Oxley Act of 2002, as amended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and the rules and regulations promulgated in connection therewith, including Section 402 related to loans, to the extent compliance is required, and is taking steps designed to ensure that it will be in compliance, at all times, with the other provisions of the Sarbanes-Oxley Act when they become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The Company has not taken, directly or indirectly, any action designed to or that would reasonably be expected to cause or result in any stabilization or manipulation of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From the time of initial confidential submission of the registration statement to the Commission relating to the Company’s initial public offering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Other than in connection with the Company’s initial public offering, the Company (i) has not engaged in any Testing-the-Waters Communication and (ii) has not authorized anyone to engage in Testing-the-Waters Communications. The Company has not distributed any Testing-the-Waters Communication that is a written communication within the meaning of Rule 405 under the Securities Act other than those listed on Schedule III hereto.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communication with potential investors undertaken in reliance on Section 5(d) or Rule 163B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that the Company makes no representation and warranty with respect to any statements or omissions in the Time of Sale Prospectus, any free writing prospectus or any Testing-the-Waters Communication based upon information relating to any Underwriter furnished to the Company in writing by or on behalf of such Underwriter through the Representatives expressly for use therein, which includes Underwriting Information (as defined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The Company and its subsidiaries are and at all times have been in compliance with all applicable Health Care Laws, as defined below, in all material respects.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 301 et seq.), the Public Health Service Act (42 U.S.C. §§ 201 et seq.) and the regulations promulgated thereunder; (ii) all applicable federal, state, local and all applicable foreign health care related fraud and abuse laws, including, without limitation, the U.S. Anti-Kickback Statute (42 U.S.C. § 1320a-7b(b)), the U.S. False Statements Law (42 U.S.C. § 1320a-7b(a)), the Civil Monetary Penalties Law (42 U.S.C. § 1320a-7a), the U.S. Civil False Claims Act (31 U.S.C. § 3729 et seq.), all criminal laws relating to health care fraud and abuse, including but not limited to 18 U.S.C. §§ 286 and 287, and the health care fraud criminal provisions under the U.S.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(42 U.S.C. §§ 1320d et seq.), the Physician Payments Sunshine Act (42 U.S.C. § 1320a-7h), the exclusions law (42 U.S.C. § 1320a-7), and the regulations promulgated thereunder; (iii) Medicare (Title XVIII of the Social Security Act) and Medicaid (Title XIX of the Social Security Act), and the regulations promulgated thereunder; (iv) the Standards for Privacy of Individually Identifiable Health Information, the Security Standards, and the Standards for Electronic Transactions and Code Sets promulgated under HIPAA, the Health Information Technology for Economic and Clinical Health Act (“</w:t>
      </w:r>
      <w:r>
        <w:rPr>
          <w:rFonts w:ascii="Times New Roman;Times;Serif" w:hAnsi="Times New Roman;Times;Serif"/>
          <w:b/>
          <w:i w:val="false"/>
          <w:caps w:val="false"/>
          <w:smallCaps w:val="false"/>
          <w:sz w:val="20"/>
        </w:rPr>
        <w:t>HITECH Act</w:t>
      </w:r>
      <w:r>
        <w:rPr>
          <w:rFonts w:ascii="Times New Roman;Times;Serif" w:hAnsi="Times New Roman;Times;Serif"/>
          <w:b w:val="false"/>
          <w:i w:val="false"/>
          <w:caps w:val="false"/>
          <w:smallCaps w:val="false"/>
          <w:sz w:val="20"/>
        </w:rPr>
        <w:t>”) (42 U.S.C. §§ 17921 et seq.), and the regulations promulgated thereunder and any state or non-U.S. counterpart thereof or other law or regulation the purpose of which is to protect the privacy of individuals or prescribers; (v) the Patient Protection and Affordable Care Act of 2010, as amended by the Health Care and Education Reconciliation Act of 2010, and the regulations promulgated thereunder; (vi) any and all other healthcare laws, statutes, rules and regulations applicable to the ownership, testing, development, manufacture, packaging, processing, use, distribution, marketing, advertising, labeling, promotion, sale, offer for sale, storage, import or export of any product manufactured or distributed by the Company; and (vii) all amendments to any of the foregoing. Neither the Company nor its subsidiaries has received written notice of any claim, action, suit, proceeding, hearing, enforcement, investigation, arbitration or other action from any court or arbitrator or governmental or regulatory authority or third party alleging that the Company or its subsidiaries are in material violation of any Health Care Laws, and, to the Company’s knowledge, no such claim, action, suit, proceeding, hearing, enforcement, investigation, arbitration or other action is threatened in writing. Neither the Company, nor any of its subsidiaries, is a party to any corporate integrity agreements, monitoring agreements, consent decrees, settlement orders, or similar agreements with or imposed by any governmental or regulatory authority. The Company and its subsidiaries (i) possess all material licenses, certificates, approvals, clearances, exemptions, authorizations and permits required under the Health Care Laws (“</w:t>
      </w:r>
      <w:r>
        <w:rPr>
          <w:rFonts w:ascii="Times New Roman;Times;Serif" w:hAnsi="Times New Roman;Times;Serif"/>
          <w:b/>
          <w:i w:val="false"/>
          <w:caps w:val="false"/>
          <w:smallCaps w:val="false"/>
          <w:sz w:val="20"/>
        </w:rPr>
        <w:t>Health Care Permits</w:t>
      </w:r>
      <w:r>
        <w:rPr>
          <w:rFonts w:ascii="Times New Roman;Times;Serif" w:hAnsi="Times New Roman;Times;Serif"/>
          <w:b w:val="false"/>
          <w:i w:val="false"/>
          <w:caps w:val="false"/>
          <w:smallCaps w:val="false"/>
          <w:sz w:val="20"/>
        </w:rPr>
        <w:t>”); (ii) are in material compliance with and have fulfilled and performed their respective material obligations with respect to such Health Care Permits; and (iii) to the Company’s knowledge, no event has occurred which allows, or after notice or lapse of time would reasonably be expected to allow, revocation or termination of any Health Care Permit; and (iv) have filed, obtained, maintained or submitted all material reports, applications, records, submissions, supplements or amendments as required by the Health Care Laws or the Health Care Permits, and all such reports, applications, records, submissions, supplements or amendments were timely, complete, accurate and not misleading on the date filed (or were corrected or supplemented by a subsequent submission)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The Company has not received (i) any warning letter, untitled letter or other material notice from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or other governmental entity alleging or asserting material noncompliance with any Health Care Laws or (ii) any notice that the FDA or any governmental entity has taken or is taking action to limit, suspend, modify or revoke any material Health Care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preclinical tests and clinical trials, and other studies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that are 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all Health Care Laws. Each description of the results of the Studies is accurate and complete in all material respects and fairly presents the data derived from such Studies, and to the Company’s knowledge, there are no other Studies the results of which are materially inconsistent with, or otherwise call into question, the results described or referred to in the Registration Statement, the Time of Sale Prospectus or the Prospectus. Except as described in the Registration Statement, the Time of Sale Prospectus and the Prospectus, the Company has not received any notice of, or correspondence from, the FDA or any other governmental entity or institutional review board requiring the termination, suspension or material modification or partial or full clinical hold of any clinical trials that are described or referred to in the Registration Statement,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Neither the Company nor its subsidiaries, or its subsidiaries’ officers or directors, or to the knowledge of the Company, its employees or agents, is or has been excluded, suspended or debarred from participation in any U.S. federal health care program or by the FDA or any other governmental entity pursuant to 21 U.S.C. § 335a or similar laws, or, to the Company’s knowledge, is subject to a governmental inquiry, investigation, proceeding, or other similar action that could reasonably be expected to result in debarment, suspension, or exclusion, or engaged in any conduct that would reasonably be expected to result in debarment, suspension, or exclusion.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Except as would not, singly or in the aggregate, reasonably be expected to have a material adverse effect on the Company and its subsidiaries, taken as a whole, the Company and each of its subsidiaries are, and at all prior times in the past six years were, in compliance in all respects with all applicable data privacy and security laws and regulations or contractual obligations regarding the collection, use, transfer, storage, processing, protection, disposal or disclosure of all Personal Data, including, without limitation, and in each case only to the extent applicable, the European Union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(EU 2016/679), Access to U.S. Sensitive Personal Data and Government-Related Data by Countries of Concern or Covered Persons,” 90 Fed. Reg. 1636 (Jan. 8, 2025) codified at 28 C.F.R. § 202, including any amendments thereto and guidance issued thereunder (together, the “</w:t>
      </w:r>
      <w:r>
        <w:rPr>
          <w:rFonts w:ascii="Times New Roman;Times;Serif" w:hAnsi="Times New Roman;Times;Serif"/>
          <w:b/>
          <w:i w:val="false"/>
          <w:caps w:val="false"/>
          <w:smallCaps w:val="false"/>
          <w:sz w:val="20"/>
        </w:rPr>
        <w:t>U.S. Data Security Program</w:t>
      </w:r>
      <w:r>
        <w:rPr>
          <w:rFonts w:ascii="Times New Roman;Times;Serif" w:hAnsi="Times New Roman;Times;Serif"/>
          <w:b w:val="false"/>
          <w:i w:val="false"/>
          <w:caps w:val="false"/>
          <w:smallCaps w:val="false"/>
          <w:sz w:val="20"/>
        </w:rPr>
        <w:t>”), and the California Consumer Privacy Act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of 2018, as amended by the California Privacy Rights Act of 2020 (collectively, the “</w:t>
      </w:r>
      <w:r>
        <w:rPr>
          <w:rFonts w:ascii="Times New Roman;Times;Serif" w:hAnsi="Times New Roman;Times;Serif"/>
          <w:b/>
          <w:i w:val="false"/>
          <w:caps w:val="false"/>
          <w:smallCaps w:val="false"/>
          <w:sz w:val="20"/>
        </w:rPr>
        <w:t>Privacy and Security Obligations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of the natural person, social security number or tax identification number, driver’s license number, passport number, credit card number, bank information, or customer or account number; (ii) “personal data,” “personal information,” or similar term as defined by the Privacy and Security Obligations; and (iii) any other piece of information that reasonably allows the identification of such natural person, except any “protected health information” as defined by HIPAA or other information that has been explicitly exempted by an applicable Privacy and Security Obligation. The Company and its subsidiaries have in place, comply with, and take appropriate steps designed to ensure compliance in all material respects with their policies and procedures relating to data privacy and security and the collection, storage, processing, use, disclosure, handling, and analysis of all sensitive, confidential, or regulated data (collectively “</w:t>
      </w:r>
      <w:r>
        <w:rPr>
          <w:rFonts w:ascii="Times New Roman;Times;Serif" w:hAnsi="Times New Roman;Times;Serif"/>
          <w:b/>
          <w:i w:val="false"/>
          <w:caps w:val="false"/>
          <w:smallCaps w:val="false"/>
          <w:sz w:val="20"/>
        </w:rPr>
        <w:t>Sensitive Data</w:t>
      </w:r>
      <w:r>
        <w:rPr>
          <w:rFonts w:ascii="Times New Roman;Times;Serif" w:hAnsi="Times New Roman;Times;Serif"/>
          <w:b w:val="false"/>
          <w:i w:val="false"/>
          <w:caps w:val="false"/>
          <w:smallCaps w:val="false"/>
          <w:sz w:val="20"/>
        </w:rPr>
        <w:t>”) and Personal Data (collectively all such policies, procedures comprising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has (i) provided accurate notice of its privacy practices then in effect to appropriate data subjects, which contain materially accurate and sufficient notice of the Company’s then-current privacy practices relating to its subject matter and do not contain any material omissions of the Company’s then-current privacy practices and (ii) made all disclosures to appropriate data subjects required by applicable Privacy and Security Obligations in all material respects. None of such disclosures made have been inaccurate, misleading, deceptive or in violation of any Privacy and Security Obligations or Policies in any material respect. The execution, delivery and performance of this Agreement or any other agreement referred to in this Agreement will not result in a breach of violation of any Privacy and Security Obligations or Policies. The Company further certifies that neither it nor any subsidiary: (i) has received notice of any actual or potential liability under or relating to, or actual or potential violation of, any of the Privacy and Security Obligations, and has no knowledge of any event or condition that would reasonably be expected to result in any such notice; (ii) is currently conducting or paying for, in whole or in part, any investigation, remediation, or other corrective action pursuant to any Privacy and Security Obligation; or (iii) is a party to any order, decree, or agreement that imposes any obligation or liability under any Privacy and Security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The Company’s, its subsidiaries’, and, to the knowledge of the Company, its third party providers’ information technology assets and equipment, computers, technology systems and other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its subsidiaries, and, to the knowledge of the Company, its third party service providers have implemented and maintained physical, technical and administrative controls, policies, procedures, and safeguards designed to maintain and protect its confidential information and the integrity, continuous operation, redundancy and security of all IT Systems (including all Sensitive Data and Personal Data) and data used in connection with the operation of the Company or its subsidiaries. The Company and its subsidiaries have used reasonable efforts to establish, and have established, commercially reasonable disaster recovery and security plans, procedures and facilities for the business, including, without limitation, for the information technology systems and data held or used by or for the Company or any of its subsidiaries. There have been no internal or external security breaches or attacks, outages or unauthorized uses of or accesses to IT Systems, Sensitive Data, or Personal Data, or any other compromises of or relating to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Neither the Company nor any of its subsidiaries has any securities rated by any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Times;Serif" w:hAnsi="Times New Roman;Times;Serif"/>
          <w:b/>
          <w:i w:val="false"/>
          <w:caps w:val="false"/>
          <w:smallCaps w:val="false"/>
          <w:sz w:val="20"/>
        </w:rPr>
        <w:t>Covered Activity</w:t>
      </w:r>
      <w:r>
        <w:rPr>
          <w:rFonts w:ascii="Times New Roman;Times;Serif" w:hAnsi="Times New Roman;Times;Serif"/>
          <w:b w:val="false"/>
          <w:i w:val="false"/>
          <w:caps w:val="false"/>
          <w:smallCaps w:val="false"/>
          <w:sz w:val="20"/>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The Common Stock is registered pursuant to Section 12(b) or 12(g) of the Exchange Act and is listed on the Nasdaq Global Select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and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 xml:space="preserve">Agreements to Sell and Purchase. </w:t>
      </w:r>
      <w:r>
        <w:rPr>
          <w:rFonts w:ascii="Times New Roman;Times;Serif" w:hAnsi="Times New Roman;Times;Serif"/>
          <w:b w:val="false"/>
          <w:i w:val="false"/>
          <w:caps w:val="false"/>
          <w:smallCaps w:val="false"/>
          <w:sz w:val="20"/>
        </w:rPr>
        <w:t>The Company hereby agrees to sell to the several Underwriters, and each Underwriter, upon the basis of the representations and warranties herein contained, but subject to the terms and conditions hereinafter stated, agrees, severally and not jointly, to purchase from the Company the respective number of Firm Shares set forth in Schedule I hereto opposite its name at $18.80 a share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750,000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sales of shares in excess of the number of the Firm Shares. On each day, if any, that Additional Shares are to be purchased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Terms of Public Offering</w:t>
      </w:r>
      <w:r>
        <w:rPr>
          <w:rFonts w:ascii="Times New Roman;Times;Serif" w:hAnsi="Times New Roman;Times;Serif"/>
          <w:b w:val="false"/>
          <w:i w:val="false"/>
          <w:caps w:val="false"/>
          <w:smallCaps w:val="false"/>
          <w:sz w:val="20"/>
        </w:rPr>
        <w:t>. The Company is advised by the Representatives that the Underwriters propose to make a public offering of their respective portions of the Shares as soon after the Registration Statement and this Agreement have become effective as in the judgment of the Representatives is advisable. The Company is further advised by the Representatives that the Shares are to be offered to the public initially at $20.00 a share (the “</w:t>
      </w:r>
      <w:r>
        <w:rPr>
          <w:rFonts w:ascii="Times New Roman;Times;Serif" w:hAnsi="Times New Roman;Times;Serif"/>
          <w:b/>
          <w:i w:val="false"/>
          <w:caps w:val="false"/>
          <w:smallCaps w:val="false"/>
          <w:sz w:val="20"/>
        </w:rPr>
        <w:t>Public Offering Price</w:t>
      </w:r>
      <w:r>
        <w:rPr>
          <w:rFonts w:ascii="Times New Roman;Times;Serif" w:hAnsi="Times New Roman;Times;Serif"/>
          <w:b w:val="false"/>
          <w:i w:val="false"/>
          <w:caps w:val="false"/>
          <w:smallCaps w:val="false"/>
          <w:sz w:val="20"/>
        </w:rPr>
        <w:t>”) and to certain dealers selected by the Representatives at a price that represents a concession not in excess of $0.72 a share under the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 xml:space="preserve">Payment and Delivery. </w:t>
      </w:r>
      <w:r>
        <w:rPr>
          <w:rFonts w:ascii="Times New Roman;Times;Serif" w:hAnsi="Times New Roman;Times;Serif"/>
          <w:b w:val="false"/>
          <w:i w:val="false"/>
          <w:caps w:val="false"/>
          <w:smallCaps w:val="false"/>
          <w:sz w:val="20"/>
        </w:rPr>
        <w:t>Payment for the Firm Shares shall be made to the Company in Federal or other funds immediately available in New York City against delivery of such Firm Shares for the respective accounts of the several Underwriters at approximately 10:00 a.m., New York City time, on March 31, 2026, or at such other time on the same or such other date, not later than April 14, 2026, as shall be designated in writing by the Representatives. The time and date of such payment are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any Additional Shares shall be made to the Company in Federal or other funds immediately available in New York City against delivery of such Additional Shares for the respective accounts of the several Underwriters at approximately 10:00 a.m., New York City time, on the date specified in the corresponding notice described in Section 2 or at such other time on the same or on such other date, in any event not later than May 2, 2026, as shall be designated in writing by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Shares and Additional Shares shall be registered in such names and in such denominations as Jefferies shall request in writing not later than one full business day prior to the Closing Date or the applicable Option Closing Date, as the case may be. The Firm Shares and Additional Shares shall be delivered to Jefferies on the Closing Date or an Option Closing Date, as the case may be, for the respective accounts of the several Underwriters, any transfer taxes payable by the Underwriter in connection with the transfer of the Shares to the Underwriters will reduce the amount payable by the Underwriters for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Conditions to the Underwriters’ Obligations</w:t>
      </w:r>
      <w:r>
        <w:rPr>
          <w:rFonts w:ascii="Times New Roman;Times;Serif" w:hAnsi="Times New Roman;Times;Serif"/>
          <w:b w:val="false"/>
          <w:i w:val="false"/>
          <w:caps w:val="false"/>
          <w:smallCaps w:val="false"/>
          <w:sz w:val="20"/>
        </w:rPr>
        <w:t>. The obligations of the Company to sell the Shares to the Underwriters and the several obligations of the Underwriters to purchase and pay for the Shares on the Closing Date are subject to the condition that the Registration Statement shall remain effective on the date hereof as of the time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obligations of the Underwriters are subject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to the execution and delivery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order suspending the effectiveness of the Registration Statement shall be in effect, and no proceeding for such purpose or pursuant to Section 8A under the Securities Act shall be pending before or threatened by the Commission;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judgment of the Representatives, is material and adverse and that makes it, in the judgment of the Representatives, impracticable to market the Shares on the terms and in the manner contemplated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have received on the Closing Date a certificate, dated the Closing Date and signed by an executive officer of the Company, to the effect set forth (i) in Section 5(a)(i), (ii) that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and (iii) that the representations and warranties of the Company contained in this Agreement are true and correct as of the Closing Date and that the Company has complied in all material respects with all of the agreements and satisfied all of the conditions on its part to be performed or satisfied hereunder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signing and delivering such certificate may rely upon the best of his or her knowledge as to proceedings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Underwriters shall have received on the Closing Date an opinion and negative assurance letter of Ropes &amp; Gray LLP, outside counsel for the Company, dated the Closing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Underwriters shall have received on the Closing Date an opinion and negative assurance letter of Cooley LLP, counsel for the Underwriters, dated the Closing Date, in form and substance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Underwriters shall have received on the Closing Date an opinion of Proskauer Rose LLP, intellectual property counsel for the Company, dated the Closing Date, in form and substance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Sections 5(c) and (d) above, Ropes &amp; Gray LLP and Cooley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and negative assurance letter of Ropes &amp; Gray LLP described in Section 5(c) above shall be rendered to the Underwriters at the request of the Company and shall so state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letter delivered on the Closing Date shall use a “cut-off date” not earlier than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“lock-up” agreements, each substantially in the form of Exhibit A hereto, executed by certain stockholders of the Company, and all officers and directors of the Company relating to restrictions on sales and certain other dispositions of shares of Common Stock or certain other securities, delivered to the Representatives on or before the date hereof, shall be in full force and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several obligations of the Underwriters to purchase Additional Shares hereunder are subject to the delivery to the Representatives on the applicable Option Closing Date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certificate, dated the Option Closing Date and signed by an executive officer of the Company, confirming that the certificate delivered on the Closing Date pursuant to Section 5(b) hereof remains true and correct as of such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opinion and negative assurance letter of Ropes &amp; Gray LLP, outside counsel for the Company, dated the Option Closing Date, relating to the Additional Shares to be purchased on such Option Closing Date and otherwise to the same effect as the opinion required by Section 5(c)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opinion and negative assurance letter of Cooley LLP, counsel for the Underwriters, dated the Option Closing Date, relating to the Additional Shares to be purchased on such Option Closing Date and otherwise to the same effect as the opinion required by Section 5(d)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letter dated the Option Closing Date, in form and substance satisfactory to the Underwriters, from Ernst &amp; Young LLP, independent public accountants, substantially in the same form and substance as the letter furnished to the Underwriters pursuant to Section 5(g)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letter delivered on the Option Closing Date shall use a “cut-off date” not earlier than two business days prior to such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 opinion of Proskauer Rose LLP, intellectual property counsel for the Company, dated the Option Closing Date, relating to the Additional Shares to be purchased on such Option Closing Date and otherwise to the same effect as the opinion required by Section 5(e)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The Company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furnish to the Representatives, without charge, a conformed copy of the Registration Statement (without exhibits thereto and documents incorporated by reference) upon request by the Representative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in writing, and to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furnish to the Representatives a copy of each proposed free writing prospectus to be prepared by or on behalf of, used by, or referred to by the Company and not to use or refer to any proposed free writing prospectus to which the Representatives reasonably object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during such time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during such period after the first date of the public offering of the Shares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use commercially reasonable efforts to qualify the Shares for offer and sale under the securities or Blue Sky laws of such jurisdictions as the Representatives shall reasonably request; provided that the Company shall not be required to (i) qualify as a foreign corporation or other entity or as a dealer in securities in any such jurisdiction where it would not otherwise be required to so qualify, (ii) execute or file any general consent to service of process in any such jurisdiction or (iii) subject itself to taxation in any such jurisdiction if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(including, at the Company’s option, Rule 158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and documented fees and disbursements of counsel for the Underwriters in 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Shares by FINRA (provided such fees and disbursements of counsel payable by the Company pursuant to clauses (iii) and (iv) shall not, in the aggregate, exceed $25,000), (v) all fees and expenses in connection with the preparation and filing of the registration statement on Form 8-A relating to the Common Stock and all costs and expenses incident to listing the Shares on Nasdaq,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own costs and expenses, including, without limitation, fees and disbursements of their counsel, travel and lodging expenses of the Underwriters (except as otherwise specifically set forth in clause (viii) of this paragraph with respect to the costs related to chartered aircraft, if any) stock transfer taxes payable on resale of any of the Shares by them and any advertising expenses connected with any offers they may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will promptly notify the Representatives if the Company ceases to be an Emerging Growth Company at any time prior to the later of (a) completion of the distribution of the Shares within the meaning of the Securities Act and (b) completion of the Restricted Period (as defined in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at any time following the initial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will deliver to the Representatives (or their agent), on or prior to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will prepare a final term sheet relating to this offering of the Shares and the Concurrent Offering in a form approved by the Representatives (as set forth in Schedule IV hereto) and will file such term sheet pursuant to and within the time required by Rule 433(d)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covenants with each Underwriter that, without the prior written consent of Jefferies LLC, it will not, and will not publicly disclose an intention to, during the period ending 60 days after the date of the Prospectus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(2) enter into any hedging,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confidentially submit any draft registration statement or file any registration statement with the Commission relating to the offering of any shares of Common Stock or any securities convertible into or exercisable or exchangeable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restrictions contained in the preceding paragraph shall not apply to (a) the Shares to be sold hereunder, (b) the issuance by the Company of shares of Common Stock upon the exercise of an option or warrant or the conversion or settlement of a security outstanding on the date hereof that is described in each of the Registration Statement, Time of Sale Prospectus and Prospectus, (c) grants of options, restricted stock or other equity awards and the issuance of Common Stock or securities convertible into or exercisable for Common Stock (whether upon the exercise of stock options or otherwise) to employees, officers, directors, advisors, or consultants of the Company pursuant to the terms of a plan as described in the Registration Statement, Time of Sale Prospectus and Prospectus, provided that the Company shall cause each recipient of such grant to execute and deliver to the Representatives an agreement substantially in the form of Exhibit A hereto if such recipient has not already delivered one, (d) the filing of a registration statement on Form S-8 to register Common Stock issuable pursuant to any employee benefit plans, qualified stock option plans or other employee compensation plans, described in the Registration Statement, Time of Sale Prospectus and Prospectus, (e) Common Stock or any securities convertible into, or exercisable or exchangeable for, Common Stock, or the entrance into an agreement to issue Common Stock or any securities convertible into, or exercisable or exchangeable for, Common Stock, in connection with (i) the acquisition by the Company or any of its subsidiaries of the securities, business, property or other assets of another person or entity, including pursuant to an employee benefit or equity-based compensation plan or agreement assumed by the Company or any of its subsidiaries in connection with such acquisition or (ii) joint ventures, licensing arrangements, commercial relationships or other strategic transactions; provided that the aggregate number of shares of Common Stock issued or issuable pursuant to this clause (e) shall not exceed ten percent of the total number of shares of Common Stock issued and outstanding immediately following the offering of the Shares pursuant to this Agreement and provided further that the Company shall cause each recipient of such shares to execute and deliver to the Representatives, on or prior to such issuance, a “lock-up” agreement, substantially in the form of Exhibit A hereto, (f) facilitating the establishment of a trading plan on behalf of a stockholder, officer or director of the Company pursuant to Rule 10b5-1 under the Exchange Act for the transfer of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(g) the issuance and sale of the Convertible Notes in the Concurrent Offering or the issuance of Common Stock upon the conversion of any Convertible Notes, (h) the 2,000,000 shares of Common Stock issuable to InnoCare Pharma Limited (“InnoCare”) as partial consideration pursuant to that certain license agreement between InnoCare and the Company, dated October 7, 2025, or (i) shares of Common Stock that may be issued and sold pursuant to the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dated October 8, 2025, by and between the Company and Jefferies, following the earlier to occur of (x) the date that is 30 days following the date hereof and (y) the date that the Underwriters exercise in full their option to purchase the Additional Shares pursuant to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Covenants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Underwriters may use the term sheet as set forth in Schedule IV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Indemnity and Contribution.</w:t>
      </w:r>
      <w:r>
        <w:rPr>
          <w:rFonts w:ascii="Times New Roman;Times;Serif" w:hAnsi="Times New Roman;Times;Serif"/>
          <w:b w:val="false"/>
          <w:i w:val="false"/>
          <w:caps w:val="false"/>
          <w:smallCaps w:val="false"/>
          <w:sz w:val="20"/>
        </w:rPr>
        <w:t xml:space="preserve"> (a)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(in the case 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or the Prospectus or any amendment or supplement thereto, or any Testing-the-Waters Communication, in the light of the circumstances under which they were made),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or on behalf of such Underwriter through the Representatives expressly for use therein, it being understood and agreed that the only such information furnished by any Underwriter through the Representatives consists of the following information in the Prospectus: (i) the first sentence of the third paragraph under the caption “Underwriting”, (ii) the first and second sentences of the first paragraph under the section entitled “Commission and Expenses,” (iii) the first sentence of the first paragraph under the section entitled “Stabilization,” and (iv) the first sentence of the first paragraph under the section entitled “Electronic Distribution,” each under the caption “Underwriting” in the Preliminary Prospectus and the Prospectus (the “</w:t>
      </w:r>
      <w:r>
        <w:rPr>
          <w:rFonts w:ascii="Times New Roman;Times;Serif" w:hAnsi="Times New Roman;Times;Serif"/>
          <w:b/>
          <w:i w:val="false"/>
          <w:caps w:val="false"/>
          <w:smallCaps w:val="false"/>
          <w:sz w:val="20"/>
        </w:rPr>
        <w:t>Underwriting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or any amendment or supplement thereto, any issuer free writing prospectus, road show or the Prospectus or any amendment or supplement thereto, it being understood and agreed that the only such information furnished by any Underwriter through the Representatives consists of the Underwriting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any proceeding (including any governmental investigation) shall be instituted involving any person in respect of which indemnity may be sought pursuant to Section 8(a) or 8(b), such person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reasonably incurred and documented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reasonably incurred and documented fees and expenses of more than one separate firm (in addition to any local counsel) for all such indemnified parties and that all such reasonably incurred and documented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reasonably incurred and documented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and the Underwriters agree that it would not be just or equitable if contribution pursuant to this Section 8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or Nasdaq, (ii) trading of any securities of the Company shall have been suspended on any national securities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Shares on the terms and in the manner contemplated in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Effectiveness; Defaulting Underwriters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following termination of this Agreement pursuant to clauses (i), (iii), (iv) or (v) of Section 9 of this Agreement, the Company will reimburse the Underwriters or such Underwriters as have so terminated this Agreement with respect to themselves, severally, for all out-of-pocket expenses (including the reasonably incurred and documented fees and disbursements of their counsel) reasonably incurred and documented by such non-defaulting Underwriters in connection with this Agreement or the offering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Counterparts and Electronic Signatures</w:t>
      </w:r>
      <w:r>
        <w:rPr>
          <w:rFonts w:ascii="Times New Roman;Times;Serif" w:hAnsi="Times New Roman;Times;Serif"/>
          <w:b w:val="false"/>
          <w:i w:val="false"/>
          <w:caps w:val="false"/>
          <w:smallCaps w:val="false"/>
          <w:sz w:val="20"/>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This Agreement, any claim, controversy or disputes arising under or related to this Agreement and any transaction contemplated by this Agreement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communications hereunder shall be in writing and effective only upon receipt and if to the Underwriters shall be delivered, mailed or sent to the Representatives in care of Jefferies LLC, 520 Madison Avenue, New York, New York 10022, Facsimile: (646) 619-4437, Attention: General Counsel; Evercore Group L.L.C., at 55 East 52nd Street, New York, New York 10055, Attention: ECM General Counsel; Citigroup Global Markets Inc., at 388 Greenwich Street, New York, New York 10013, Facsimile: (646) 291-1469, Attention: Global Head of Syndicate; and Guggenheim Securities LLC, at 330 Madison Avenue, New York, New York 10017, Facsimile: (212) 658-9689, Attention: Head of Equity Capital Markets; and if to the Company shall be delivered, mailed or sent to Zenas BioPharma, Inc., 852 Winter Street, Suite 250, Waltham, Massachusetts 02451, Attention: Jeff Held, Chief Legal Officer, with a copy to Thomas Danielski, Ropes &amp; Gray LLP, Prudential Tower, 800 Boylston Street, Boston, Massachusetts 02199.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320"/>
        <w:gridCol w:w="4595"/>
      </w:tblGrid>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Jennifer Fox</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Jennifer Fox</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Business Officer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hereof</w:t>
      </w:r>
    </w:p>
    <w:p>
      <w:pPr>
        <w:pStyle w:val="TextBody"/>
        <w:bidi w:val="0"/>
        <w:spacing w:before="0" w:after="0"/>
        <w:ind w:left="0" w:right="0" w:hanging="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402"/>
        <w:gridCol w:w="708"/>
        <w:gridCol w:w="2568"/>
        <w:gridCol w:w="75"/>
      </w:tblGrid>
      <w:tr>
        <w:trPr/>
        <w:tc>
          <w:tcPr>
            <w:tcW w:w="367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EVERCORE GROUP L.L.C.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CITIGROUP GLOBAL MARKETS INC.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severally on behalf of themselves and</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Underwriters named in</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hereto.</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Brinkman</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Brinkman</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/s/Adam Bilali</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Bilali</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Nicholson</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Nicholson</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75" w:type="dxa"/>
            <w:tcBorders/>
            <w:vAlign w:val="center"/>
          </w:tcPr>
          <w:p>
            <w:pPr>
              <w:pStyle w:val="TableContents"/>
              <w:bidi w:val="0"/>
              <w:spacing w:before="0" w:after="283"/>
              <w:jc w:val="left"/>
              <w:rPr/>
            </w:pPr>
            <w:r>
              <w:rPr/>
              <w:t> </w:t>
            </w:r>
          </w:p>
        </w:tc>
      </w:tr>
      <w:tr>
        <w:trPr/>
        <w:tc>
          <w:tcPr>
            <w:tcW w:w="3678"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Shiv Taylor, M.D.</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Shiv Taylor, M.D.</w:t>
            </w:r>
          </w:p>
        </w:tc>
        <w:tc>
          <w:tcPr>
            <w:tcW w:w="75" w:type="dxa"/>
            <w:tcBorders/>
            <w:vAlign w:val="center"/>
          </w:tcPr>
          <w:p>
            <w:pPr>
              <w:pStyle w:val="TableContents"/>
              <w:bidi w:val="0"/>
              <w:spacing w:before="0" w:after="283"/>
              <w:jc w:val="left"/>
              <w:rPr/>
            </w:pPr>
            <w:r>
              <w:rPr/>
              <w:t> </w:t>
            </w:r>
          </w:p>
        </w:tc>
      </w:tr>
      <w:tr>
        <w:trPr/>
        <w:tc>
          <w:tcPr>
            <w:tcW w:w="402"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4914" w:type="dxa"/>
        <w:jc w:val="left"/>
        <w:tblInd w:w="0" w:type="dxa"/>
        <w:tblLayout w:type="fixed"/>
        <w:tblCellMar>
          <w:top w:w="0" w:type="dxa"/>
          <w:left w:w="0" w:type="dxa"/>
          <w:bottom w:w="28" w:type="dxa"/>
          <w:right w:w="0" w:type="dxa"/>
        </w:tblCellMar>
      </w:tblPr>
      <w:tblGrid>
        <w:gridCol w:w="2480"/>
        <w:gridCol w:w="60"/>
        <w:gridCol w:w="152"/>
        <w:gridCol w:w="2147"/>
        <w:gridCol w:w="75"/>
      </w:tblGrid>
      <w:tr>
        <w:trPr/>
        <w:tc>
          <w:tcPr>
            <w:tcW w:w="24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Firm Shares To</w:t>
              <w:br/>
              <w:t>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4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Preliminary Prospectus dated 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Free Writing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24"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 dated March 26, 2026, relating to the 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Prospectuses Not included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Free Writing Prospectus, dated March 26, 2026, relating to the launch press release, filed pursuant to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Free Writing Prospectus, to be dated March 26, 2026, relating to the pricing press release, filed pursuant to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Testing-the-Waters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43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Equity Underwriters named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to the Equity Underwriting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referred to below 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Debt Underwriters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A to the Debt Underwriting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referred to below</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Evercore Group L.L.C. (“</w:t>
      </w:r>
      <w:r>
        <w:rPr>
          <w:rFonts w:ascii="Times New Roman;Times;Serif" w:hAnsi="Times New Roman;Times;Serif"/>
          <w:b/>
          <w:i w:val="false"/>
          <w:caps w:val="false"/>
          <w:smallCaps w:val="false"/>
          <w:sz w:val="20"/>
        </w:rPr>
        <w:t>Evercore</w:t>
      </w:r>
      <w:r>
        <w:rPr>
          <w:rFonts w:ascii="Times New Roman;Times;Serif" w:hAnsi="Times New Roman;Times;Serif"/>
          <w:b w:val="false"/>
          <w:i w:val="false"/>
          <w:caps w:val="false"/>
          <w:smallCaps w:val="false"/>
          <w:sz w:val="20"/>
        </w:rPr>
        <w:t>”), Citigroup Global Markets Inc. (“</w:t>
      </w:r>
      <w:r>
        <w:rPr>
          <w:rFonts w:ascii="Times New Roman;Times;Serif" w:hAnsi="Times New Roman;Times;Serif"/>
          <w:b/>
          <w:i w:val="false"/>
          <w:caps w:val="false"/>
          <w:smallCaps w:val="false"/>
          <w:sz w:val="20"/>
        </w:rPr>
        <w:t>Citi</w:t>
      </w:r>
      <w:r>
        <w:rPr>
          <w:rFonts w:ascii="Times New Roman;Times;Serif" w:hAnsi="Times New Roman;Times;Serif"/>
          <w:b w:val="false"/>
          <w:i w:val="false"/>
          <w:caps w:val="false"/>
          <w:smallCaps w:val="false"/>
          <w:sz w:val="20"/>
        </w:rPr>
        <w:t>”) and Guggenheim Securities, LLC (“</w:t>
      </w:r>
      <w:r>
        <w:rPr>
          <w:rFonts w:ascii="Times New Roman;Times;Serif" w:hAnsi="Times New Roman;Times;Serif"/>
          <w:b/>
          <w:i w:val="false"/>
          <w:caps w:val="false"/>
          <w:smallCaps w:val="false"/>
          <w:sz w:val="20"/>
        </w:rPr>
        <w:t>Guggenheim Securities</w:t>
      </w:r>
      <w:r>
        <w:rPr>
          <w:rFonts w:ascii="Times New Roman;Times;Serif" w:hAnsi="Times New Roman;Times;Serif"/>
          <w:b w:val="false"/>
          <w:i w:val="false"/>
          <w:caps w:val="false"/>
          <w:smallCaps w:val="false"/>
          <w:sz w:val="20"/>
        </w:rPr>
        <w:t>” and together with Jefferies, Evercore and Citi,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as representatives of the several underwriters named in Schedule A to such agreement (collectively, the “</w:t>
      </w:r>
      <w:r>
        <w:rPr>
          <w:rFonts w:ascii="Times New Roman;Times;Serif" w:hAnsi="Times New Roman;Times;Serif"/>
          <w:b/>
          <w:i w:val="false"/>
          <w:caps w:val="false"/>
          <w:smallCaps w:val="false"/>
          <w:sz w:val="20"/>
        </w:rPr>
        <w:t>Equity Underwriters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i w:val="false"/>
          <w:caps w:val="false"/>
          <w:smallCaps w:val="false"/>
          <w:sz w:val="20"/>
        </w:rPr>
        <w:t>Equity Underwriting Agreement</w:t>
      </w:r>
      <w:r>
        <w:rPr>
          <w:rFonts w:ascii="Times New Roman;Times;Serif" w:hAnsi="Times New Roman;Times;Serif"/>
          <w:b w:val="false"/>
          <w:i w:val="false"/>
          <w:caps w:val="false"/>
          <w:smallCaps w:val="false"/>
          <w:sz w:val="20"/>
        </w:rPr>
        <w:t>”) with Zenas BioPharma,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providing for the public offering (the “</w:t>
      </w:r>
      <w:r>
        <w:rPr>
          <w:rFonts w:ascii="Times New Roman;Times;Serif" w:hAnsi="Times New Roman;Times;Serif"/>
          <w:b/>
          <w:i w:val="false"/>
          <w:caps w:val="false"/>
          <w:smallCaps w:val="false"/>
          <w:sz w:val="20"/>
        </w:rPr>
        <w:t>Equity Offering</w:t>
      </w:r>
      <w:r>
        <w:rPr>
          <w:rFonts w:ascii="Times New Roman;Times;Serif" w:hAnsi="Times New Roman;Times;Serif"/>
          <w:b w:val="false"/>
          <w:i w:val="false"/>
          <w:caps w:val="false"/>
          <w:smallCaps w:val="false"/>
          <w:sz w:val="20"/>
        </w:rPr>
        <w:t>”) by the several Equity Underwriters of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common stock,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 Jefferies, Evercore, Citi and Guggenheim Securities, as representatives of the several underwriters named in Schedule A to such agreement (collectively, the “</w:t>
      </w:r>
      <w:r>
        <w:rPr>
          <w:rFonts w:ascii="Times New Roman;Times;Serif" w:hAnsi="Times New Roman;Times;Serif"/>
          <w:b/>
          <w:i w:val="false"/>
          <w:caps w:val="false"/>
          <w:smallCaps w:val="false"/>
          <w:sz w:val="20"/>
        </w:rPr>
        <w:t>Debt Underwriters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i w:val="false"/>
          <w:caps w:val="false"/>
          <w:smallCaps w:val="false"/>
          <w:sz w:val="20"/>
        </w:rPr>
        <w:t>Debt Underwriting Agreement</w:t>
      </w:r>
      <w:r>
        <w:rPr>
          <w:rFonts w:ascii="Times New Roman;Times;Serif" w:hAnsi="Times New Roman;Times;Serif"/>
          <w:b w:val="false"/>
          <w:i w:val="false"/>
          <w:caps w:val="false"/>
          <w:smallCaps w:val="false"/>
          <w:sz w:val="20"/>
        </w:rPr>
        <w:t>” and together with the Equity Underwriting Agreement, the “</w:t>
      </w:r>
      <w:r>
        <w:rPr>
          <w:rFonts w:ascii="Times New Roman;Times;Serif" w:hAnsi="Times New Roman;Times;Serif"/>
          <w:b/>
          <w:i w:val="false"/>
          <w:caps w:val="false"/>
          <w:smallCaps w:val="false"/>
          <w:sz w:val="20"/>
        </w:rPr>
        <w:t>Underwriting Agreements</w:t>
      </w:r>
      <w:r>
        <w:rPr>
          <w:rFonts w:ascii="Times New Roman;Times;Serif" w:hAnsi="Times New Roman;Times;Serif"/>
          <w:b w:val="false"/>
          <w:i w:val="false"/>
          <w:caps w:val="false"/>
          <w:smallCaps w:val="false"/>
          <w:sz w:val="20"/>
        </w:rPr>
        <w:t>”) with the Company providing for the public offering (the “</w:t>
      </w:r>
      <w:r>
        <w:rPr>
          <w:rFonts w:ascii="Times New Roman;Times;Serif" w:hAnsi="Times New Roman;Times;Serif"/>
          <w:b/>
          <w:i w:val="false"/>
          <w:caps w:val="false"/>
          <w:smallCaps w:val="false"/>
          <w:sz w:val="20"/>
        </w:rPr>
        <w:t>Debt Offering</w:t>
      </w:r>
      <w:r>
        <w:rPr>
          <w:rFonts w:ascii="Times New Roman;Times;Serif" w:hAnsi="Times New Roman;Times;Serif"/>
          <w:b w:val="false"/>
          <w:i w:val="false"/>
          <w:caps w:val="false"/>
          <w:smallCaps w:val="false"/>
          <w:sz w:val="20"/>
        </w:rPr>
        <w:t>” and together with the Equity Offering, the “</w:t>
      </w:r>
      <w:r>
        <w:rPr>
          <w:rFonts w:ascii="Times New Roman;Times;Serif" w:hAnsi="Times New Roman;Times;Serif"/>
          <w:b/>
          <w:i w:val="false"/>
          <w:caps w:val="false"/>
          <w:smallCaps w:val="false"/>
          <w:sz w:val="20"/>
        </w:rPr>
        <w:t>Offerings</w:t>
      </w:r>
      <w:r>
        <w:rPr>
          <w:rFonts w:ascii="Times New Roman;Times;Serif" w:hAnsi="Times New Roman;Times;Serif"/>
          <w:b w:val="false"/>
          <w:i w:val="false"/>
          <w:caps w:val="false"/>
          <w:smallCaps w:val="false"/>
          <w:sz w:val="20"/>
        </w:rPr>
        <w:t>”) by the several Debt Underwriters of convertible senior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together with the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Notes will be convertible into Shares. In the event that the Company and the Representatives determine to only commence the Equity Offering, then references herein to the term “Offerings” and “Securities” shall mean the “Equity Offering” and “Shares”, respectively, while if such parties determine to only commence the Debt Offering, then references herein to the term “Offerings” and “Securities” shall mean the “Debt Offering” and “Notes”,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Equity Underwriters and the Debt Underwriters that may participate in the Offerings to continue their efforts in connection with the Offerings, the undersigned hereby agrees that, without the prior written consent of Jefferies on behalf of the Equity Underwriters and the Debt Underwriters, it will not, and will not publicly disclose an intention to, during the period commencing on the date hereof and ending 60 days after the date of the final prospectus supplements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relating to the Offerings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or on behalf of someone other than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paragraph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undersigned is not an officer or director of the Company, in transactions relating to shares of Common Stock or other securities acquired in the Offerings or in open market transactions after the pricing of the Offerings;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filing under Section 16(a) of the Exchange Act or other public announcement shall be required or shall be voluntarily made in connection with subsequent sales of Common Stock or other securities acquired in the Offerings or in such open market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transfers of shares of Common Stock or any other securities (i) as a bona fide gift or for bona fide estate planning purposes, (ii) to an immediate family member (as defined below) or to any trust for the direct or indirect benefit of the undersigned or an immediate family member of the undersigned, (iii) to any corporation, partnership, limited liability company, investment fund, trust or other entity of which the undersigned and the immediate family of the undersigned are the legal and beneficial owner of all of the outstanding equity securities or similar interests, or (iv) by will, other testamentary document or intestate succession to the legal representative, heir, beneficiary or an immediate family member of the undersigned;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transfer or distribution pursuant to this clause (b), (A) each donee, distributee or transferee shall sign and deliver a lock-up agreement substantially in the form of this agreement, (B) no filing under Section 16(a) of the Exchange Act or other public announcement, reporting a reduction in beneficial ownership of shares of Common Stock, shall be voluntarily made during the Restricted Period, (C) other than in the case of preceding clauses (i) and (iv), no filing under Section 16(a) of the Exchange Act or other public announcement, reporting a reduction in beneficial ownership of shares of Common Stock, shall be required during the Restricted Period (other than a required filing on Schedule 13D, 13F or 13G) and, to the extent a filing under Section 16(a) of the Exchange Act is required during the Restricted Period as a result of transfers pursuant to clauses (i) and (iv) of this paragraph, such filing shall clearly indicate in the footnotes thereto that the filing relates to the circumstances described in clause (i) or clause (iv) hereof, respectively, and (D) such transfer shall not involve a disposition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transfers of shares of Common Stock or any other securities to a charitable organization or educational institution in a transaction not involving a disposition for value;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transfer or distribution pursuant to this clause (c), (A) each transferee shall sign and deliver a lock-up agreement substantially in the form of this agreement and (B) no filing under Section 16(a) of the Exchange Act or other public announcement, reporting a reduction in beneficial ownership of shares of Common Stock, shall be voluntarily made during the Restricted Period and, to the extent a Form 4 or Form 5 filing under Section 16(a) of the Exchange Act is required during the Restricted Period as a result of transfers made pursuant to this clause (c), such filing shall clearly indicate in the footnotes thereto that the filing relates to the circumstances described in this clause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undersigned is a corporation, partnership, limited liability company, trust or other business entity, (i) transfers or distributions of shares of Common Stock or any other securities to current or former general or limited partners, managers or members, stockholders, other equityholders or direct or indirect affiliates (within the meaning of Rule 405 under the Securities Act of 1933, as amended) of the undersigned, or to the estates of any of the foregoing or (ii) transfers or distributions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transfer or distribution pursuant to this clause (d), (A) each distributee or transferee shall sign and deliver a lock-up agreement substantially in the form of this agreement, (B) no filing under Section 16(a) of the Exchange Act or other public announcement, reporting a reduction in beneficial ownership of shares of Common Stock, shall be required or shall be voluntarily made during the Restricted Period (other than a required filing on Schedule 13D, 13F or 13G), and (C) such transfer shall not involve a disposition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transfer of shares of Common Stock or any other securities to the Company to satisfy any tax, including estimated tax, remittance, or other payment obligations of the undersigned arising in connection with a vesting event of the Company’s securities, upon the settlement of restricted stock units or the payment due for the exercise of options (including a transfer to the Company for the “net” or “cashless” exercise of options) or other rights to purchase securities of the Company, in all such cases pursuant to equity awards granted under a stock incentive plan or other equity award plan of the Company described in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remaining shares of Common Stock or securities convertible into Common Stock received upon such vesting, settlement or exercise shall be subject to the terms of this agreement;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clause (e), such filing shall clearly indicate in the footnotes thereto that the filing relates to the circumstances described in this clause (e), including that (i) the securities remain subject to the terms of this agreement and (ii) that no securities were sold by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establishment or amendment of a trading plan pursuant to Rule 10b5-1 under the Exchange Act for the transfer of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plan does not provide for the transfer of Common Stock during the Restricted Period, and (ii) to the extent a filing under Section 16(a) of the Exchange Act or other public announcement is required or voluntarily made during the Restricted Period by or on behalf of the undersigned or the Company regarding the establishment of such plan, such announcement or filing shall include a statement to the effect that no transfer of Common Stock may be made under such plan during the Restricted Period and any such filing under Section 16(a) of the Exchange Act shall clearly indicate in the footnotes thereto that the filing relates to the circumstances described in this clause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transfer of shares of Common Stock or any other securities that occurs by operation of law pursuant to a qualified domestic order or in connection with a divorce settlement or other court order;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the transferee shall sign and deliver a lock-up agreement substantially in the form of this agreement, and (ii) and, to the extent a filing under Section 16(a) of the Exchange Act is required during the Restricted Period as a result of transfers made pursuant to this clause (g), such filing shall clearly indicate in the footnotes thereto that the filing relates to the circumstances described in this clause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transfers to the Company in connection with the repurchase of Common Stock in connection with the termination of the undersigned’s employment with the Company pursuant to contractual agreements with the Company as in effect as of the date of the Prospectus and described in the Prospectus;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clause (h), such filing shall clearly indicate in the footnotes thereto that the filing relates to the circumstances described in this clause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transfer of shares of Common Stock or any other securities pursuant to a bona fide third- party tender offer, merger, consolidation or other similar transaction that is approved by the Board of Directors of the Company, made to all holders of Common Stock involving a change of control (as defined below);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event that the change of control is not completed, the Common Stock or any other securities owned by the undersigned shall remain subject to the restrictions contained in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transfers with the prior written consent of Jefferies.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(i) “immediate family member” means the spouse, domestic partner, lineal descendant, father, mother, brother, sister, or any other person with whom the undersigned has a relationship by blood, marriage or adoption not more remote than first cousin and (ii) “change of control” shall mean the transfer (whether by tender offer, merger, consolidation or other similar transaction), in one transaction or a series of related transactions, to a person or group of affiliated persons (other than an Equity Underwriter and Debt Underwriter, as applicable, pursuant to the Offerings), of the Company’s voting securities if, after such transfer, such person or group of affiliated persons would hold more than 50% of the number of outstanding voting securities of the Company (or the surviving entity) and 50% of the voting control of the outstanding voting securities of the Company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undersigned agrees that, without the prior written consent of Jefferies on behalf of the Equity Underwriters and the Debt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or any security convertible into or exercisable or exchangeable for Common Stock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Equity Underwriters and the Debt Underwriters are relying upon this agreement in proceeding toward consummation of the Offerings. The undersigned further understands that this agreement is irrevocable and shall be binding upon the undersigned’s heirs, legal representatives,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Equity Underwriters and the Debt Underwriters have not provided any recommendation or investment advice nor have the Equity Underwriters and the Debt Underwriters solicited any action from the undersigned with respect to the Offerings of the Securities and the undersigned has consulted their own legal, accounting, financial, regulatory and tax advisors to the extent deemed appropriate. The undersigned further acknowledges and agrees that, although the Equity Underwriters and the Debt Underwriters may provide certain Regulation Best Interest and Form CRS disclosures or other related documentation to you in connection with the Offerings, the Equity Underwriters and the Debt Underwriters are not making a recommendation to you to participate in the Offerings or sell any Securities at the price determined in the Offerings, and nothing set forth in such disclosures or documentation is intended to suggest that any Equity Underwriter or Debt Underwriter is making such a recommendation. The undersigned further acknowledges and agrees that none of the Equity Underwriters and the Debt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Offerings actually occur depends on a number of factors, including market conditions. The Offerings will only be made pursuant to the Underwriting Agreements, the terms of which are subject to negotiation between the Company and the Equity Underwriters and the Debt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automatically terminate and the undersigned will be released from all obligations hereunder upon the earliest to occur, if any, of (a) the Company, on the one hand, or Jefferies, on the other hand, advising the other in writing that such party or parties have determined not to proceed with the Offerings prior to the execution of the Underwriting Agreements, (b) the date the registration statement on Form S-3 is withdrawn, (c) the date the Underwriting Agreements are terminated (other than the provisions thereof that survive termination pursuant to the terms thereof), if prior to the closing of the Offerings, and (d) April 30, 2026, if the Underwriting Agreements have not been executed by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7744" w:type="dxa"/>
        <w:jc w:val="left"/>
        <w:tblInd w:w="0" w:type="dxa"/>
        <w:tblLayout w:type="fixed"/>
        <w:tblCellMar>
          <w:top w:w="0" w:type="dxa"/>
          <w:left w:w="0" w:type="dxa"/>
          <w:bottom w:w="0" w:type="dxa"/>
          <w:right w:w="0" w:type="dxa"/>
        </w:tblCellMar>
      </w:tblPr>
      <w:tblGrid>
        <w:gridCol w:w="75"/>
        <w:gridCol w:w="1765"/>
        <w:gridCol w:w="5904"/>
      </w:tblGrid>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Securityholder (Print exact name)</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904"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caps w:val="false"/>
                <w:smallCaps w:val="false"/>
              </w:rPr>
            </w:pPr>
            <w:r>
              <w:rPr>
                <w:caps w:val="false"/>
                <w:smallCaps w:val="false"/>
              </w:rPr>
              <w:t> </w:t>
            </w:r>
          </w:p>
        </w:tc>
        <w:tc>
          <w:tcPr>
            <w:tcW w:w="5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signing in an individual capacity:</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Authorized Signatory (Print)</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Title of Authorized Signatory (Print)</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69"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(indicate capacity of person signing if signing as custodian, trustee, or on behalf of an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8" w:name="tm2610711d1_ex4-1.htm"/>
      <w:bookmarkStart w:id="29" w:name="kstm2610711d1_ex41"/>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ZENAS BIOPHARMA,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
        <w:gridCol w:w="9420"/>
        <w:gridCol w:w="276"/>
      </w:tblGrid>
      <w:tr>
        <w:trPr/>
        <w:tc>
          <w:tcPr>
            <w:tcW w:w="99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1. DEFINITIONS AND INCORPORATION BY REFERENCE</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DEFINITIONS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INCORPORATION BY REFERENCE OF TRUST INDENTURE ACT</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RULES OF CONSTRUCTION</w:t>
            </w:r>
          </w:p>
        </w:tc>
        <w:tc>
          <w:tcPr>
            <w:tcW w:w="276" w:type="dxa"/>
            <w:tcBorders/>
            <w:vAlign w:val="center"/>
          </w:tcPr>
          <w:p>
            <w:pPr>
              <w:pStyle w:val="TableContents"/>
              <w:bidi w:val="0"/>
              <w:spacing w:before="0" w:after="283"/>
              <w:jc w:val="right"/>
              <w:rPr/>
            </w:pPr>
            <w:r>
              <w:rPr/>
              <w:t>6</w:t>
            </w:r>
          </w:p>
        </w:tc>
      </w:tr>
      <w:tr>
        <w:trPr/>
        <w:tc>
          <w:tcPr>
            <w:tcW w:w="99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2. THE SECURITIES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ISSUABLE IN SERIES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ESTABLISHMENT OF TERMS OF SERIES OF SECURITIES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EXECUTION AND AUTHENTICATION</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REGISTRAR AND PAYING AGENT</w:t>
            </w:r>
          </w:p>
        </w:tc>
        <w:tc>
          <w:tcPr>
            <w:tcW w:w="276" w:type="dxa"/>
            <w:tcBorders/>
            <w:vAlign w:val="center"/>
          </w:tcPr>
          <w:p>
            <w:pPr>
              <w:pStyle w:val="TableContents"/>
              <w:bidi w:val="0"/>
              <w:spacing w:before="0" w:after="283"/>
              <w:jc w:val="right"/>
              <w:rPr/>
            </w:pPr>
            <w:r>
              <w:rPr/>
              <w:t>10</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PAYING AGENT TO HOLD ASSETS IN TRUST</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SECURITYHOLDER LISTS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 AND EXCHANGE</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REPLACEMENT SECURITIES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SECURITIES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2.10.</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WHEN TREASURY SECURITIES DISREGARDED; DETERMINATION OF HOLDERS’ ACTION</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2.11.</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TEMPORARY SECURITIES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2.12.</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CANCELLATION</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2.13.</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INTEREST; DEFAULTED INTEREST; COMPUTATION OF INTEREST</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2.14.</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CUSIP NUMBER</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2.15.</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PROVISIONS FOR GLOBAL SECURITIES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2.16.</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PERSONS DEEMED OWNERS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99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3. REDEMPTION</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 TO TRUSTEE</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r>
        <w:trPr/>
        <w:tc>
          <w:tcPr>
            <w:tcW w:w="5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SELECTION BY TRUSTEE OF SECURITIES TO BE REDEEMED</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60" w:type="dxa"/>
        <w:jc w:val="left"/>
        <w:tblInd w:w="0" w:type="dxa"/>
        <w:tblLayout w:type="fixed"/>
        <w:tblCellMar>
          <w:top w:w="0" w:type="dxa"/>
          <w:left w:w="0" w:type="dxa"/>
          <w:bottom w:w="0" w:type="dxa"/>
          <w:right w:w="0" w:type="dxa"/>
        </w:tblCellMar>
      </w:tblPr>
      <w:tblGrid>
        <w:gridCol w:w="515"/>
        <w:gridCol w:w="7670"/>
        <w:gridCol w:w="275"/>
      </w:tblGrid>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REDEMPTION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NOTICE OF REDEMPTION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 OF REDEMPTION PRICE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REDEEMED IN PART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r>
      <w:tr>
        <w:trPr/>
        <w:tc>
          <w:tcPr>
            <w:tcW w:w="818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4. COVENANTS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SECURITIES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REPORTS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STAY, EXTENSION OR USURY LAWS</w:t>
            </w:r>
          </w:p>
        </w:tc>
        <w:tc>
          <w:tcPr>
            <w:tcW w:w="275" w:type="dxa"/>
            <w:tcBorders/>
            <w:vAlign w:val="center"/>
          </w:tcPr>
          <w:p>
            <w:pPr>
              <w:pStyle w:val="TableContents"/>
              <w:bidi w:val="0"/>
              <w:spacing w:before="0" w:after="283"/>
              <w:jc w:val="right"/>
              <w:rPr/>
            </w:pPr>
            <w:r>
              <w:rPr/>
              <w:t>20</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CERTIFICATE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CORPORATE EXISTENCE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818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5. SUCCESSOR CORPORATION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5.1.</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ON CONSOLIDATION, MERGER AND SALE OF ASSETS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 PERSON SUBSTITUTED</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r>
      <w:tr>
        <w:trPr/>
        <w:tc>
          <w:tcPr>
            <w:tcW w:w="818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6. DEFAULTS AND REMEDIES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EVENTS OF DEFAULT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ACCELERATION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6.3.</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REMEDIES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PAST DEFAULTS AND EVENTS OF DEFAULT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CONTROL BY MAJORITY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6.6.</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ON SUITS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6.7.</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OF HOLDERS TO RECEIVE PAYMENT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6.8.</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SUIT BY TRUSTEE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6.9.</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MAY FILE PROOFS OF CLAIM</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6.10.</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6.11.</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UNDERTAKING FOR COSTS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030" w:type="dxa"/>
        <w:jc w:val="left"/>
        <w:tblInd w:w="0" w:type="dxa"/>
        <w:tblLayout w:type="fixed"/>
        <w:tblCellMar>
          <w:top w:w="0" w:type="dxa"/>
          <w:left w:w="0" w:type="dxa"/>
          <w:bottom w:w="0" w:type="dxa"/>
          <w:right w:w="0" w:type="dxa"/>
        </w:tblCellMar>
      </w:tblPr>
      <w:tblGrid>
        <w:gridCol w:w="515"/>
        <w:gridCol w:w="8240"/>
        <w:gridCol w:w="275"/>
      </w:tblGrid>
      <w:tr>
        <w:trPr/>
        <w:tc>
          <w:tcPr>
            <w:tcW w:w="875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7. TRUSTEE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DUTIES OF TRUSTEE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RIGHTS OF TRUSTEE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INDIVIDUAL RIGHTS OF TRUSTEE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TRUSTEE’S DISCLAIMER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7.5.</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DEFAULT</w:t>
            </w:r>
          </w:p>
        </w:tc>
        <w:tc>
          <w:tcPr>
            <w:tcW w:w="275" w:type="dxa"/>
            <w:tcBorders/>
            <w:vAlign w:val="center"/>
          </w:tcPr>
          <w:p>
            <w:pPr>
              <w:pStyle w:val="TableContents"/>
              <w:bidi w:val="0"/>
              <w:spacing w:before="0" w:after="283"/>
              <w:jc w:val="right"/>
              <w:rPr/>
            </w:pPr>
            <w:r>
              <w:rPr/>
              <w:t>30</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7.6.</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 BY TRUSTEE TO HOLDERS</w:t>
            </w:r>
          </w:p>
        </w:tc>
        <w:tc>
          <w:tcPr>
            <w:tcW w:w="275" w:type="dxa"/>
            <w:tcBorders/>
            <w:vAlign w:val="center"/>
          </w:tcPr>
          <w:p>
            <w:pPr>
              <w:pStyle w:val="TableContents"/>
              <w:bidi w:val="0"/>
              <w:spacing w:before="0" w:after="283"/>
              <w:jc w:val="right"/>
              <w:rPr/>
            </w:pPr>
            <w:r>
              <w:rPr/>
              <w:t>30</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7.7.</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AND INDEMNITY</w:t>
            </w:r>
          </w:p>
        </w:tc>
        <w:tc>
          <w:tcPr>
            <w:tcW w:w="275" w:type="dxa"/>
            <w:tcBorders/>
            <w:vAlign w:val="center"/>
          </w:tcPr>
          <w:p>
            <w:pPr>
              <w:pStyle w:val="TableContents"/>
              <w:bidi w:val="0"/>
              <w:spacing w:before="0" w:after="283"/>
              <w:jc w:val="right"/>
              <w:rPr/>
            </w:pPr>
            <w:r>
              <w:rPr/>
              <w:t>30</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7.8.</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REPLACEMENT OF TRUSTEE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7.9.</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 TRUSTEE BY CONSOLIDATION, MERGER OR CONVERSION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7.10.</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ELIGIBILITY; DISQUALIFICATION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7.11.</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PREFERENTIAL COLLECTION OF CLAIMS AGAINST COMPANY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7.12.</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PAYING AGENTS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875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8. AMENDMENTS, SUPPLEMENTS AND WAIVERS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WITHOUT CONSENT OF HOLDERS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CONSENT OF HOLDERS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8.3.</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TRUST INDENTURE ACT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8.4.</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REVOCATION AND EFFECT OF CONSENTS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8.5.</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NOTATION ON OR EXCHANGE OF SECURITIES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8.6.</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 TO SIGN AMENDMENTS, ETC.</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r>
      <w:tr>
        <w:trPr/>
        <w:tc>
          <w:tcPr>
            <w:tcW w:w="875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9. DISCHARGE OF INDENTURE; DEFEASANCE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9.1.</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DISCHARGE OF INDENTURE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9.2.</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DEFEASANCE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9.3.</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COVENANT DEFEASANCE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9.4.</w:t>
            </w:r>
          </w:p>
        </w:tc>
        <w:tc>
          <w:tcPr>
            <w:tcW w:w="8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TO LEGAL DEFEASANCE OR COVENANT DEFEASANCE</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6"/>
        <w:gridCol w:w="9323"/>
        <w:gridCol w:w="276"/>
      </w:tblGrid>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9.5.</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DEPOSITED MONEY AND U.S. AND FOREIGN GOVERNMENT OBLIGATIONS TO BE HELD IN TRUST; OTHER MISCELLANEOUS PROVISIONS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9.6.</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REINSTATEMENT</w:t>
            </w:r>
          </w:p>
        </w:tc>
        <w:tc>
          <w:tcPr>
            <w:tcW w:w="276" w:type="dxa"/>
            <w:tcBorders/>
            <w:vAlign w:val="center"/>
          </w:tcPr>
          <w:p>
            <w:pPr>
              <w:pStyle w:val="TableContents"/>
              <w:bidi w:val="0"/>
              <w:spacing w:before="0" w:after="283"/>
              <w:jc w:val="right"/>
              <w:rPr/>
            </w:pPr>
            <w:r>
              <w:rPr/>
              <w:t>40</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9.7.</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MONEYS HELD BY PAYING AGENT</w:t>
            </w:r>
          </w:p>
        </w:tc>
        <w:tc>
          <w:tcPr>
            <w:tcW w:w="276" w:type="dxa"/>
            <w:tcBorders/>
            <w:vAlign w:val="center"/>
          </w:tcPr>
          <w:p>
            <w:pPr>
              <w:pStyle w:val="TableContents"/>
              <w:bidi w:val="0"/>
              <w:spacing w:before="0" w:after="283"/>
              <w:jc w:val="right"/>
              <w:rPr/>
            </w:pPr>
            <w:r>
              <w:rPr/>
              <w:t>40</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9.8.</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MONEYS HELD BY TRUSTEE</w:t>
            </w:r>
          </w:p>
        </w:tc>
        <w:tc>
          <w:tcPr>
            <w:tcW w:w="276" w:type="dxa"/>
            <w:tcBorders/>
            <w:vAlign w:val="center"/>
          </w:tcPr>
          <w:p>
            <w:pPr>
              <w:pStyle w:val="TableContents"/>
              <w:bidi w:val="0"/>
              <w:spacing w:before="0" w:after="283"/>
              <w:jc w:val="right"/>
              <w:rPr/>
            </w:pPr>
            <w:r>
              <w:rPr/>
              <w:t>40</w:t>
            </w:r>
          </w:p>
        </w:tc>
      </w:tr>
      <w:tr>
        <w:trPr/>
        <w:tc>
          <w:tcPr>
            <w:tcW w:w="99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10. MISCELLANEOUS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 INDENTURE ACT CONTROLS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10.3.</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 BY HOLDERS WITH OTHER HOLDERS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CERTIFICATE AND OPINION AS TO CONDITIONS PRECEDENT</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10.5.</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STATEMENT REQUIRED IN CERTIFICATE AND OPINION</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10.6.</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RULES BY TRUSTEE AND AGENTS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10.7.</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DAYS; LEGAL HOLIDAYS; PLACE OF PAYMENT</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10.8.</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GOVERNING LAW</w:t>
            </w:r>
          </w:p>
        </w:tc>
        <w:tc>
          <w:tcPr>
            <w:tcW w:w="276" w:type="dxa"/>
            <w:tcBorders/>
            <w:vAlign w:val="center"/>
          </w:tcPr>
          <w:p>
            <w:pPr>
              <w:pStyle w:val="TableContents"/>
              <w:bidi w:val="0"/>
              <w:spacing w:before="0" w:after="283"/>
              <w:jc w:val="right"/>
              <w:rPr/>
            </w:pPr>
            <w:r>
              <w:rPr>
                <w:rFonts w:ascii="Times New Roman;Times;Serif" w:hAnsi="Times New Roman;Times;Serif"/>
              </w:rPr>
              <w:t>4</w:t>
            </w:r>
            <w:r>
              <w:rPr/>
              <w:t>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10.9.</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ADVERSE INTERPRETATION OF OTHER AGREEMENTS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10.10.</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RECOURSE AGAINST OTHERS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10.11.</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SUCCESSORS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10.12.</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MULTIPLE COUNTERPARTS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10.13.</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TABLE OF CONTENTS, HEADINGS, ETC.</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10.14.</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SEVERABILITY</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10.15.</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IN A FOREIGN CURRENCY OR IN EUROS</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r>
        <w:trPr/>
        <w:tc>
          <w:tcPr>
            <w:tcW w:w="6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10.16.</w:t>
            </w:r>
          </w:p>
        </w:tc>
        <w:tc>
          <w:tcPr>
            <w:tcW w:w="93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JUDGMENT CURRENCY</w:t>
            </w:r>
          </w:p>
        </w:tc>
        <w:tc>
          <w:tcPr>
            <w:tcW w:w="2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28" w:type="dxa"/>
          <w:right w:w="0" w:type="dxa"/>
        </w:tblCellMar>
      </w:tblPr>
      <w:tblGrid>
        <w:gridCol w:w="1715"/>
        <w:gridCol w:w="60"/>
        <w:gridCol w:w="2105"/>
      </w:tblGrid>
      <w:tr>
        <w:trPr/>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TIA SECTION</w:t>
            </w:r>
          </w:p>
        </w:tc>
        <w:tc>
          <w:tcPr>
            <w:tcW w:w="60" w:type="dxa"/>
            <w:tcBorders/>
            <w:tcMar>
              <w:bottom w:w="0" w:type="dxa"/>
            </w:tcMar>
            <w:vAlign w:val="center"/>
          </w:tcPr>
          <w:p>
            <w:pPr>
              <w:pStyle w:val="TableContents"/>
              <w:bidi w:val="0"/>
              <w:spacing w:before="0" w:after="283"/>
              <w:jc w:val="left"/>
              <w:rPr/>
            </w:pPr>
            <w:r>
              <w:rPr/>
              <w:t> </w:t>
            </w:r>
          </w:p>
        </w:tc>
        <w:tc>
          <w:tcPr>
            <w:tcW w:w="21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INDENTURE SECTION</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310(a)(3)(4)</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 7.10</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310(c)</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311(c)</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312(b)(c)</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313(c)</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 10.2</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314(a)</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4.4; 10.2</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314(c)(1)(2)</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 10.5</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314(c)(3)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314(d)</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314(f)</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Inapplicable</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7.1, 7.2</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315(b)</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 10.2</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315(d)</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 7.2</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316(a)(last sentence)</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316(a)(1)(B)</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316(b)</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317(a)(1)</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317(b)</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 7.12</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318(a)</w:t>
            </w:r>
          </w:p>
        </w:tc>
        <w:tc>
          <w:tcPr>
            <w:tcW w:w="60" w:type="dxa"/>
            <w:tcBorders/>
            <w:tcMar>
              <w:bottom w:w="0" w:type="dxa"/>
            </w:tcMar>
            <w:vAlign w:val="center"/>
          </w:tcPr>
          <w:p>
            <w:pPr>
              <w:pStyle w:val="TableContents"/>
              <w:bidi w:val="0"/>
              <w:spacing w:before="0" w:after="283"/>
              <w:jc w:val="left"/>
              <w:rPr/>
            </w:pPr>
            <w:r>
              <w:rPr/>
              <w:t> </w:t>
            </w:r>
          </w:p>
        </w:tc>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Cross-Reference Table shall not, for any purpose, be deemed to be a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March 31, 2026 by and between Zenas BioPharma, Inc., a Delaware corporation, as Issuer (the “Company”) and U.S. Bank Trust Company, National Association,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make this Indenture a valid agreement of the Company in accordance with its terms have been done, and the execution and delivery thereof have been in all respects duly authorized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Securities by the Holders thereof, it is mutually agreed, for the equal and proportionate benefit of all Holders of the Securities of a Series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912"/>
        <w:gridCol w:w="8102"/>
      </w:tblGrid>
      <w:tr>
        <w:trPr/>
        <w:tc>
          <w:tcPr>
            <w:tcW w:w="19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pPr>
            <w:r>
              <w:rPr/>
              <w:t>1.1.</w:t>
            </w:r>
          </w:p>
        </w:tc>
        <w:tc>
          <w:tcPr>
            <w:tcW w:w="8102" w:type="dxa"/>
            <w:tcBorders/>
            <w:vAlign w:val="center"/>
          </w:tcPr>
          <w:p>
            <w:pPr>
              <w:pStyle w:val="TableContents"/>
              <w:bidi w:val="0"/>
              <w:spacing w:before="0" w:after="283"/>
              <w:jc w:val="left"/>
              <w:rPr/>
            </w:pPr>
            <w:r>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Agent” means any Registrar, Paying Agent, co-registrar or agent for service of notices and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 the Board of Directors of the Company or any committee duly authorized to act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party named as such in the first paragraph of this Indenture until a successor replaces such party pursuant to ARTICLE 5 of this Indenture, and thereafter means the successor and any other primary obligor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Order” means a written order signed in the name of the Company by two Officers, one of whom must be its Chief Executive Officer, its Chief Financial Officer and Chief Business Officer, Chief Operating Officer or its Vice President,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Request” means any written request signed in the name of the Company by its Chief Executive Officer, its President, any Vice President, its Chief Financial Officer and Chief Business Officer, Chief Operating Officer or its Treasurer and attested to by its Secretary or any Assistant Secretary or one of the aforementioned officers who is not the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office of the Trustee at the address specified in Section 10.2 or such other address as to which the Trustee may give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that is, or that with the passing of time or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Dollars” means the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Euro” means the single currency of participating member states of the economic and monetary union as contemplated in the Treaty on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means any currency or currency unit issued by a government other than the government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generally accepted accounting principles consistently applied as in effect in the United States of America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Holder” or “Securityholder” means the Person in whose name a Security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Indenture as amended, restated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Payment Date,” when used with respect to any Security, means the Stated Maturity of an installment of interest on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Officer” means the Chief Executive Officer, the President, any Vice President, the Chief Financial Officer and Chief Business Officer, the Chief Operating Officer, the Treasurer or the Secretary of the Company, or any other officer designated by the Board of Directors,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with respect to any Person, a certificate signed by the Chief Executive Officer, President or any Senior or Executive Vice President and the Chief Financial Officer and Chief Business Officer, Chief Operating Officer, Vice President, Finance or any Treasurer of such Person, that shall comply with applicable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Opinion of Counsel” means a written opinion from legal counsel, which counsel is reasonably acceptable to the Trustee. The counsel may be an employee of or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limited liability company, partnership, joint venture, association, joint-stock company, trust, unincorporated organization or government (including any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Redemption Date,” when used with respect to any Security to be redeemed, means the date fixed for such redemption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Responsible Officer,” when used with respect to the Trustee, means any officer within the Corporate Trust Office of the Trustee including any vice president, assistant vice president, assistant secretary, assistant treasurer or any other officer of the Trustee who shall have direct responsibility for the administration of this Indenture, or any other officer of the Trustee to whom such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United States Securities and Exchange Commission as constituted from time to time, or any successor performing substantially the same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securities that are issued under this Indenture, as amended or supplemented from time to time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Series” or “Series of Securities” means each series of debentures, notes or other debt instruments of the Company created pursuant to Sections 2.1 and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TIA” means the Trust Indenture Act of 1939 (15 U.S. Code Section 77aaa-77bbbb) as in effect on the date of this Indenture (except as provided in Section 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non-callable obligations of, or non-callable obligations guaranteed by, the United States of America for the payment of which obligation or guarantee the full faith and credit of the United States of America is pledged.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508"/>
        <w:gridCol w:w="9647"/>
      </w:tblGrid>
      <w:tr>
        <w:trPr/>
        <w:tc>
          <w:tcPr>
            <w:tcW w:w="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1.2.</w:t>
            </w:r>
          </w:p>
        </w:tc>
        <w:tc>
          <w:tcPr>
            <w:tcW w:w="9647" w:type="dxa"/>
            <w:tcBorders/>
            <w:vAlign w:val="center"/>
          </w:tcPr>
          <w:p>
            <w:pPr>
              <w:pStyle w:val="TableContents"/>
              <w:bidi w:val="0"/>
              <w:spacing w:before="0" w:after="283"/>
              <w:jc w:val="left"/>
              <w:rPr/>
            </w:pPr>
            <w:r>
              <w:rPr/>
              <w:t>INCORPORATION BY REFERENCE OF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securities”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securityholder” means a Holder or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to be qualified”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or “institutional trustee” means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obligor on the indenture securities” means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in the TIA by reference to another statute or defined by SEC rule have the meanings therein assigned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1067"/>
        <w:gridCol w:w="9032"/>
      </w:tblGrid>
      <w:tr>
        <w:trPr/>
        <w:tc>
          <w:tcPr>
            <w:tcW w:w="10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pPr>
            <w:r>
              <w:rPr/>
              <w:t>1.3.</w:t>
            </w:r>
          </w:p>
        </w:tc>
        <w:tc>
          <w:tcPr>
            <w:tcW w:w="9032" w:type="dxa"/>
            <w:tcBorders/>
            <w:vAlign w:val="center"/>
          </w:tcPr>
          <w:p>
            <w:pPr>
              <w:pStyle w:val="TableContents"/>
              <w:bidi w:val="0"/>
              <w:spacing w:before="0" w:after="283"/>
              <w:jc w:val="left"/>
              <w:rPr/>
            </w:pPr>
            <w:r>
              <w:rPr/>
              <w:t>RULES OF CONSTRUCTION.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term has the meaning assigned to it herein, whether defined expressly or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accounting term not otherwise defined has the meaning assigned to it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words used herein implying any gender shall apply to each gender;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words “herein”, “hereof” and “hereunder”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t>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352"/>
        <w:gridCol w:w="8718"/>
      </w:tblGrid>
      <w:tr>
        <w:trPr/>
        <w:tc>
          <w:tcPr>
            <w:tcW w:w="1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pPr>
            <w:r>
              <w:rPr/>
              <w:t>2.1.</w:t>
            </w:r>
          </w:p>
        </w:tc>
        <w:tc>
          <w:tcPr>
            <w:tcW w:w="8718" w:type="dxa"/>
            <w:tcBorders/>
            <w:vAlign w:val="center"/>
          </w:tcPr>
          <w:p>
            <w:pPr>
              <w:pStyle w:val="TableContents"/>
              <w:bidi w:val="0"/>
              <w:spacing w:before="0" w:after="283"/>
              <w:jc w:val="left"/>
              <w:rPr/>
            </w:pPr>
            <w:r>
              <w:rPr/>
              <w:t>ISSUABLE IN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568"/>
        <w:gridCol w:w="9581"/>
      </w:tblGrid>
      <w:tr>
        <w:trPr/>
        <w:tc>
          <w:tcPr>
            <w:tcW w:w="5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2.2.</w:t>
            </w:r>
          </w:p>
        </w:tc>
        <w:tc>
          <w:tcPr>
            <w:tcW w:w="9581" w:type="dxa"/>
            <w:tcBorders/>
            <w:vAlign w:val="center"/>
          </w:tcPr>
          <w:p>
            <w:pPr>
              <w:pStyle w:val="TableContents"/>
              <w:bidi w:val="0"/>
              <w:spacing w:before="0" w:after="283"/>
              <w:jc w:val="left"/>
              <w:rPr/>
            </w:pPr>
            <w:r>
              <w:rPr/>
              <w:t>ESTABLISHMENT OF TERMS OF SERIES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Series (which shall distinguish the Securities of that particular Series from the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price or prices (expressed as a percentage of the principal amount thereof) at which the Securities of the Series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place or places where the principal of, and interest and premium, if any, on, the Securities of the Series shall be payable, or the method of such payment, if by wire transfer, mail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denominations of $1,000 and any integral multiple thereof, the denominations in which the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forms of the Securities of the Series in bearer (if to be issued outside of the United States of America) or fully registered form (and, if in fully registered form, whether the Securities will be issuable as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designation of the currency, currencies or currency units in which payment of the principal of, and interest and premium, if any, on, the Securities of the Series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provisions, if any, relating to any collateral provided for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addition to or change in the covenants set forth in ARTICLE 4 or ARTICLE 5 that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terms and conditions, if any, for conversion of the Securities into or exchange of the Securities for shares of common stock or preferred stock of the Company that apply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any depositories, interest rate calculation agents, exchange rate calculation agents or other agents with respect to Securities of such Series if other than those appointed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terms and conditions, if any, upon which the Securities shall be subordinated in right of payment to other Indebtedness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if applicable, that the Securities of the Series, in whole or any specified part, shall be defeasible pursuant to Article 9;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any other terms of the Securities of the Series (which terms shall not be inconsistent with the provisions of this Indenture, except as permitted by Section 8.1, but which may modify or delete any provision of this Indenture insofar as it applies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15"/>
        <w:gridCol w:w="9309"/>
      </w:tblGrid>
      <w:tr>
        <w:trPr/>
        <w:tc>
          <w:tcPr>
            <w:tcW w:w="8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pPr>
            <w:r>
              <w:rPr/>
              <w:t>2.3.</w:t>
            </w:r>
          </w:p>
        </w:tc>
        <w:tc>
          <w:tcPr>
            <w:tcW w:w="9309" w:type="dxa"/>
            <w:tcBorders/>
            <w:vAlign w:val="center"/>
          </w:tcPr>
          <w:p>
            <w:pPr>
              <w:pStyle w:val="TableContents"/>
              <w:bidi w:val="0"/>
              <w:spacing w:before="0" w:after="283"/>
              <w:jc w:val="left"/>
              <w:rPr/>
            </w:pPr>
            <w:r>
              <w:rPr/>
              <w:t>EXECUTION AND 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on behalf of the Company by two Officers of the Company or an Officer and an Assistant Secretary of the Company. Each such signature may be either manual, electronic or facsimile. The Company’s seal may be impressed, affixed, imprinted or reproduced on the Securities and may be in facsimile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7.1)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any Series: (a) if the Trustee, being advised in writing by outside counsel, determines that such action may not lawfully be taken; or (b) if the Trustee in good faith shall reasonably determine that such action would expose the Trustee to personal liability, or cause it to have a conflict of interest with respect to Holders of any then outstanding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888"/>
        <w:gridCol w:w="9229"/>
      </w:tblGrid>
      <w:tr>
        <w:trPr/>
        <w:tc>
          <w:tcPr>
            <w:tcW w:w="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2.4.</w:t>
            </w:r>
          </w:p>
        </w:tc>
        <w:tc>
          <w:tcPr>
            <w:tcW w:w="9229" w:type="dxa"/>
            <w:tcBorders/>
            <w:vAlign w:val="center"/>
          </w:tcPr>
          <w:p>
            <w:pPr>
              <w:pStyle w:val="TableContents"/>
              <w:bidi w:val="0"/>
              <w:spacing w:before="0" w:after="283"/>
              <w:jc w:val="left"/>
              <w:rPr/>
            </w:pPr>
            <w:r>
              <w:rPr/>
              <w:t>REGISTRAR AND PAYING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except for any service of process upon the Company.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enter into an appropriate agency agreement with any Registrar or Paying Agent not a party to this Indenture. The agreement shall implement the provisions of this Indenture that relate to such Agent. The Company shall notify the Trustee in writing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694"/>
        <w:gridCol w:w="9442"/>
      </w:tblGrid>
      <w:tr>
        <w:trPr/>
        <w:tc>
          <w:tcPr>
            <w:tcW w:w="6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pPr>
            <w:r>
              <w:rPr/>
              <w:t>2.5.</w:t>
            </w:r>
          </w:p>
        </w:tc>
        <w:tc>
          <w:tcPr>
            <w:tcW w:w="9442" w:type="dxa"/>
            <w:tcBorders/>
            <w:vAlign w:val="center"/>
          </w:tcPr>
          <w:p>
            <w:pPr>
              <w:pStyle w:val="TableContents"/>
              <w:bidi w:val="0"/>
              <w:spacing w:before="0" w:after="283"/>
              <w:jc w:val="left"/>
              <w:rPr/>
            </w:pPr>
            <w:r>
              <w:rPr/>
              <w:t>PAYING AGENT TO HOLD ASSETS IN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133"/>
        <w:gridCol w:w="8959"/>
      </w:tblGrid>
      <w:tr>
        <w:trPr/>
        <w:tc>
          <w:tcPr>
            <w:tcW w:w="11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pPr>
            <w:r>
              <w:rPr/>
              <w:t>2.6.</w:t>
            </w:r>
          </w:p>
        </w:tc>
        <w:tc>
          <w:tcPr>
            <w:tcW w:w="8959" w:type="dxa"/>
            <w:tcBorders/>
            <w:vAlign w:val="center"/>
          </w:tcPr>
          <w:p>
            <w:pPr>
              <w:pStyle w:val="TableContents"/>
              <w:bidi w:val="0"/>
              <w:spacing w:before="0" w:after="283"/>
              <w:jc w:val="left"/>
              <w:rPr/>
            </w:pPr>
            <w:r>
              <w:rPr/>
              <w:t>SECURITYHOLDER LISTS.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021"/>
        <w:gridCol w:w="9083"/>
      </w:tblGrid>
      <w:tr>
        <w:trPr/>
        <w:tc>
          <w:tcPr>
            <w:tcW w:w="1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2.7.</w:t>
            </w:r>
          </w:p>
        </w:tc>
        <w:tc>
          <w:tcPr>
            <w:tcW w:w="9083" w:type="dxa"/>
            <w:tcBorders/>
            <w:vAlign w:val="center"/>
          </w:tcPr>
          <w:p>
            <w:pPr>
              <w:pStyle w:val="TableContents"/>
              <w:bidi w:val="0"/>
              <w:spacing w:before="0" w:after="283"/>
              <w:jc w:val="left"/>
              <w:rPr/>
            </w:pPr>
            <w:r>
              <w:rPr/>
              <w:t>TRANSFER AND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issued as Global Securities, the provisions of Section 2.15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1038"/>
        <w:gridCol w:w="9064"/>
      </w:tblGrid>
      <w:tr>
        <w:trPr/>
        <w:tc>
          <w:tcPr>
            <w:tcW w:w="1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2.8.</w:t>
            </w:r>
          </w:p>
        </w:tc>
        <w:tc>
          <w:tcPr>
            <w:tcW w:w="9064" w:type="dxa"/>
            <w:tcBorders/>
            <w:vAlign w:val="center"/>
          </w:tcPr>
          <w:p>
            <w:pPr>
              <w:pStyle w:val="TableContents"/>
              <w:bidi w:val="0"/>
              <w:spacing w:before="0" w:after="283"/>
              <w:jc w:val="left"/>
              <w:rPr/>
            </w:pPr>
            <w:r>
              <w:rPr/>
              <w:t>REPLACEMENT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041"/>
        <w:gridCol w:w="9060"/>
      </w:tblGrid>
      <w:tr>
        <w:trPr/>
        <w:tc>
          <w:tcPr>
            <w:tcW w:w="1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pPr>
            <w:r>
              <w:rPr/>
              <w:t>2.9.</w:t>
            </w:r>
          </w:p>
        </w:tc>
        <w:tc>
          <w:tcPr>
            <w:tcW w:w="9060" w:type="dxa"/>
            <w:tcBorders/>
            <w:vAlign w:val="center"/>
          </w:tcPr>
          <w:p>
            <w:pPr>
              <w:pStyle w:val="TableContents"/>
              <w:bidi w:val="0"/>
              <w:spacing w:before="0" w:after="283"/>
              <w:jc w:val="left"/>
              <w:rPr/>
            </w:pPr>
            <w:r>
              <w:rPr/>
              <w:t>OUTSTANDING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outstanding at any time are all Securities authenticated by the Trustee, except for those canceled by it, those delivered to it for cancellation and those described in this Section 2.9 as not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does not cease to be outstanding solely because the Company or an Affiliate holds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6"/>
        <w:gridCol w:w="9672"/>
      </w:tblGrid>
      <w:tr>
        <w:trPr/>
        <w:tc>
          <w:tcPr>
            <w:tcW w:w="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2.10.</w:t>
            </w:r>
          </w:p>
        </w:tc>
        <w:tc>
          <w:tcPr>
            <w:tcW w:w="9672" w:type="dxa"/>
            <w:tcBorders/>
            <w:vAlign w:val="center"/>
          </w:tcPr>
          <w:p>
            <w:pPr>
              <w:pStyle w:val="TableContents"/>
              <w:bidi w:val="0"/>
              <w:spacing w:before="0" w:after="283"/>
              <w:jc w:val="left"/>
              <w:rPr/>
            </w:pPr>
            <w:r>
              <w:rPr/>
              <w:t>WHEN TREASURY SECURITIES DISREGARDED; DETERMINATION OF HOLDERS’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a Responsible Officer of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1422"/>
        <w:gridCol w:w="8675"/>
      </w:tblGrid>
      <w:tr>
        <w:trPr/>
        <w:tc>
          <w:tcPr>
            <w:tcW w:w="10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pPr>
            <w:r>
              <w:rPr/>
              <w:t>2.11.</w:t>
            </w:r>
          </w:p>
        </w:tc>
        <w:tc>
          <w:tcPr>
            <w:tcW w:w="8675" w:type="dxa"/>
            <w:tcBorders/>
            <w:vAlign w:val="center"/>
          </w:tcPr>
          <w:p>
            <w:pPr>
              <w:pStyle w:val="TableContents"/>
              <w:bidi w:val="0"/>
              <w:spacing w:before="0" w:after="283"/>
              <w:jc w:val="left"/>
              <w:rPr/>
            </w:pPr>
            <w:r>
              <w:rPr/>
              <w:t>TEMPORARY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execute, and, upon receipt of a Company Order, the Trustee shall authenticate and deliver,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upon receipt of a Company Order, the Trustee shall authenticate and deliver, definitive Securities in exchange for temporary Securities without charge to the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2011"/>
        <w:gridCol w:w="8042"/>
      </w:tblGrid>
      <w:tr>
        <w:trPr/>
        <w:tc>
          <w:tcPr>
            <w:tcW w:w="152"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pPr>
            <w:r>
              <w:rPr/>
              <w:t>2.12.</w:t>
            </w:r>
          </w:p>
        </w:tc>
        <w:tc>
          <w:tcPr>
            <w:tcW w:w="8042" w:type="dxa"/>
            <w:tcBorders/>
            <w:vAlign w:val="center"/>
          </w:tcPr>
          <w:p>
            <w:pPr>
              <w:pStyle w:val="TableContents"/>
              <w:bidi w:val="0"/>
              <w:spacing w:before="0" w:after="283"/>
              <w:jc w:val="left"/>
              <w:rPr/>
            </w:pPr>
            <w:r>
              <w:rPr/>
              <w:t>CANCELLATION.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at the written direction of the Company, or, at the written direction of the Company, the Registrar or the Paying Agent (if the Trustee is not serving in those capacities), and no one else, shall cancel and dispose of (subject to the record retention requirements of the Exchange Act and the Trustee) in accordance with its standard procedures,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527"/>
        <w:gridCol w:w="9639"/>
      </w:tblGrid>
      <w:tr>
        <w:trPr/>
        <w:tc>
          <w:tcPr>
            <w:tcW w:w="3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2.13.</w:t>
            </w:r>
          </w:p>
        </w:tc>
        <w:tc>
          <w:tcPr>
            <w:tcW w:w="9639" w:type="dxa"/>
            <w:tcBorders/>
            <w:vAlign w:val="center"/>
          </w:tcPr>
          <w:p>
            <w:pPr>
              <w:pStyle w:val="TableContents"/>
              <w:bidi w:val="0"/>
              <w:spacing w:before="0" w:after="283"/>
              <w:jc w:val="left"/>
              <w:rPr/>
            </w:pPr>
            <w:r>
              <w:rPr/>
              <w:t>PAYMENT OF INTEREST; DEFAULTED INTEREST; COMPUTATION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delivered to each Securityholder, with a copy to the Trustee, a notice that states the special record date, the payment date and the amount of defaulted interest, and interest payable on such defaulted interest, if any,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2.2 for Securities of any Series, interest on the Securities of each Series shall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2097"/>
        <w:gridCol w:w="7949"/>
      </w:tblGrid>
      <w:tr>
        <w:trPr/>
        <w:tc>
          <w:tcPr>
            <w:tcW w:w="15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pPr>
            <w:r>
              <w:rPr/>
              <w:t>2.14.</w:t>
            </w:r>
          </w:p>
        </w:tc>
        <w:tc>
          <w:tcPr>
            <w:tcW w:w="7949" w:type="dxa"/>
            <w:tcBorders/>
            <w:vAlign w:val="center"/>
          </w:tcPr>
          <w:p>
            <w:pPr>
              <w:pStyle w:val="TableContents"/>
              <w:bidi w:val="0"/>
              <w:spacing w:before="0" w:after="283"/>
              <w:jc w:val="left"/>
              <w:rPr/>
            </w:pPr>
            <w:r>
              <w:rPr/>
              <w:t>CUSIP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 The Company shall promptly notify the Trustee in writing of any change in the “CUSIP” numbers assigned to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997"/>
        <w:gridCol w:w="9133"/>
      </w:tblGrid>
      <w:tr>
        <w:trPr/>
        <w:tc>
          <w:tcPr>
            <w:tcW w:w="7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pPr>
            <w:r>
              <w:rPr/>
              <w:t>2.15.</w:t>
            </w:r>
          </w:p>
        </w:tc>
        <w:tc>
          <w:tcPr>
            <w:tcW w:w="9133" w:type="dxa"/>
            <w:tcBorders/>
            <w:vAlign w:val="center"/>
          </w:tcPr>
          <w:p>
            <w:pPr>
              <w:pStyle w:val="TableContents"/>
              <w:bidi w:val="0"/>
              <w:spacing w:before="0" w:after="283"/>
              <w:jc w:val="left"/>
              <w:rPr/>
            </w:pPr>
            <w:r>
              <w:rPr/>
              <w:t>PROVISIONS FOR GLOBAL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Global Security issued hereunder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Depository,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312"/>
        <w:gridCol w:w="8794"/>
      </w:tblGrid>
      <w:tr>
        <w:trPr/>
        <w:tc>
          <w:tcPr>
            <w:tcW w:w="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pPr>
            <w:r>
              <w:rPr/>
              <w:t>2.16.</w:t>
            </w:r>
          </w:p>
        </w:tc>
        <w:tc>
          <w:tcPr>
            <w:tcW w:w="8794" w:type="dxa"/>
            <w:tcBorders/>
            <w:vAlign w:val="center"/>
          </w:tcPr>
          <w:p>
            <w:pPr>
              <w:pStyle w:val="TableContents"/>
              <w:bidi w:val="0"/>
              <w:spacing w:before="0" w:after="283"/>
              <w:jc w:val="left"/>
              <w:rPr/>
            </w:pPr>
            <w:r>
              <w:rP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REDEMPTION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260"/>
        <w:gridCol w:w="8820"/>
      </w:tblGrid>
      <w:tr>
        <w:trPr/>
        <w:tc>
          <w:tcPr>
            <w:tcW w:w="12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pPr>
            <w:r>
              <w:rPr/>
              <w:t>3.1.</w:t>
            </w:r>
          </w:p>
        </w:tc>
        <w:tc>
          <w:tcPr>
            <w:tcW w:w="8820" w:type="dxa"/>
            <w:tcBorders/>
            <w:vAlign w:val="center"/>
          </w:tcPr>
          <w:p>
            <w:pPr>
              <w:pStyle w:val="TableContents"/>
              <w:bidi w:val="0"/>
              <w:spacing w:before="0" w:after="283"/>
              <w:jc w:val="left"/>
              <w:rPr/>
            </w:pPr>
            <w:r>
              <w:rPr/>
              <w:t>NOTICES TO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in writing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526"/>
        <w:gridCol w:w="9627"/>
      </w:tblGrid>
      <w:tr>
        <w:trPr/>
        <w:tc>
          <w:tcPr>
            <w:tcW w:w="5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3.2.</w:t>
            </w:r>
          </w:p>
        </w:tc>
        <w:tc>
          <w:tcPr>
            <w:tcW w:w="9627" w:type="dxa"/>
            <w:tcBorders/>
            <w:vAlign w:val="center"/>
          </w:tcPr>
          <w:p>
            <w:pPr>
              <w:pStyle w:val="TableContents"/>
              <w:bidi w:val="0"/>
              <w:spacing w:before="0" w:after="283"/>
              <w:jc w:val="left"/>
              <w:rPr/>
            </w:pPr>
            <w:r>
              <w:rPr/>
              <w:t>SELECTION BY TRUSTEE OF SECURITIES TO BE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subject, in the case of Global Securities, to the applicable rules and procedures of the Depository and, if such Securities are listed on any securities exchange, by a method that complies with the requirements of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 Notwithstanding the above, the applicable procedures of the Depository regarding the selection of Securities issued as Global Securities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Agent will have any responsibility for any action taken or not taken by the Depository. The Trustee and the Paying Agent will have no responsibility or obligation to any beneficial owner of a Global Security or a depository participant or other Person with respect to the accuracy of the records of the Depository or its nominee or of any participant or member thereof with respect to any ownership interest in the Securities or with respect to the delivery to any participant, member, beneficial owner or other Person (other than the Depository) of any notice (including any Redemption Notice) or the payment of any amount, under or with respect to such Securities. The rights of beneficial owners in any Global Securities will be exercised only through the Depository subject to the Depository Procedures. The Trustee may rely and shall be fully protected in relying upon information furnished by the Depository with respect to its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133"/>
        <w:gridCol w:w="8959"/>
      </w:tblGrid>
      <w:tr>
        <w:trPr/>
        <w:tc>
          <w:tcPr>
            <w:tcW w:w="11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pPr>
            <w:r>
              <w:rPr/>
              <w:t>3.3.</w:t>
            </w:r>
          </w:p>
        </w:tc>
        <w:tc>
          <w:tcPr>
            <w:tcW w:w="8959" w:type="dxa"/>
            <w:tcBorders/>
            <w:vAlign w:val="center"/>
          </w:tcPr>
          <w:p>
            <w:pPr>
              <w:pStyle w:val="TableContents"/>
              <w:bidi w:val="0"/>
              <w:spacing w:before="0" w:after="283"/>
              <w:jc w:val="left"/>
              <w:rPr/>
            </w:pPr>
            <w:r>
              <w:rPr/>
              <w:t>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or, with respect to Securities issued as Global Securities, such notice shall be delivered in accordance with the applicable procedures of the Depository. The notice shall identify the Securities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price, and that such redemption price shall become due and payable on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Securities of a Series called for redemption must be surrendered to the Paying Agent to collect the redemption price, and the place or places where each such Security is to be surrendered for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CUSIP number, if any, printed on the Securities being redeemed;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that no representation is made as to the correctness or accuracy of the CUSIP number, if any, listed in such notice or printed 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the Company’s sole expense; provided, however, that the Company has delivered to the Trustee prior to the notice date, an Officers’ Certificate requesting that the Trustee give such notice and setting forth the information to be stated in such notice and the form of such notice.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18"/>
        <w:gridCol w:w="9306"/>
      </w:tblGrid>
      <w:tr>
        <w:trPr/>
        <w:tc>
          <w:tcPr>
            <w:tcW w:w="8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3.4.</w:t>
            </w:r>
          </w:p>
        </w:tc>
        <w:tc>
          <w:tcPr>
            <w:tcW w:w="9306" w:type="dxa"/>
            <w:tcBorders/>
            <w:vAlign w:val="center"/>
          </w:tcPr>
          <w:p>
            <w:pPr>
              <w:pStyle w:val="TableContents"/>
              <w:bidi w:val="0"/>
              <w:spacing w:before="0" w:after="283"/>
              <w:jc w:val="left"/>
              <w:rPr/>
            </w:pPr>
            <w:r>
              <w:rPr/>
              <w:t>EFFECT OF 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notice of redemption described in Section 3.3 is delivered,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907"/>
        <w:gridCol w:w="9208"/>
      </w:tblGrid>
      <w:tr>
        <w:trPr/>
        <w:tc>
          <w:tcPr>
            <w:tcW w:w="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pPr>
            <w:r>
              <w:rPr/>
              <w:t>3.5.</w:t>
            </w:r>
          </w:p>
        </w:tc>
        <w:tc>
          <w:tcPr>
            <w:tcW w:w="9208" w:type="dxa"/>
            <w:tcBorders/>
            <w:vAlign w:val="center"/>
          </w:tcPr>
          <w:p>
            <w:pPr>
              <w:pStyle w:val="TableContents"/>
              <w:bidi w:val="0"/>
              <w:spacing w:before="0" w:after="283"/>
              <w:jc w:val="left"/>
              <w:rPr/>
            </w:pPr>
            <w:r>
              <w:rPr/>
              <w:t>DEPOSIT OF REDEMPTION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903"/>
        <w:gridCol w:w="9212"/>
      </w:tblGrid>
      <w:tr>
        <w:trPr/>
        <w:tc>
          <w:tcPr>
            <w:tcW w:w="9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pPr>
            <w:r>
              <w:rPr/>
              <w:t>3.6.</w:t>
            </w:r>
          </w:p>
        </w:tc>
        <w:tc>
          <w:tcPr>
            <w:tcW w:w="9212" w:type="dxa"/>
            <w:tcBorders/>
            <w:vAlign w:val="center"/>
          </w:tcPr>
          <w:p>
            <w:pPr>
              <w:pStyle w:val="TableContents"/>
              <w:bidi w:val="0"/>
              <w:spacing w:before="0" w:after="283"/>
              <w:jc w:val="left"/>
              <w:rPr/>
            </w:pPr>
            <w:r>
              <w:rPr/>
              <w:t>SECURITIES REDEEMED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of a Series that is redeemed in part, the Company shall execute, and the Trustee shall authenticate, for a Holder a new Security of the same Series equal in principal amount to the unredeemed portion of the Security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COVENANTS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1104"/>
        <w:gridCol w:w="8991"/>
      </w:tblGrid>
      <w:tr>
        <w:trPr/>
        <w:tc>
          <w:tcPr>
            <w:tcW w:w="11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4.1.</w:t>
            </w:r>
          </w:p>
        </w:tc>
        <w:tc>
          <w:tcPr>
            <w:tcW w:w="8991" w:type="dxa"/>
            <w:tcBorders/>
            <w:vAlign w:val="center"/>
          </w:tcPr>
          <w:p>
            <w:pPr>
              <w:pStyle w:val="TableContents"/>
              <w:bidi w:val="0"/>
              <w:spacing w:before="0" w:after="283"/>
              <w:jc w:val="left"/>
              <w:rPr/>
            </w:pPr>
            <w:r>
              <w:rPr/>
              <w:t>PAYMENT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the principal of, and interest and premium, if any, on, each Series of Securities on the dates and in the manner provided in such Securities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overdue interest, to the extent lawful, at the rate specified in the Series of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844"/>
        <w:gridCol w:w="8177"/>
      </w:tblGrid>
      <w:tr>
        <w:trPr/>
        <w:tc>
          <w:tcPr>
            <w:tcW w:w="18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pPr>
            <w:r>
              <w:rPr/>
              <w:t>4.2.</w:t>
            </w:r>
          </w:p>
        </w:tc>
        <w:tc>
          <w:tcPr>
            <w:tcW w:w="8177" w:type="dxa"/>
            <w:tcBorders/>
            <w:vAlign w:val="center"/>
          </w:tcPr>
          <w:p>
            <w:pPr>
              <w:pStyle w:val="TableContents"/>
              <w:bidi w:val="0"/>
              <w:spacing w:before="0" w:after="283"/>
              <w:jc w:val="left"/>
              <w:rPr/>
            </w:pPr>
            <w:r>
              <w:rPr/>
              <w:t>SEC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will not be responsible and shall have no liability whatsoever to determine whether any financial information has been filed or posted on the EDGAR system (or any successor electronic delivery procedure) or have any duty to monitor or determine whether the Company has delivered the reports described under this ‎Section 4.2 or otherwise complied with its obligation under this ‎Section 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633"/>
        <w:gridCol w:w="9509"/>
      </w:tblGrid>
      <w:tr>
        <w:trPr/>
        <w:tc>
          <w:tcPr>
            <w:tcW w:w="6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4.3.</w:t>
            </w:r>
          </w:p>
        </w:tc>
        <w:tc>
          <w:tcPr>
            <w:tcW w:w="9509" w:type="dxa"/>
            <w:tcBorders/>
            <w:vAlign w:val="center"/>
          </w:tcPr>
          <w:p>
            <w:pPr>
              <w:pStyle w:val="TableContents"/>
              <w:bidi w:val="0"/>
              <w:spacing w:before="0" w:after="283"/>
              <w:jc w:val="left"/>
              <w:rPr/>
            </w:pPr>
            <w:r>
              <w:rPr/>
              <w:t>WAIVER OF STAY, EXTENSION OR USURY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1041"/>
        <w:gridCol w:w="9060"/>
      </w:tblGrid>
      <w:tr>
        <w:trPr/>
        <w:tc>
          <w:tcPr>
            <w:tcW w:w="1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pPr>
            <w:r>
              <w:rPr/>
              <w:t>4.4.</w:t>
            </w:r>
          </w:p>
        </w:tc>
        <w:tc>
          <w:tcPr>
            <w:tcW w:w="9060" w:type="dxa"/>
            <w:tcBorders/>
            <w:vAlign w:val="center"/>
          </w:tcPr>
          <w:p>
            <w:pPr>
              <w:pStyle w:val="TableContents"/>
              <w:bidi w:val="0"/>
              <w:spacing w:before="0" w:after="283"/>
              <w:jc w:val="left"/>
              <w:rPr/>
            </w:pPr>
            <w:r>
              <w:rPr/>
              <w:t>COMPLIANCE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deliver to the Trustee, within 120 days after the end of each fiscal year of the Company during which any Securities were outstanding,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If any Default or Event of Default has occurred and is continuing or (ii) if any Holder seeks to exercise any remedy hereunder with respect to a claimed Default under this Indenture or the Securities, within ten Business Days after the Company becoming aware of such occurrence the Company shall deliver to the Trustee an Officers’ Certificate specifying such event, notice or other action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148"/>
        <w:gridCol w:w="8943"/>
      </w:tblGrid>
      <w:tr>
        <w:trPr/>
        <w:tc>
          <w:tcPr>
            <w:tcW w:w="11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4.5.</w:t>
            </w:r>
          </w:p>
        </w:tc>
        <w:tc>
          <w:tcPr>
            <w:tcW w:w="8943" w:type="dxa"/>
            <w:tcBorders/>
            <w:vAlign w:val="center"/>
          </w:tcPr>
          <w:p>
            <w:pPr>
              <w:pStyle w:val="TableContents"/>
              <w:bidi w:val="0"/>
              <w:spacing w:before="0" w:after="283"/>
              <w:jc w:val="left"/>
              <w:rPr/>
            </w:pPr>
            <w:r>
              <w:rPr/>
              <w:t>CORPORATE EXISTENCE.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t>SUCCESSOR CORPORATION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75"/>
        <w:gridCol w:w="9683"/>
      </w:tblGrid>
      <w:tr>
        <w:trPr/>
        <w:tc>
          <w:tcPr>
            <w:tcW w:w="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5.1.</w:t>
            </w:r>
          </w:p>
        </w:tc>
        <w:tc>
          <w:tcPr>
            <w:tcW w:w="9683" w:type="dxa"/>
            <w:tcBorders/>
            <w:vAlign w:val="center"/>
          </w:tcPr>
          <w:p>
            <w:pPr>
              <w:pStyle w:val="TableContents"/>
              <w:bidi w:val="0"/>
              <w:spacing w:before="0" w:after="283"/>
              <w:jc w:val="left"/>
              <w:rPr/>
            </w:pPr>
            <w:r>
              <w:rPr/>
              <w:t>LIMITATION ON CONSOLIDATION, MERGER AND SALE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 entity treated as a corporation for U.S. federal income tax purposes organized and existing under the laws of the United States of America, any state thereof or the District of Columbia, or a corporation or comparable legal entity treated as a corporation for U.S. federal income tax purposes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any consolidation, merger or transfer of assets contemplated by this Section 5.1, the Company shall deliver, or cause to be delivered,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836"/>
        <w:gridCol w:w="9286"/>
      </w:tblGrid>
      <w:tr>
        <w:trPr/>
        <w:tc>
          <w:tcPr>
            <w:tcW w:w="8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5.2.</w:t>
            </w:r>
          </w:p>
        </w:tc>
        <w:tc>
          <w:tcPr>
            <w:tcW w:w="9286" w:type="dxa"/>
            <w:tcBorders/>
            <w:vAlign w:val="center"/>
          </w:tcPr>
          <w:p>
            <w:pPr>
              <w:pStyle w:val="TableContents"/>
              <w:bidi w:val="0"/>
              <w:spacing w:before="0" w:after="283"/>
              <w:jc w:val="left"/>
              <w:rPr/>
            </w:pPr>
            <w:r>
              <w:rPr/>
              <w:t>SUCCESSOR PERSON SUBSTITUTED.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DEFAULTS AND REMEDIES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285"/>
        <w:gridCol w:w="8792"/>
      </w:tblGrid>
      <w:tr>
        <w:trPr/>
        <w:tc>
          <w:tcPr>
            <w:tcW w:w="12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pPr>
            <w:r>
              <w:rPr/>
              <w:t>6.1.</w:t>
            </w:r>
          </w:p>
        </w:tc>
        <w:tc>
          <w:tcPr>
            <w:tcW w:w="8792" w:type="dxa"/>
            <w:tcBorders/>
            <w:vAlign w:val="center"/>
          </w:tcPr>
          <w:p>
            <w:pPr>
              <w:pStyle w:val="TableContents"/>
              <w:bidi w:val="0"/>
              <w:spacing w:before="0" w:after="283"/>
              <w:jc w:val="left"/>
              <w:rPr/>
            </w:pPr>
            <w:r>
              <w:rPr/>
              <w:t>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there is a default in the payment of any principal of, or premium, if any, on, the Securities when the same becomes due and payable at Maturity, upon acceleration,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there is a default in the payment of any interest on any Security of a Series when the same becomes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defaults in the observance or performance of any other covenant in the Securities of a Series or in this Indenture for 60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or any Significant Subsidiary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122"/>
        <w:gridCol w:w="8962"/>
      </w:tblGrid>
      <w:tr>
        <w:trPr/>
        <w:tc>
          <w:tcPr>
            <w:tcW w:w="1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t>commences a 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62"/>
        <w:gridCol w:w="9691"/>
      </w:tblGrid>
      <w:tr>
        <w:trPr/>
        <w:tc>
          <w:tcPr>
            <w:tcW w:w="5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(B)</w:t>
            </w:r>
          </w:p>
        </w:tc>
        <w:tc>
          <w:tcPr>
            <w:tcW w:w="9691" w:type="dxa"/>
            <w:tcBorders/>
            <w:vAlign w:val="center"/>
          </w:tcPr>
          <w:p>
            <w:pPr>
              <w:pStyle w:val="TableContents"/>
              <w:bidi w:val="0"/>
              <w:spacing w:before="0" w:after="283"/>
              <w:jc w:val="left"/>
              <w:rPr/>
            </w:pPr>
            <w:r>
              <w:rPr/>
              <w:t>consents to the entry of an order for relief against it in an involuntary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80"/>
        <w:gridCol w:w="9782"/>
      </w:tblGrid>
      <w:tr>
        <w:trPr/>
        <w:tc>
          <w:tcPr>
            <w:tcW w:w="4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(C)</w:t>
            </w:r>
          </w:p>
        </w:tc>
        <w:tc>
          <w:tcPr>
            <w:tcW w:w="9782" w:type="dxa"/>
            <w:tcBorders/>
            <w:vAlign w:val="center"/>
          </w:tcPr>
          <w:p>
            <w:pPr>
              <w:pStyle w:val="TableContents"/>
              <w:bidi w:val="0"/>
              <w:spacing w:before="0" w:after="283"/>
              <w:jc w:val="left"/>
              <w:rPr/>
            </w:pPr>
            <w:r>
              <w:rPr/>
              <w:t>consents to the appointment of a Custodian of it or for all or substantially all of its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581"/>
        <w:gridCol w:w="9561"/>
      </w:tblGrid>
      <w:tr>
        <w:trPr/>
        <w:tc>
          <w:tcPr>
            <w:tcW w:w="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(D)</w:t>
            </w:r>
          </w:p>
        </w:tc>
        <w:tc>
          <w:tcPr>
            <w:tcW w:w="9561" w:type="dxa"/>
            <w:tcBorders/>
            <w:vAlign w:val="center"/>
          </w:tcPr>
          <w:p>
            <w:pPr>
              <w:pStyle w:val="TableContents"/>
              <w:bidi w:val="0"/>
              <w:spacing w:before="0" w:after="283"/>
              <w:jc w:val="left"/>
              <w:rPr/>
            </w:pPr>
            <w:r>
              <w:rPr/>
              <w:t>makes a general assignment for the benefit of its creditors,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1"/>
        <w:gridCol w:w="9522"/>
      </w:tblGrid>
      <w:tr>
        <w:trPr/>
        <w:tc>
          <w:tcPr>
            <w:tcW w:w="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(E)</w:t>
            </w:r>
          </w:p>
        </w:tc>
        <w:tc>
          <w:tcPr>
            <w:tcW w:w="9522" w:type="dxa"/>
            <w:tcBorders/>
            <w:vAlign w:val="center"/>
          </w:tcPr>
          <w:p>
            <w:pPr>
              <w:pStyle w:val="TableContents"/>
              <w:bidi w:val="0"/>
              <w:spacing w:before="0" w:after="283"/>
              <w:jc w:val="left"/>
              <w:rPr/>
            </w:pPr>
            <w:r>
              <w:rPr/>
              <w:t>generally is not paying its debts as they become due;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21"/>
        <w:gridCol w:w="9739"/>
      </w:tblGrid>
      <w:tr>
        <w:trPr/>
        <w:tc>
          <w:tcPr>
            <w:tcW w:w="4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(A)</w:t>
            </w:r>
          </w:p>
        </w:tc>
        <w:tc>
          <w:tcPr>
            <w:tcW w:w="9739" w:type="dxa"/>
            <w:tcBorders/>
            <w:vAlign w:val="center"/>
          </w:tcPr>
          <w:p>
            <w:pPr>
              <w:pStyle w:val="TableContents"/>
              <w:bidi w:val="0"/>
              <w:spacing w:before="0" w:after="283"/>
              <w:jc w:val="left"/>
              <w:rPr/>
            </w:pPr>
            <w:r>
              <w:rPr/>
              <w:t>is for relief against the Company or any Significant Subsidiary in an involuntary case;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left"/>
              <w:rPr/>
            </w:pPr>
            <w:r>
              <w:rPr/>
              <w:t>appoints a Custodian of the Company or any Significant Subsidiary, or for all or substantially all of the property of the Company or any Significant Subsidiary;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(C)</w:t>
            </w:r>
          </w:p>
        </w:tc>
        <w:tc>
          <w:tcPr>
            <w:tcW w:w="9859" w:type="dxa"/>
            <w:tcBorders/>
            <w:vAlign w:val="center"/>
          </w:tcPr>
          <w:p>
            <w:pPr>
              <w:pStyle w:val="TableContents"/>
              <w:bidi w:val="0"/>
              <w:spacing w:before="0" w:after="283"/>
              <w:jc w:val="left"/>
              <w:rPr/>
            </w:pPr>
            <w:r>
              <w:rPr/>
              <w:t>orders the liquidation of the Company or any Significant Subsidiary, and the order or decree remains unstayed and in effect for 90 consecutive days;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other Event of Default provided with respect to Securities of that Series, which is specified in a Board Resolution, a supplemental indenture hereto or an Officers’ Certificate, in accordance with Section 2.2(19).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U.S. Code, or any similar federal or state law for the relief of debtors. The term “Custodian”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charged with knowledge of any Event of Default unless written notice thereof shall have been actually received by a Responsible Officer at the Corporate Trust Office of the Trustee from the Company, a Paying Agent, any Holder or any agent of any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614"/>
        <w:gridCol w:w="8430"/>
      </w:tblGrid>
      <w:tr>
        <w:trPr/>
        <w:tc>
          <w:tcPr>
            <w:tcW w:w="1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pPr>
            <w:r>
              <w:rPr/>
              <w:t>6.2.</w:t>
            </w:r>
          </w:p>
        </w:tc>
        <w:tc>
          <w:tcPr>
            <w:tcW w:w="8430" w:type="dxa"/>
            <w:tcBorders/>
            <w:vAlign w:val="center"/>
          </w:tcPr>
          <w:p>
            <w:pPr>
              <w:pStyle w:val="TableContents"/>
              <w:bidi w:val="0"/>
              <w:spacing w:before="0" w:after="283"/>
              <w:jc w:val="left"/>
              <w:rPr/>
            </w:pPr>
            <w:r>
              <w:rPr/>
              <w:t>ACCELERATION.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(other than an Event of Default arising under Section 6.1(4) or (5) with respect to the Company)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(and premium, if any, on)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2244"/>
        <w:gridCol w:w="7737"/>
      </w:tblGrid>
      <w:tr>
        <w:trPr/>
        <w:tc>
          <w:tcPr>
            <w:tcW w:w="224"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pPr>
            <w:r>
              <w:rPr/>
              <w:t>6.3.</w:t>
            </w:r>
          </w:p>
        </w:tc>
        <w:tc>
          <w:tcPr>
            <w:tcW w:w="7737" w:type="dxa"/>
            <w:tcBorders/>
            <w:vAlign w:val="center"/>
          </w:tcPr>
          <w:p>
            <w:pPr>
              <w:pStyle w:val="TableContents"/>
              <w:bidi w:val="0"/>
              <w:spacing w:before="0" w:after="283"/>
              <w:jc w:val="left"/>
              <w:rPr/>
            </w:pPr>
            <w:r>
              <w:rPr/>
              <w:t>REMEDIES.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the Trustee may, but shall not be obligated to,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553"/>
        <w:gridCol w:w="9597"/>
      </w:tblGrid>
      <w:tr>
        <w:trPr/>
        <w:tc>
          <w:tcPr>
            <w:tcW w:w="5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6.4.</w:t>
            </w:r>
          </w:p>
        </w:tc>
        <w:tc>
          <w:tcPr>
            <w:tcW w:w="9597" w:type="dxa"/>
            <w:tcBorders/>
            <w:vAlign w:val="center"/>
          </w:tcPr>
          <w:p>
            <w:pPr>
              <w:pStyle w:val="TableContents"/>
              <w:bidi w:val="0"/>
              <w:spacing w:before="0" w:after="283"/>
              <w:jc w:val="left"/>
              <w:rPr/>
            </w:pPr>
            <w:r>
              <w:rPr/>
              <w:t>WAIVER OF PAST DEFAULTS AND 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Sections 6.2, 6.7 and 8.2, the Holders of a majority in principal amount of the Securities of any Series then outstanding by written notice to the Trustee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1148"/>
        <w:gridCol w:w="8943"/>
      </w:tblGrid>
      <w:tr>
        <w:trPr/>
        <w:tc>
          <w:tcPr>
            <w:tcW w:w="11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6.5.</w:t>
            </w:r>
          </w:p>
        </w:tc>
        <w:tc>
          <w:tcPr>
            <w:tcW w:w="8943" w:type="dxa"/>
            <w:tcBorders/>
            <w:vAlign w:val="center"/>
          </w:tcPr>
          <w:p>
            <w:pPr>
              <w:pStyle w:val="TableContents"/>
              <w:bidi w:val="0"/>
              <w:spacing w:before="0" w:after="283"/>
              <w:jc w:val="left"/>
              <w:rPr/>
            </w:pPr>
            <w:r>
              <w:rPr/>
              <w:t>CONTROL BY MAJORITY.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in its sole discretion, may be unduly prejudicial to the rights of another Securityholder or the Trustee,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254"/>
        <w:gridCol w:w="8826"/>
      </w:tblGrid>
      <w:tr>
        <w:trPr/>
        <w:tc>
          <w:tcPr>
            <w:tcW w:w="12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pPr>
            <w:r>
              <w:rPr/>
              <w:t>6.6.</w:t>
            </w:r>
          </w:p>
        </w:tc>
        <w:tc>
          <w:tcPr>
            <w:tcW w:w="8826" w:type="dxa"/>
            <w:tcBorders/>
            <w:vAlign w:val="center"/>
          </w:tcPr>
          <w:p>
            <w:pPr>
              <w:pStyle w:val="TableContents"/>
              <w:bidi w:val="0"/>
              <w:spacing w:before="0" w:after="283"/>
              <w:jc w:val="left"/>
              <w:rPr/>
            </w:pPr>
            <w:r>
              <w:rPr/>
              <w:t>LIMITATION ON SUITS.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6.7, a Securityholder may not institute any proceeding or pursue any remedy with respect to this Indenture or the Securities of a Series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Holder gives to the Trustee written notice of a continuing Event of Default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at least 25% in aggregate principal amount of the Securities of such Series then outstanding make a written request to the Trustee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offer to the Trustee indemnity satisfactory to the Trustee against any loss, liability or expense to be incurred in compliance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does not comply with the request within 60 days after receipt of the request and the offer of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direction inconsistent with such written request has been given to the Trustee during such 60-day period by the Holders of a majority in aggregate principal amount of the Securities of such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Securityholder may not use this Indenture to prejudice the rights of another Securityholder, or to obtain a preference or priority over another Securityholder.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680"/>
        <w:gridCol w:w="9458"/>
      </w:tblGrid>
      <w:tr>
        <w:trPr/>
        <w:tc>
          <w:tcPr>
            <w:tcW w:w="6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6.7.</w:t>
            </w:r>
          </w:p>
        </w:tc>
        <w:tc>
          <w:tcPr>
            <w:tcW w:w="9458" w:type="dxa"/>
            <w:tcBorders/>
            <w:vAlign w:val="center"/>
          </w:tcPr>
          <w:p>
            <w:pPr>
              <w:pStyle w:val="TableContents"/>
              <w:bidi w:val="0"/>
              <w:spacing w:before="0" w:after="283"/>
              <w:jc w:val="left"/>
              <w:rPr/>
            </w:pPr>
            <w:r>
              <w:rPr/>
              <w:t>RIGHTS OF HOLDERS TO RECEIVE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922"/>
        <w:gridCol w:w="9191"/>
      </w:tblGrid>
      <w:tr>
        <w:trPr/>
        <w:tc>
          <w:tcPr>
            <w:tcW w:w="9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pPr>
            <w:r>
              <w:rPr/>
              <w:t>6.8.</w:t>
            </w:r>
          </w:p>
        </w:tc>
        <w:tc>
          <w:tcPr>
            <w:tcW w:w="9191" w:type="dxa"/>
            <w:tcBorders/>
            <w:vAlign w:val="center"/>
          </w:tcPr>
          <w:p>
            <w:pPr>
              <w:pStyle w:val="TableContents"/>
              <w:bidi w:val="0"/>
              <w:spacing w:before="0" w:after="283"/>
              <w:jc w:val="left"/>
              <w:rPr/>
            </w:pPr>
            <w:r>
              <w:rPr/>
              <w:t>COLLECTION SUIT BY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776"/>
        <w:gridCol w:w="9352"/>
      </w:tblGrid>
      <w:tr>
        <w:trPr/>
        <w:tc>
          <w:tcPr>
            <w:tcW w:w="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pPr>
            <w:r>
              <w:rPr/>
              <w:t>6.9.</w:t>
            </w:r>
          </w:p>
        </w:tc>
        <w:tc>
          <w:tcPr>
            <w:tcW w:w="9352" w:type="dxa"/>
            <w:tcBorders/>
            <w:vAlign w:val="center"/>
          </w:tcPr>
          <w:p>
            <w:pPr>
              <w:pStyle w:val="TableContents"/>
              <w:bidi w:val="0"/>
              <w:spacing w:before="0" w:after="283"/>
              <w:jc w:val="left"/>
              <w:rPr/>
            </w:pPr>
            <w:r>
              <w:rPr/>
              <w:t>TRUSTEE MAY FILE PROOFS OF CLAIM.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 and to the extent that such payment of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2632"/>
        <w:gridCol w:w="7373"/>
      </w:tblGrid>
      <w:tr>
        <w:trPr/>
        <w:tc>
          <w:tcPr>
            <w:tcW w:w="200"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pPr>
            <w:r>
              <w:rPr/>
              <w:t>6.10.</w:t>
            </w:r>
          </w:p>
        </w:tc>
        <w:tc>
          <w:tcPr>
            <w:tcW w:w="7373" w:type="dxa"/>
            <w:tcBorders/>
            <w:vAlign w:val="center"/>
          </w:tcPr>
          <w:p>
            <w:pPr>
              <w:pStyle w:val="TableContents"/>
              <w:bidi w:val="0"/>
              <w:spacing w:before="0" w:after="283"/>
              <w:jc w:val="left"/>
              <w:rPr/>
            </w:pPr>
            <w:r>
              <w:rPr/>
              <w:t>PRIORITIES.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collects any money pursuant to this ARTICLE 6,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Trustee for amounts due under Section 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 or such party as a court of competent jurisdiction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Securityholders pursuant to this Section 6.10.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344"/>
        <w:gridCol w:w="8760"/>
      </w:tblGrid>
      <w:tr>
        <w:trPr/>
        <w:tc>
          <w:tcPr>
            <w:tcW w:w="10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pPr>
            <w:r>
              <w:rPr/>
              <w:t>6.11.</w:t>
            </w:r>
          </w:p>
        </w:tc>
        <w:tc>
          <w:tcPr>
            <w:tcW w:w="8760" w:type="dxa"/>
            <w:tcBorders/>
            <w:vAlign w:val="center"/>
          </w:tcPr>
          <w:p>
            <w:pPr>
              <w:pStyle w:val="TableContents"/>
              <w:bidi w:val="0"/>
              <w:spacing w:before="0" w:after="283"/>
              <w:jc w:val="left"/>
              <w:rPr/>
            </w:pPr>
            <w:r>
              <w:rPr/>
              <w:t>UNDERTAKING FOR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t>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338"/>
        <w:gridCol w:w="8734"/>
      </w:tblGrid>
      <w:tr>
        <w:trPr/>
        <w:tc>
          <w:tcPr>
            <w:tcW w:w="1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pPr>
            <w:r>
              <w:rPr/>
              <w:t>7.1.</w:t>
            </w:r>
          </w:p>
        </w:tc>
        <w:tc>
          <w:tcPr>
            <w:tcW w:w="8734" w:type="dxa"/>
            <w:tcBorders/>
            <w:vAlign w:val="center"/>
          </w:tcPr>
          <w:p>
            <w:pPr>
              <w:pStyle w:val="TableContents"/>
              <w:bidi w:val="0"/>
              <w:spacing w:before="0" w:after="283"/>
              <w:jc w:val="left"/>
              <w:rPr/>
            </w:pPr>
            <w:r>
              <w:rPr/>
              <w:t>DUTIES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shall exercise such of the rights and powers vested in it by this Indenture and use the same degree of care and skill in its exercise as a prudent Person would exercise or use under the same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duties of the Trustee shall be determined solely by the express provisions of this Indenture and the Trustee need perform only those duties that are specifically set forth in this Indenture and no others, and no covenants or obligations shall be implied in this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paragraph does not limit the effect of paragraph (b) of this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it takes or omits to take in good faith in accordance with a direction received by it pursuant to Sections 6.2 and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provision of this Indenture shall require the Trustee to expend or risk its own funds, or otherwise incur any liability, including any financial liability, in the performance of any of its rights or powers if it shall have reasonable grounds for believing that repayment of such funds or adequate indemnity satisfactory to it against such risk or liability is not reasonably assured to it. The Trustee shall be under no obligation to exercise any of the rights or power vested in it by this Indenture at the request or direction of any of the Holder pursuant to this Indenture, unless such Holders shall have offered, and if requested provided, to the Trustee indemnity satisfactory to the Trustee against the costs, expenses and liabilities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Whether or not therein expressly so provided, paragraphs (a), (b), (c) and (d) of this Section 7.1 shall govern every provision of this Indenture that in any way relates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Paying Agent, the Registrar and any authenticating agent shall be entitled to the protections, immunities and standard of care set forth in paragraphs (a), (b), (c), (d) and (f) of this Section 7.1 and in Section 7.2 with respect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required to give any bond or surety in respect of the performance of its powers or duties hereunder.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332"/>
        <w:gridCol w:w="8741"/>
      </w:tblGrid>
      <w:tr>
        <w:trPr/>
        <w:tc>
          <w:tcPr>
            <w:tcW w:w="13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7.2.</w:t>
            </w:r>
          </w:p>
        </w:tc>
        <w:tc>
          <w:tcPr>
            <w:tcW w:w="8741" w:type="dxa"/>
            <w:tcBorders/>
            <w:vAlign w:val="center"/>
          </w:tcPr>
          <w:p>
            <w:pPr>
              <w:pStyle w:val="TableContents"/>
              <w:bidi w:val="0"/>
              <w:spacing w:before="0" w:after="283"/>
              <w:jc w:val="left"/>
              <w:rPr/>
            </w:pPr>
            <w:r>
              <w:rPr/>
              <w:t>RIGHTS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conclusively rely on, and shall be protected in acting or refraining from acting upon, any document y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Before the Trustee acts or refrains from acting, it may require, and may conclusively rely on,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act through agents and attorneys, and shall not be responsible for the misconduct or negligence of any agent appointed by it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shall not be liable for any action it takes or omits to take in good faith which it reasonably believes to be authorized or within its rights or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be under no obligation to exercise any of the rights or powers vested in it by this Indenture at the request, order or direction of any of the Holders pursuant to the provisions of this Indenture, unless such Holders shall have provided to the Trustee security or indemnity against the costs, expenses and liabilities which may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Trustee shall not be deemed to have knowledge of any fact or matter (including, without limitation, a Default or Event of Default) unless such fact or matter is known to a Responsible Officer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permissive right of the Trustee to take actions permitted by this Indenture will not be construed as an obligation or duty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rights, privileges, protection,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876"/>
        <w:gridCol w:w="9242"/>
      </w:tblGrid>
      <w:tr>
        <w:trPr/>
        <w:tc>
          <w:tcPr>
            <w:tcW w:w="8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pPr>
            <w:r>
              <w:rPr/>
              <w:t>7.3.</w:t>
            </w:r>
          </w:p>
        </w:tc>
        <w:tc>
          <w:tcPr>
            <w:tcW w:w="9242" w:type="dxa"/>
            <w:tcBorders/>
            <w:vAlign w:val="center"/>
          </w:tcPr>
          <w:p>
            <w:pPr>
              <w:pStyle w:val="TableContents"/>
              <w:bidi w:val="0"/>
              <w:spacing w:before="0" w:after="283"/>
              <w:jc w:val="left"/>
              <w:rPr/>
            </w:pPr>
            <w:r>
              <w:rPr/>
              <w:t>INDIVIDUAL RIGHTS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1158"/>
        <w:gridCol w:w="8932"/>
      </w:tblGrid>
      <w:tr>
        <w:trPr/>
        <w:tc>
          <w:tcPr>
            <w:tcW w:w="11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pPr>
            <w:r>
              <w:rPr/>
              <w:t>7.4.</w:t>
            </w:r>
          </w:p>
        </w:tc>
        <w:tc>
          <w:tcPr>
            <w:tcW w:w="8932" w:type="dxa"/>
            <w:tcBorders/>
            <w:vAlign w:val="center"/>
          </w:tcPr>
          <w:p>
            <w:pPr>
              <w:pStyle w:val="TableContents"/>
              <w:bidi w:val="0"/>
              <w:spacing w:before="0" w:after="283"/>
              <w:jc w:val="left"/>
              <w:rPr/>
            </w:pPr>
            <w:r>
              <w:rPr/>
              <w:t>TRUSTEE’S DISCLAIMER.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or upon the Company’s direction pursuant to the terms of this Indenture, and the Trustee shall not be responsible for any statement or recital herein or any statement in the Securities or any other document in connection with the sale of the Securities or pursuant to this Indenture other than its certificates of authentication.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304"/>
        <w:gridCol w:w="8771"/>
      </w:tblGrid>
      <w:tr>
        <w:trPr/>
        <w:tc>
          <w:tcPr>
            <w:tcW w:w="13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pPr>
            <w:r>
              <w:rPr/>
              <w:t>7.5.</w:t>
            </w:r>
          </w:p>
        </w:tc>
        <w:tc>
          <w:tcPr>
            <w:tcW w:w="8771" w:type="dxa"/>
            <w:tcBorders/>
            <w:vAlign w:val="center"/>
          </w:tcPr>
          <w:p>
            <w:pPr>
              <w:pStyle w:val="TableContents"/>
              <w:bidi w:val="0"/>
              <w:spacing w:before="0" w:after="283"/>
              <w:jc w:val="left"/>
              <w:rPr/>
            </w:pPr>
            <w:r>
              <w:rPr/>
              <w:t>NOTICE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an Event of Default occurs and is continuing with respect to the Securities of any Series, and if it is known to as Responsible Officer of the Trustee, the Trustee shall deliver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it determines that withholding the notice is in the interests of the Securityholders of that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821"/>
        <w:gridCol w:w="9303"/>
      </w:tblGrid>
      <w:tr>
        <w:trPr/>
        <w:tc>
          <w:tcPr>
            <w:tcW w:w="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7.6.</w:t>
            </w:r>
          </w:p>
        </w:tc>
        <w:tc>
          <w:tcPr>
            <w:tcW w:w="9303" w:type="dxa"/>
            <w:tcBorders/>
            <w:vAlign w:val="center"/>
          </w:tcPr>
          <w:p>
            <w:pPr>
              <w:pStyle w:val="TableContents"/>
              <w:bidi w:val="0"/>
              <w:spacing w:before="0" w:after="283"/>
              <w:jc w:val="left"/>
              <w:rPr/>
            </w:pPr>
            <w:r>
              <w:rPr/>
              <w:t>REPORTS BY TRUSTEE TO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required by the TIA, within 60 days after May 15 of each year, commencing the May 15 following the date of this Indenture, the Trustee shall deliver to each Securityholder a brief report dated as of such May 15 that complies with TIA Section 313(a). The Trustee also shall comply with TIA Sections 313(b) and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delivery to Securityholders shall be filed with the SEC and any stock exchange on which the Securities of that Series are listed. The Company shall promptly notify the Trustee in writing when the Securities of any Series are listed on any stock exchange or any delisting thereof, and the Trustee shall comply with TIA Section 313(d).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867"/>
        <w:gridCol w:w="9252"/>
      </w:tblGrid>
      <w:tr>
        <w:trPr/>
        <w:tc>
          <w:tcPr>
            <w:tcW w:w="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pPr>
            <w:r>
              <w:rPr/>
              <w:t>7.7.</w:t>
            </w:r>
          </w:p>
        </w:tc>
        <w:tc>
          <w:tcPr>
            <w:tcW w:w="9252" w:type="dxa"/>
            <w:tcBorders/>
            <w:vAlign w:val="center"/>
          </w:tcPr>
          <w:p>
            <w:pPr>
              <w:pStyle w:val="TableContents"/>
              <w:bidi w:val="0"/>
              <w:spacing w:before="0" w:after="283"/>
              <w:jc w:val="left"/>
              <w:rPr/>
            </w:pPr>
            <w:r>
              <w:rPr/>
              <w:t>COMPENSATION AND INDEMNITY.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compensation for its services as the Company and the Trustee shall from time to time agree in writing. The Trustee’s compensation shall not be limited by any provision of law on compensation of a trustee of an express trust. The Company shall reimburse the Trustee within 45 days after receipt of request for all reasonable disbursements, expenses and advances incurred or made by it in connection with its duties under this Indenture, including the reasonable compensation, disbursements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(in any of its capacities), its officers, directors, employees and agents for, and hold them harmless against, any and all losses, liabilities, damages, claims or expense (including taxes, other than taxes based upon, measured by or determined by the income of the Trustee) incurred by it or arising out of or in connection with the acceptance or administration of its duties under this Indenture including the costs and expenses of enforcing this Indenture against the Company (including this Section 7.7) and defending itself against any claim (whether asserted by the Company or any Holder or any other Person) or liability in connection with the exercise or performance of any of its powers or duties hereunder. The Trustee, upon receiving written notice thereof, shall notify the Company promptly of any claim asserted against the Trustee for which it may seek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the Trustee to so notify the Company shall not however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written consent, which consent shall not be unreasonably withheld. Notwithstanding the foregoing, the Company need not reimburse the Trustee for any expense or indemnify it against any loss or liability incurred by the Trustee through its negligence or bad faith as established by a final, non-appealable order of a court of competent jurisdiction.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6.1(4) or (5) occurs, the expenses and the compensation for the services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7.7, the term “Trustee” shall include any trustee appointed pursuant to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7.7 shall survive the termination or satisfaction and discharge of this Indenture or the resignation or removal of the Trustee for any reason.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017"/>
        <w:gridCol w:w="9087"/>
      </w:tblGrid>
      <w:tr>
        <w:trPr/>
        <w:tc>
          <w:tcPr>
            <w:tcW w:w="1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pPr>
            <w:r>
              <w:rPr/>
              <w:t>7.8.</w:t>
            </w:r>
          </w:p>
        </w:tc>
        <w:tc>
          <w:tcPr>
            <w:tcW w:w="9087" w:type="dxa"/>
            <w:tcBorders/>
            <w:vAlign w:val="center"/>
          </w:tcPr>
          <w:p>
            <w:pPr>
              <w:pStyle w:val="TableContents"/>
              <w:bidi w:val="0"/>
              <w:spacing w:before="0" w:after="283"/>
              <w:jc w:val="left"/>
              <w:rPr/>
            </w:pPr>
            <w:r>
              <w:rPr/>
              <w:t>REPLACEMENT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in writing at least 90 days in advance of such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fails to comply with, or ceases to be eligible under,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is adjudged a bankrupt or an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Custodian or other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otherwise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with respect to any Series of Securities for any reason, the Company shall promptly appoint, by Board Resolution,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retiring Trustee shall not be liable for the acts or omissions of any successor Trustee after its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pursuant to this section 7.8, the Company’s obligations under Section 7.7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44"/>
        <w:gridCol w:w="9717"/>
      </w:tblGrid>
      <w:tr>
        <w:trPr/>
        <w:tc>
          <w:tcPr>
            <w:tcW w:w="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pPr>
            <w:r>
              <w:rPr/>
              <w:t>7.9.</w:t>
            </w:r>
          </w:p>
        </w:tc>
        <w:tc>
          <w:tcPr>
            <w:tcW w:w="9717" w:type="dxa"/>
            <w:tcBorders/>
            <w:vAlign w:val="center"/>
          </w:tcPr>
          <w:p>
            <w:pPr>
              <w:pStyle w:val="TableContents"/>
              <w:bidi w:val="0"/>
              <w:spacing w:before="0" w:after="283"/>
              <w:jc w:val="left"/>
              <w:rPr/>
            </w:pPr>
            <w:r>
              <w:rPr/>
              <w:t>SUCCESSOR TRUSTEE BY CONSOLIDATION, MERGER OR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this Article 7,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1141"/>
        <w:gridCol w:w="8978"/>
      </w:tblGrid>
      <w:tr>
        <w:trPr/>
        <w:tc>
          <w:tcPr>
            <w:tcW w:w="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7.10.</w:t>
            </w:r>
          </w:p>
        </w:tc>
        <w:tc>
          <w:tcPr>
            <w:tcW w:w="8978" w:type="dxa"/>
            <w:tcBorders/>
            <w:vAlign w:val="center"/>
          </w:tcPr>
          <w:p>
            <w:pPr>
              <w:pStyle w:val="TableContents"/>
              <w:bidi w:val="0"/>
              <w:spacing w:before="0" w:after="283"/>
              <w:jc w:val="left"/>
              <w:rPr/>
            </w:pPr>
            <w:r>
              <w:rPr/>
              <w:t>ELIGIBILITY; DISQUALIFICATION.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654"/>
        <w:gridCol w:w="9502"/>
      </w:tblGrid>
      <w:tr>
        <w:trPr/>
        <w:tc>
          <w:tcPr>
            <w:tcW w:w="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pPr>
            <w:r>
              <w:rPr/>
              <w:t>7.11.</w:t>
            </w:r>
          </w:p>
        </w:tc>
        <w:tc>
          <w:tcPr>
            <w:tcW w:w="9502" w:type="dxa"/>
            <w:tcBorders/>
            <w:vAlign w:val="center"/>
          </w:tcPr>
          <w:p>
            <w:pPr>
              <w:pStyle w:val="TableContents"/>
              <w:bidi w:val="0"/>
              <w:spacing w:before="0" w:after="283"/>
              <w:jc w:val="left"/>
              <w:rPr/>
            </w:pPr>
            <w:r>
              <w:rPr/>
              <w:t>PREFERENTIAL COLLECTION OF CLAIMS AGAINST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TIA Section 311(a), excluding any creditor relationship listed in TIA Section 311(b). A Trustee who has resigned or been removed shall be subject to TIA Section 311(a) to the extent indicated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964"/>
        <w:gridCol w:w="8092"/>
      </w:tblGrid>
      <w:tr>
        <w:trPr/>
        <w:tc>
          <w:tcPr>
            <w:tcW w:w="1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pPr>
            <w:r>
              <w:rPr/>
              <w:t>7.12.</w:t>
            </w:r>
          </w:p>
        </w:tc>
        <w:tc>
          <w:tcPr>
            <w:tcW w:w="8092" w:type="dxa"/>
            <w:tcBorders/>
            <w:vAlign w:val="center"/>
          </w:tcPr>
          <w:p>
            <w:pPr>
              <w:pStyle w:val="TableContents"/>
              <w:bidi w:val="0"/>
              <w:spacing w:before="0" w:after="283"/>
              <w:jc w:val="left"/>
              <w:rPr/>
            </w:pPr>
            <w:r>
              <w:rPr/>
              <w:t>PAYING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each Paying Agent other than the Trustee to execute and deliver to it and the Trustee an instrument in which such agent shall agree with the Trustee, subject to the provisions of this Section 7.12: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at any time during the continuance of any Event of Default, upon written request from the Trustee, deliver to the Trustee all sums so held in trust by it together with a full accounting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t>AMENDMENTS, SUPPLEMENTS AND WAIVERS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876"/>
        <w:gridCol w:w="9242"/>
      </w:tblGrid>
      <w:tr>
        <w:trPr/>
        <w:tc>
          <w:tcPr>
            <w:tcW w:w="8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pPr>
            <w:r>
              <w:rPr/>
              <w:t>8.1.</w:t>
            </w:r>
          </w:p>
        </w:tc>
        <w:tc>
          <w:tcPr>
            <w:tcW w:w="9242" w:type="dxa"/>
            <w:tcBorders/>
            <w:vAlign w:val="center"/>
          </w:tcPr>
          <w:p>
            <w:pPr>
              <w:pStyle w:val="TableContents"/>
              <w:bidi w:val="0"/>
              <w:spacing w:before="0" w:after="283"/>
              <w:jc w:val="left"/>
              <w:rPr/>
            </w:pPr>
            <w:r>
              <w:rPr/>
              <w:t>WITHOUT CONSENT OF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 authorized by a Board Resolution, and the Trustee may amend or supplement this Indenture or the Securities of one or more Series without notice to or consent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comply with Section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certificated Securities in addition to uncertificated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comply with any requirements of the SEC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cure any mistake, ambiguity, defect or inconsistency, or to make any other change herein or in the Securities that does not materially and adversely affect the rights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provide for the issuance of, and establish the form and terms and conditions of, Securities of any Series as permitted by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990"/>
        <w:gridCol w:w="9117"/>
      </w:tblGrid>
      <w:tr>
        <w:trPr/>
        <w:tc>
          <w:tcPr>
            <w:tcW w:w="9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8.2.</w:t>
            </w:r>
          </w:p>
        </w:tc>
        <w:tc>
          <w:tcPr>
            <w:tcW w:w="9117" w:type="dxa"/>
            <w:tcBorders/>
            <w:vAlign w:val="center"/>
          </w:tcPr>
          <w:p>
            <w:pPr>
              <w:pStyle w:val="TableContents"/>
              <w:bidi w:val="0"/>
              <w:spacing w:before="0" w:after="283"/>
              <w:jc w:val="left"/>
              <w:rPr/>
            </w:pPr>
            <w:r>
              <w:rPr/>
              <w:t>WITH CONSENT OF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amount of Securities whose Holders must consent to an amendment, supplement or waiver to this Indenture 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change the time for payment of, interest on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or change the Stated Maturity, of any Security, or reduce the amount of, or postpone the date fixed for, the payment of any sinking fund or analogous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 any Security payable in money other than that stated in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change the amount or time of any payment required by the Securities, or reduce the premium payable upon any redemption of the Securities, or change the time before which no such redemption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waive a redemption payment with respect to any Security, or change any of the provisions with respect to the redemption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make any changes in Section 6.6 or this Section 8.2, except to increase any percentage of Securities the Holders of which must consent to any matter;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take any other action otherwise prohibited by this Indenture to be taken without the consent of each Holder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shall not be necessary for the consent of the Holders under this section to approve the particular form of any proposed amendment, supplement or waiver, but it shall be sufficient if such consent approves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85"/>
        <w:gridCol w:w="9452"/>
      </w:tblGrid>
      <w:tr>
        <w:trPr/>
        <w:tc>
          <w:tcPr>
            <w:tcW w:w="6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8.3.</w:t>
            </w:r>
          </w:p>
        </w:tc>
        <w:tc>
          <w:tcPr>
            <w:tcW w:w="9452" w:type="dxa"/>
            <w:tcBorders/>
            <w:vAlign w:val="center"/>
          </w:tcPr>
          <w:p>
            <w:pPr>
              <w:pStyle w:val="TableContents"/>
              <w:bidi w:val="0"/>
              <w:spacing w:before="0" w:after="283"/>
              <w:jc w:val="left"/>
              <w:rPr/>
            </w:pPr>
            <w:r>
              <w:rPr/>
              <w:t>COMPLIANCE WITH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or supplement of, this Indenture or the Securities shall comply with the TIA as then in effect.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721"/>
        <w:gridCol w:w="9412"/>
      </w:tblGrid>
      <w:tr>
        <w:trPr/>
        <w:tc>
          <w:tcPr>
            <w:tcW w:w="7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pPr>
            <w:r>
              <w:rPr/>
              <w:t>8.4.</w:t>
            </w:r>
          </w:p>
        </w:tc>
        <w:tc>
          <w:tcPr>
            <w:tcW w:w="9412" w:type="dxa"/>
            <w:tcBorders/>
            <w:vAlign w:val="center"/>
          </w:tcPr>
          <w:p>
            <w:pPr>
              <w:pStyle w:val="TableContents"/>
              <w:bidi w:val="0"/>
              <w:spacing w:before="0" w:after="283"/>
              <w:jc w:val="left"/>
              <w:rPr/>
            </w:pPr>
            <w:r>
              <w:rPr/>
              <w:t>REVOCATION AND EFFECT OF CONSENTS.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662"/>
        <w:gridCol w:w="9477"/>
      </w:tblGrid>
      <w:tr>
        <w:trPr/>
        <w:tc>
          <w:tcPr>
            <w:tcW w:w="6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pPr>
            <w:r>
              <w:rPr/>
              <w:t>8.5.</w:t>
            </w:r>
          </w:p>
        </w:tc>
        <w:tc>
          <w:tcPr>
            <w:tcW w:w="9477" w:type="dxa"/>
            <w:tcBorders/>
            <w:vAlign w:val="center"/>
          </w:tcPr>
          <w:p>
            <w:pPr>
              <w:pStyle w:val="TableContents"/>
              <w:bidi w:val="0"/>
              <w:spacing w:before="0" w:after="283"/>
              <w:jc w:val="left"/>
              <w:rPr/>
            </w:pPr>
            <w:r>
              <w:rPr/>
              <w:t>NOTATION ON OR EXCHANGE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778"/>
        <w:gridCol w:w="9350"/>
      </w:tblGrid>
      <w:tr>
        <w:trPr/>
        <w:tc>
          <w:tcPr>
            <w:tcW w:w="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pPr>
            <w:r>
              <w:rPr/>
              <w:t>8.6.</w:t>
            </w:r>
          </w:p>
        </w:tc>
        <w:tc>
          <w:tcPr>
            <w:tcW w:w="9350" w:type="dxa"/>
            <w:tcBorders/>
            <w:vAlign w:val="center"/>
          </w:tcPr>
          <w:p>
            <w:pPr>
              <w:pStyle w:val="TableContents"/>
              <w:bidi w:val="0"/>
              <w:spacing w:before="0" w:after="283"/>
              <w:jc w:val="left"/>
              <w:rPr/>
            </w:pPr>
            <w:r>
              <w:rPr/>
              <w:t>TRUSTEE TO SIGN AMENDMENTS,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t>DISCHARGE OF INDENTURE; DEFEASANCE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029"/>
        <w:gridCol w:w="9074"/>
      </w:tblGrid>
      <w:tr>
        <w:trPr/>
        <w:tc>
          <w:tcPr>
            <w:tcW w:w="10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pPr>
            <w:r>
              <w:rPr/>
              <w:t>9.1.</w:t>
            </w:r>
          </w:p>
        </w:tc>
        <w:tc>
          <w:tcPr>
            <w:tcW w:w="9074" w:type="dxa"/>
            <w:tcBorders/>
            <w:vAlign w:val="center"/>
          </w:tcPr>
          <w:p>
            <w:pPr>
              <w:pStyle w:val="TableContents"/>
              <w:bidi w:val="0"/>
              <w:spacing w:before="0" w:after="283"/>
              <w:jc w:val="left"/>
              <w:rPr/>
            </w:pPr>
            <w:r>
              <w:rPr/>
              <w:t>DISCHARGE OF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Company in Sections 7.7, 9.5 and 9.6 shall survive.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298"/>
        <w:gridCol w:w="8778"/>
      </w:tblGrid>
      <w:tr>
        <w:trPr/>
        <w:tc>
          <w:tcPr>
            <w:tcW w:w="12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pPr>
            <w:r>
              <w:rPr/>
              <w:t>9.2.</w:t>
            </w:r>
          </w:p>
        </w:tc>
        <w:tc>
          <w:tcPr>
            <w:tcW w:w="8778" w:type="dxa"/>
            <w:tcBorders/>
            <w:vAlign w:val="center"/>
          </w:tcPr>
          <w:p>
            <w:pPr>
              <w:pStyle w:val="TableContents"/>
              <w:bidi w:val="0"/>
              <w:spacing w:before="0" w:after="283"/>
              <w:jc w:val="left"/>
              <w:rPr/>
            </w:pPr>
            <w:r>
              <w:rPr/>
              <w:t>LEGAL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094"/>
        <w:gridCol w:w="9002"/>
      </w:tblGrid>
      <w:tr>
        <w:trPr/>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pPr>
            <w:r>
              <w:rPr/>
              <w:t>9.3.</w:t>
            </w:r>
          </w:p>
        </w:tc>
        <w:tc>
          <w:tcPr>
            <w:tcW w:w="9002" w:type="dxa"/>
            <w:tcBorders/>
            <w:vAlign w:val="center"/>
          </w:tcPr>
          <w:p>
            <w:pPr>
              <w:pStyle w:val="TableContents"/>
              <w:bidi w:val="0"/>
              <w:spacing w:before="0" w:after="283"/>
              <w:jc w:val="left"/>
              <w:rPr/>
            </w:pPr>
            <w:r>
              <w:rPr/>
              <w:t>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60"/>
        <w:gridCol w:w="9700"/>
      </w:tblGrid>
      <w:tr>
        <w:trPr/>
        <w:tc>
          <w:tcPr>
            <w:tcW w:w="4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9.4.</w:t>
            </w:r>
          </w:p>
        </w:tc>
        <w:tc>
          <w:tcPr>
            <w:tcW w:w="9700" w:type="dxa"/>
            <w:tcBorders/>
            <w:vAlign w:val="center"/>
          </w:tcPr>
          <w:p>
            <w:pPr>
              <w:pStyle w:val="TableContents"/>
              <w:bidi w:val="0"/>
              <w:spacing w:before="0" w:after="283"/>
              <w:jc w:val="left"/>
              <w:rPr/>
            </w:pPr>
            <w:r>
              <w:rPr/>
              <w:t>CONDITIONS TO LEGAL DEFEASANCE OR 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be the conditions to application of Section 9.2 or Section 9.3 to the outstanding Securities of a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Event of Default or Default (other than that resulting from borrowing funds to be applied to make such deposit and any similar or simultaneous deposit relating to other Indebtedness and, in each case, the granting of liens and the consummation of other transactions in connection therewith) with respect to the Securities of such Series shall have occurred and be continuing on the date of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Legal Defeasance or Covenant Defeasance shall not cause the Trustee to have a conflicting interest for purposes of the TIA with respect to any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such Legal Defeasance or Covenant Defeasance shall not result in a breach or violation of, or constitute default under, any other agreement or instrument to which the Company is a party or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Company shall have delivered to the Trustee an Officers’ Certificate stating that the deposit under clause (1) was not made by the Company with the intent of defeating, hindering, delaying or defrauding any creditors of the Company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Company shall have paid, or duly provided for payment under terms mutually satisfactory to the Company and the Trustee, all amounts then due to the Trustee pursuant to Section 7.7.</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3"/>
        <w:gridCol w:w="9815"/>
      </w:tblGrid>
      <w:tr>
        <w:trPr/>
        <w:tc>
          <w:tcPr>
            <w:tcW w:w="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9.5.</w:t>
            </w:r>
          </w:p>
        </w:tc>
        <w:tc>
          <w:tcPr>
            <w:tcW w:w="9815" w:type="dxa"/>
            <w:tcBorders/>
            <w:vAlign w:val="center"/>
          </w:tcPr>
          <w:p>
            <w:pPr>
              <w:pStyle w:val="TableContents"/>
              <w:bidi w:val="0"/>
              <w:spacing w:before="0" w:after="283"/>
              <w:jc w:val="left"/>
              <w:rPr/>
            </w:pPr>
            <w:r>
              <w:rPr/>
              <w:t>DEPOSITED MONEY AND U.S. AND FOREIGN GOVERNMENT OBLIGATIONS TO BE HELD IN TRUST; OTHER MISCELLANEOUS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528"/>
        <w:gridCol w:w="8525"/>
      </w:tblGrid>
      <w:tr>
        <w:trPr/>
        <w:tc>
          <w:tcPr>
            <w:tcW w:w="15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pPr>
            <w:r>
              <w:rPr/>
              <w:t>9.6.</w:t>
            </w:r>
          </w:p>
        </w:tc>
        <w:tc>
          <w:tcPr>
            <w:tcW w:w="8525" w:type="dxa"/>
            <w:tcBorders/>
            <w:vAlign w:val="center"/>
          </w:tcPr>
          <w:p>
            <w:pPr>
              <w:pStyle w:val="TableContents"/>
              <w:bidi w:val="0"/>
              <w:spacing w:before="0" w:after="283"/>
              <w:jc w:val="left"/>
              <w:rPr/>
            </w:pPr>
            <w:r>
              <w:rPr/>
              <w:t>REINSTATEMENT.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850"/>
        <w:gridCol w:w="9271"/>
      </w:tblGrid>
      <w:tr>
        <w:trPr/>
        <w:tc>
          <w:tcPr>
            <w:tcW w:w="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pPr>
            <w:r>
              <w:rPr/>
              <w:t>9.7.</w:t>
            </w:r>
          </w:p>
        </w:tc>
        <w:tc>
          <w:tcPr>
            <w:tcW w:w="9271" w:type="dxa"/>
            <w:tcBorders/>
            <w:vAlign w:val="center"/>
          </w:tcPr>
          <w:p>
            <w:pPr>
              <w:pStyle w:val="TableContents"/>
              <w:bidi w:val="0"/>
              <w:spacing w:before="0" w:after="283"/>
              <w:jc w:val="left"/>
              <w:rPr/>
            </w:pPr>
            <w:r>
              <w:rPr/>
              <w:t>MONEYS HELD BY PAYING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017"/>
        <w:gridCol w:w="9087"/>
      </w:tblGrid>
      <w:tr>
        <w:trPr/>
        <w:tc>
          <w:tcPr>
            <w:tcW w:w="10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pPr>
            <w:r>
              <w:rPr/>
              <w:t>9.8.</w:t>
            </w:r>
          </w:p>
        </w:tc>
        <w:tc>
          <w:tcPr>
            <w:tcW w:w="9087" w:type="dxa"/>
            <w:tcBorders/>
            <w:vAlign w:val="center"/>
          </w:tcPr>
          <w:p>
            <w:pPr>
              <w:pStyle w:val="TableContents"/>
              <w:bidi w:val="0"/>
              <w:spacing w:before="0" w:after="283"/>
              <w:jc w:val="left"/>
              <w:rPr/>
            </w:pPr>
            <w:r>
              <w:rPr/>
              <w:t>MONEYS HELD BY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t>MISCELLANEOUS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062"/>
        <w:gridCol w:w="9063"/>
      </w:tblGrid>
      <w:tr>
        <w:trPr/>
        <w:tc>
          <w:tcPr>
            <w:tcW w:w="8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pPr>
            <w:r>
              <w:rPr/>
              <w:t>10.1.</w:t>
            </w:r>
          </w:p>
        </w:tc>
        <w:tc>
          <w:tcPr>
            <w:tcW w:w="9063" w:type="dxa"/>
            <w:tcBorders/>
            <w:vAlign w:val="center"/>
          </w:tcPr>
          <w:p>
            <w:pPr>
              <w:pStyle w:val="TableContents"/>
              <w:bidi w:val="0"/>
              <w:spacing w:before="0" w:after="283"/>
              <w:jc w:val="left"/>
              <w:rPr/>
            </w:pPr>
            <w:r>
              <w:rPr/>
              <w:t>TRUST INDENTURE ACT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3059"/>
        <w:gridCol w:w="6914"/>
      </w:tblGrid>
      <w:tr>
        <w:trPr/>
        <w:tc>
          <w:tcPr>
            <w:tcW w:w="232"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pPr>
            <w:r>
              <w:rPr/>
              <w:t>10.2.</w:t>
            </w:r>
          </w:p>
        </w:tc>
        <w:tc>
          <w:tcPr>
            <w:tcW w:w="6914" w:type="dxa"/>
            <w:tcBorders/>
            <w:vAlign w:val="center"/>
          </w:tcPr>
          <w:p>
            <w:pPr>
              <w:pStyle w:val="TableContents"/>
              <w:bidi w:val="0"/>
              <w:spacing w:before="0" w:after="283"/>
              <w:jc w:val="left"/>
              <w:rPr/>
            </w:pPr>
            <w:r>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given in writing or delivered in Person, delivered by commercial courier service or mailed by first-class mail, postage prepaid,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Winter Street, Suite 250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Massachusetts 02451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(857) 271-2954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02199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951-7000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Thomas Danielski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Federal Street,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603-6549 </w:t>
      </w:r>
    </w:p>
    <w:p>
      <w:pPr>
        <w:pStyle w:val="TextBody"/>
        <w:bidi w:val="0"/>
        <w:spacing w:before="0" w:after="0"/>
        <w:ind w:left="324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J. Gomes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and three Business Days after mailing if sent by registered or certified mail, postage prepaid (except that a notice of change of address shall not be deemed to have been given until actually received by the addressee).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mailed to a Securityholder shall be mailed to such Securityholder by first-class mail, postage prepaid, at such Securityholder’s address shown on the register kept by the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delivers a notice or communication to Securityholders, it shall deliver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Global Securities, notices or communications to be given to Securityholders shall be given to the Depository, in accordance with its applicable policies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manner provided for in the foregoing provisions, notices or communications to Securityholders shall be given by the Company by release made to Reuters Economic Services and Bloomberg Business News.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accept and act upon instructions, including funds transfer instructions (“Instructions”) given by the Company pursuant to this Indenture and delivered using unsecured e-mail, facsimile transmission or other similar unsecured electronic methods (including pdf files) (“Electronic Means”); provided, however, that the Company shall provide to the Trustee an incumbency certificate listing officers with the authority to provide such Instructions (each, an “Authorized Officer”) and containing specimen signatures of such Authorized Officers, which incumbency certificate shall be amended by the Company whenever a person is to be added or deleted from the listing. 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(including electronic images of handwritten signatures and digital signatures provided by DocuSign, Adobe Sign or any other digital signature provider identified by any other party hereto and acceptable to Trustee)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(a) to assume all risks arising out of the use of electronic signatures and Electronic Means to submit notices or Instructions to the Trustee, including without limitation the risk of the Trustee acting on unauthorized notice or Instructions, and the risk of interception and misuse by third parties; and (b) to notify the Trustee in writing immediately upon learning of any compromise or unauthorized use of the security procedures. Any notice, direction, request or demand hereunder to or upon the Trustee shall be deemed to have been sufficiently given or made, for all purposes, if it is in writing and actually received by the Trustee, addressed as provided above or sent electronically in PDF format.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701"/>
        <w:gridCol w:w="9451"/>
      </w:tblGrid>
      <w:tr>
        <w:trPr/>
        <w:tc>
          <w:tcPr>
            <w:tcW w:w="5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pPr>
            <w:r>
              <w:rPr/>
              <w:t>10.3.</w:t>
            </w:r>
          </w:p>
        </w:tc>
        <w:tc>
          <w:tcPr>
            <w:tcW w:w="9451" w:type="dxa"/>
            <w:tcBorders/>
            <w:vAlign w:val="center"/>
          </w:tcPr>
          <w:p>
            <w:pPr>
              <w:pStyle w:val="TableContents"/>
              <w:bidi w:val="0"/>
              <w:spacing w:before="0" w:after="283"/>
              <w:jc w:val="left"/>
              <w:rPr/>
            </w:pPr>
            <w:r>
              <w:rPr/>
              <w:t>COMMUNICATIONS BY HOLDERS WITH OTHER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665"/>
        <w:gridCol w:w="9490"/>
      </w:tblGrid>
      <w:tr>
        <w:trPr/>
        <w:tc>
          <w:tcPr>
            <w:tcW w:w="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10.4.</w:t>
            </w:r>
          </w:p>
        </w:tc>
        <w:tc>
          <w:tcPr>
            <w:tcW w:w="9490" w:type="dxa"/>
            <w:tcBorders/>
            <w:vAlign w:val="center"/>
          </w:tcPr>
          <w:p>
            <w:pPr>
              <w:pStyle w:val="TableContents"/>
              <w:bidi w:val="0"/>
              <w:spacing w:before="0" w:after="283"/>
              <w:jc w:val="left"/>
              <w:rPr/>
            </w:pPr>
            <w:r>
              <w:rPr/>
              <w:t>CERTIFICATE AND OPINION AS TO CONDITIONS PRECEDENT.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Officers’ Certificate (which shall include the statements set forth in Section 10.5 below)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Opinion of Counsel (which shall include the statements set forth in Section 10.5 below)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729"/>
        <w:gridCol w:w="9421"/>
      </w:tblGrid>
      <w:tr>
        <w:trPr/>
        <w:tc>
          <w:tcPr>
            <w:tcW w:w="5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pPr>
            <w:r>
              <w:rPr/>
              <w:t>10.5.</w:t>
            </w:r>
          </w:p>
        </w:tc>
        <w:tc>
          <w:tcPr>
            <w:tcW w:w="9421" w:type="dxa"/>
            <w:tcBorders/>
            <w:vAlign w:val="center"/>
          </w:tcPr>
          <w:p>
            <w:pPr>
              <w:pStyle w:val="TableContents"/>
              <w:bidi w:val="0"/>
              <w:spacing w:before="0" w:after="283"/>
              <w:jc w:val="left"/>
              <w:rPr/>
            </w:pPr>
            <w:r>
              <w:rPr/>
              <w:t>STATEMENT REQUIRED IN CERTIFICATE AND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and opinion with respect to compliance with a condition or covenant provided for in this Indenture (other than pursuant to Section 4.4)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such Person, it or he has made such examination or investigation as is necessary to enable it or him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or not, in the opinion of such Person, such covenant or condition has been complied with.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1111"/>
        <w:gridCol w:w="9010"/>
      </w:tblGrid>
      <w:tr>
        <w:trPr/>
        <w:tc>
          <w:tcPr>
            <w:tcW w:w="8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10.6.</w:t>
            </w:r>
          </w:p>
        </w:tc>
        <w:tc>
          <w:tcPr>
            <w:tcW w:w="9010" w:type="dxa"/>
            <w:tcBorders/>
            <w:vAlign w:val="center"/>
          </w:tcPr>
          <w:p>
            <w:pPr>
              <w:pStyle w:val="TableContents"/>
              <w:bidi w:val="0"/>
              <w:spacing w:before="0" w:after="283"/>
              <w:jc w:val="left"/>
              <w:rPr/>
            </w:pPr>
            <w:r>
              <w:rPr/>
              <w:t>RULES BY TRUSTEE AND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meetings of Securityholders. The Registrar and Paying Agent may make reasonable rules for their functions.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699"/>
        <w:gridCol w:w="9453"/>
      </w:tblGrid>
      <w:tr>
        <w:trPr/>
        <w:tc>
          <w:tcPr>
            <w:tcW w:w="5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10.7.</w:t>
            </w:r>
          </w:p>
        </w:tc>
        <w:tc>
          <w:tcPr>
            <w:tcW w:w="9453" w:type="dxa"/>
            <w:tcBorders/>
            <w:vAlign w:val="center"/>
          </w:tcPr>
          <w:p>
            <w:pPr>
              <w:pStyle w:val="TableContents"/>
              <w:bidi w:val="0"/>
              <w:spacing w:before="0" w:after="283"/>
              <w:jc w:val="left"/>
              <w:rPr/>
            </w:pPr>
            <w:r>
              <w:rPr/>
              <w:t>BUSINESS DAYS; LEGAL HOLIDAYS; PLACE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Day” is a day that is not a Legal Holiday. A “Legal Holiday” is a Saturday, a Sunday, a federally-recognized holiday or a day on which banking institutions are not authorized or required by law, regulation or executive order to be open in the State of New York or Place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877"/>
        <w:gridCol w:w="8186"/>
      </w:tblGrid>
      <w:tr>
        <w:trPr/>
        <w:tc>
          <w:tcPr>
            <w:tcW w:w="14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pPr>
            <w:r>
              <w:rPr/>
              <w:t>10.8.</w:t>
            </w:r>
          </w:p>
        </w:tc>
        <w:tc>
          <w:tcPr>
            <w:tcW w:w="8186" w:type="dxa"/>
            <w:tcBorders/>
            <w:vAlign w:val="center"/>
          </w:tcPr>
          <w:p>
            <w:pPr>
              <w:pStyle w:val="TableContents"/>
              <w:bidi w:val="0"/>
              <w:spacing w:before="0" w:after="283"/>
              <w:jc w:val="left"/>
              <w:rPr/>
            </w:pPr>
            <w:r>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 AS APPLIED TO CONTRACTS MADE AND PERFORMED WITHIN THE STATE OF NEW YORK WITHOUT REGARD TO PRINCIPLES OF CONFLICTS OF LAW.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99"/>
        <w:gridCol w:w="9454"/>
      </w:tblGrid>
      <w:tr>
        <w:trPr/>
        <w:tc>
          <w:tcPr>
            <w:tcW w:w="5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10.9.</w:t>
            </w:r>
          </w:p>
        </w:tc>
        <w:tc>
          <w:tcPr>
            <w:tcW w:w="9454" w:type="dxa"/>
            <w:tcBorders/>
            <w:vAlign w:val="center"/>
          </w:tcPr>
          <w:p>
            <w:pPr>
              <w:pStyle w:val="TableContents"/>
              <w:bidi w:val="0"/>
              <w:spacing w:before="0" w:after="283"/>
              <w:jc w:val="left"/>
              <w:rPr/>
            </w:pPr>
            <w:r>
              <w:rPr/>
              <w:t>NO ADVERSE INTERPRETATION OF OTHER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security or debt agreement of the Company or any Subsidiary thereof. No such indenture, loan, security or debt agreement may be used to interpret this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1369"/>
        <w:gridCol w:w="8753"/>
      </w:tblGrid>
      <w:tr>
        <w:trPr/>
        <w:tc>
          <w:tcPr>
            <w:tcW w:w="8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pPr>
            <w:r>
              <w:rPr/>
              <w:t>10.10.</w:t>
            </w:r>
          </w:p>
        </w:tc>
        <w:tc>
          <w:tcPr>
            <w:tcW w:w="8753" w:type="dxa"/>
            <w:tcBorders/>
            <w:vAlign w:val="center"/>
          </w:tcPr>
          <w:p>
            <w:pPr>
              <w:pStyle w:val="TableContents"/>
              <w:bidi w:val="0"/>
              <w:spacing w:before="0" w:after="283"/>
              <w:jc w:val="left"/>
              <w:rPr/>
            </w:pPr>
            <w:r>
              <w:rPr/>
              <w:t>NO RECOURSE AGAINST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2753"/>
        <w:gridCol w:w="7284"/>
      </w:tblGrid>
      <w:tr>
        <w:trPr/>
        <w:tc>
          <w:tcPr>
            <w:tcW w:w="168"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pPr>
            <w:r>
              <w:rPr/>
              <w:t>10.11.</w:t>
            </w:r>
          </w:p>
        </w:tc>
        <w:tc>
          <w:tcPr>
            <w:tcW w:w="7284" w:type="dxa"/>
            <w:tcBorders/>
            <w:vAlign w:val="center"/>
          </w:tcPr>
          <w:p>
            <w:pPr>
              <w:pStyle w:val="TableContents"/>
              <w:bidi w:val="0"/>
              <w:spacing w:before="0" w:after="283"/>
              <w:jc w:val="left"/>
              <w:rPr/>
            </w:pPr>
            <w:r>
              <w:rPr/>
              <w:t>SUCCESSORS.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602"/>
        <w:gridCol w:w="8505"/>
      </w:tblGrid>
      <w:tr>
        <w:trPr/>
        <w:tc>
          <w:tcPr>
            <w:tcW w:w="9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pPr>
            <w:r>
              <w:rPr/>
              <w:t>10.12.</w:t>
            </w:r>
          </w:p>
        </w:tc>
        <w:tc>
          <w:tcPr>
            <w:tcW w:w="8505" w:type="dxa"/>
            <w:tcBorders/>
            <w:vAlign w:val="center"/>
          </w:tcPr>
          <w:p>
            <w:pPr>
              <w:pStyle w:val="TableContents"/>
              <w:bidi w:val="0"/>
              <w:spacing w:before="0" w:after="283"/>
              <w:jc w:val="left"/>
              <w:rPr/>
            </w:pPr>
            <w:r>
              <w:rPr/>
              <w:t>MULTIPLE 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multiple counterparts of this Indenture. Each signed counterpart shall be deemed an original, but all of them together represent one and the same agreement. Delivery of an executed counterpart by facsimile or PDF shall be effective as delivery of a manually executed counterpart thereof.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208"/>
        <w:gridCol w:w="8924"/>
      </w:tblGrid>
      <w:tr>
        <w:trPr/>
        <w:tc>
          <w:tcPr>
            <w:tcW w:w="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10.13.</w:t>
            </w:r>
          </w:p>
        </w:tc>
        <w:tc>
          <w:tcPr>
            <w:tcW w:w="8924" w:type="dxa"/>
            <w:tcBorders/>
            <w:vAlign w:val="center"/>
          </w:tcPr>
          <w:p>
            <w:pPr>
              <w:pStyle w:val="TableContents"/>
              <w:bidi w:val="0"/>
              <w:spacing w:before="0" w:after="283"/>
              <w:jc w:val="left"/>
              <w:rPr/>
            </w:pPr>
            <w:r>
              <w:rPr/>
              <w:t>TABLE OF CONTENTS, HEADINGS,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2523"/>
        <w:gridCol w:w="7528"/>
      </w:tblGrid>
      <w:tr>
        <w:trPr/>
        <w:tc>
          <w:tcPr>
            <w:tcW w:w="15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pPr>
            <w:r>
              <w:rPr/>
              <w:t>10.14.</w:t>
            </w:r>
          </w:p>
        </w:tc>
        <w:tc>
          <w:tcPr>
            <w:tcW w:w="7528" w:type="dxa"/>
            <w:tcBorders/>
            <w:vAlign w:val="center"/>
          </w:tcPr>
          <w:p>
            <w:pPr>
              <w:pStyle w:val="TableContents"/>
              <w:bidi w:val="0"/>
              <w:spacing w:before="0" w:after="283"/>
              <w:jc w:val="left"/>
              <w:rPr/>
            </w:pPr>
            <w:r>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929"/>
        <w:gridCol w:w="9220"/>
      </w:tblGrid>
      <w:tr>
        <w:trPr/>
        <w:tc>
          <w:tcPr>
            <w:tcW w:w="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pPr>
            <w:r>
              <w:rPr/>
              <w:t>10.15.</w:t>
            </w:r>
          </w:p>
        </w:tc>
        <w:tc>
          <w:tcPr>
            <w:tcW w:w="9220" w:type="dxa"/>
            <w:tcBorders/>
            <w:vAlign w:val="center"/>
          </w:tcPr>
          <w:p>
            <w:pPr>
              <w:pStyle w:val="TableContents"/>
              <w:bidi w:val="0"/>
              <w:spacing w:before="0" w:after="283"/>
              <w:jc w:val="left"/>
              <w:rPr/>
            </w:pPr>
            <w:r>
              <w:rPr/>
              <w:t>SECURITIES IN A FOREIGN CURRENCY OR IN EUROS.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35"/>
        <w:gridCol w:w="2075"/>
      </w:tblGrid>
      <w:tr>
        <w:trPr/>
        <w:tc>
          <w:tcPr>
            <w:tcW w:w="635" w:type="dxa"/>
            <w:tcBorders/>
            <w:vAlign w:val="center"/>
          </w:tcPr>
          <w:p>
            <w:pPr>
              <w:pStyle w:val="TableContents"/>
              <w:bidi w:val="0"/>
              <w:spacing w:before="0" w:after="283"/>
              <w:jc w:val="left"/>
              <w:rPr/>
            </w:pPr>
            <w:r>
              <w:rPr/>
              <w:t>10.16.</w:t>
            </w:r>
          </w:p>
        </w:tc>
        <w:tc>
          <w:tcPr>
            <w:tcW w:w="2075" w:type="dxa"/>
            <w:tcBorders/>
            <w:vAlign w:val="center"/>
          </w:tcPr>
          <w:p>
            <w:pPr>
              <w:pStyle w:val="TableContents"/>
              <w:bidi w:val="0"/>
              <w:spacing w:before="0" w:after="283"/>
              <w:jc w:val="left"/>
              <w:rPr/>
            </w:pPr>
            <w:r>
              <w:rPr/>
              <w:t>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 pandemic, nuclear or natural catastrophes or acts of God, and interruptions, loss or malfunctions of utilities, communications or computer (software and hardware) services; provided that the Trustee shall use reasonable efforts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70"/>
        <w:gridCol w:w="2900"/>
      </w:tblGrid>
      <w:tr>
        <w:trPr/>
        <w:tc>
          <w:tcPr>
            <w:tcW w:w="770" w:type="dxa"/>
            <w:tcBorders/>
            <w:vAlign w:val="center"/>
          </w:tcPr>
          <w:p>
            <w:pPr>
              <w:pStyle w:val="TableContents"/>
              <w:bidi w:val="0"/>
              <w:spacing w:before="0" w:after="283"/>
              <w:jc w:val="left"/>
              <w:rPr/>
            </w:pPr>
            <w:r>
              <w:rPr/>
              <w:t>10.17.   </w:t>
            </w:r>
          </w:p>
        </w:tc>
        <w:tc>
          <w:tcPr>
            <w:tcW w:w="2900" w:type="dxa"/>
            <w:tcBorders/>
            <w:vAlign w:val="center"/>
          </w:tcPr>
          <w:p>
            <w:pPr>
              <w:pStyle w:val="TableContents"/>
              <w:bidi w:val="0"/>
              <w:spacing w:before="0" w:after="283"/>
              <w:jc w:val="left"/>
              <w:rPr/>
            </w:pPr>
            <w:r>
              <w:rP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PPLICABLE LAW, ANY AND ALL RIGHT TO TRIAL BY JURY IN ANY LEGAL PROCEEDING ARISING OUT OF OR RELATING TO THIS INDENTURE, THE SECURITIES OR THE TRANSACTIONS CONTEMPLATED HEREBY.</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80"/>
        <w:gridCol w:w="1835"/>
      </w:tblGrid>
      <w:tr>
        <w:trPr/>
        <w:tc>
          <w:tcPr>
            <w:tcW w:w="680" w:type="dxa"/>
            <w:tcBorders/>
            <w:vAlign w:val="center"/>
          </w:tcPr>
          <w:p>
            <w:pPr>
              <w:pStyle w:val="TableContents"/>
              <w:bidi w:val="0"/>
              <w:spacing w:before="0" w:after="283"/>
              <w:jc w:val="left"/>
              <w:rPr/>
            </w:pPr>
            <w:r>
              <w:rPr/>
              <w:t>10.18. </w:t>
            </w:r>
          </w:p>
        </w:tc>
        <w:tc>
          <w:tcPr>
            <w:tcW w:w="1835" w:type="dxa"/>
            <w:tcBorders/>
            <w:vAlign w:val="center"/>
          </w:tcPr>
          <w:p>
            <w:pPr>
              <w:pStyle w:val="TableContents"/>
              <w:bidi w:val="0"/>
              <w:spacing w:before="0" w:after="283"/>
              <w:jc w:val="left"/>
              <w:rPr>
                <w:sz w:val="20"/>
              </w:rPr>
            </w:pPr>
            <w:r>
              <w:rPr>
                <w:sz w:val="20"/>
              </w:rPr>
              <w:t>U.S.A PATRIOT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35"/>
        <w:gridCol w:w="2825"/>
      </w:tblGrid>
      <w:tr>
        <w:trPr/>
        <w:tc>
          <w:tcPr>
            <w:tcW w:w="635" w:type="dxa"/>
            <w:tcBorders/>
            <w:vAlign w:val="center"/>
          </w:tcPr>
          <w:p>
            <w:pPr>
              <w:pStyle w:val="TableContents"/>
              <w:bidi w:val="0"/>
              <w:spacing w:before="0" w:after="283"/>
              <w:jc w:val="left"/>
              <w:rPr/>
            </w:pPr>
            <w:r>
              <w:rPr/>
              <w:t>10.19.</w:t>
            </w:r>
          </w:p>
        </w:tc>
        <w:tc>
          <w:tcPr>
            <w:tcW w:w="2825" w:type="dxa"/>
            <w:tcBorders/>
            <w:vAlign w:val="center"/>
          </w:tcPr>
          <w:p>
            <w:pPr>
              <w:pStyle w:val="TableContents"/>
              <w:bidi w:val="0"/>
              <w:spacing w:before="0" w:after="283"/>
              <w:jc w:val="left"/>
              <w:rPr/>
            </w:pPr>
            <w:r>
              <w:rPr/>
              <w:t>JUDGMENT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and, if applicable, their respective corporate seals to be hereunto affixed and attested,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784" w:type="dxa"/>
        <w:jc w:val="left"/>
        <w:tblInd w:w="0" w:type="dxa"/>
        <w:tblLayout w:type="fixed"/>
        <w:tblCellMar>
          <w:top w:w="0" w:type="dxa"/>
          <w:left w:w="0" w:type="dxa"/>
          <w:bottom w:w="0" w:type="dxa"/>
          <w:right w:w="0" w:type="dxa"/>
        </w:tblCellMar>
      </w:tblPr>
      <w:tblGrid>
        <w:gridCol w:w="75"/>
        <w:gridCol w:w="1441"/>
        <w:gridCol w:w="5268"/>
      </w:tblGrid>
      <w:tr>
        <w:trPr/>
        <w:tc>
          <w:tcPr>
            <w:tcW w:w="75" w:type="dxa"/>
            <w:tcBorders/>
            <w:vAlign w:val="center"/>
          </w:tcPr>
          <w:p>
            <w:pPr>
              <w:pStyle w:val="TableContents"/>
              <w:bidi w:val="0"/>
              <w:spacing w:before="0" w:after="283"/>
              <w:jc w:val="left"/>
              <w:rPr/>
            </w:pPr>
            <w:r>
              <w:rPr/>
              <w:t> </w:t>
            </w:r>
          </w:p>
        </w:tc>
        <w:tc>
          <w:tcPr>
            <w:tcW w:w="6709" w:type="dxa"/>
            <w:gridSpan w:val="2"/>
            <w:tcBorders/>
            <w:vAlign w:val="center"/>
          </w:tcPr>
          <w:p>
            <w:pPr>
              <w:pStyle w:val="TableContents"/>
              <w:bidi w:val="0"/>
              <w:spacing w:before="0" w:after="283"/>
              <w:jc w:val="left"/>
              <w:rPr/>
            </w:pPr>
            <w:r>
              <w:rPr>
                <w:b/>
              </w:rPr>
              <w:t>ZENAS BIOPHARMA, INC.</w:t>
            </w:r>
            <w:r>
              <w:rPr/>
              <w:t xml:space="preserve">    </w:t>
            </w:r>
          </w:p>
        </w:tc>
      </w:tr>
      <w:tr>
        <w:trPr/>
        <w:tc>
          <w:tcPr>
            <w:tcW w:w="75" w:type="dxa"/>
            <w:tcBorders/>
            <w:vAlign w:val="center"/>
          </w:tcPr>
          <w:p>
            <w:pPr>
              <w:pStyle w:val="TableContents"/>
              <w:bidi w:val="0"/>
              <w:spacing w:before="0" w:after="283"/>
              <w:jc w:val="left"/>
              <w:rPr/>
            </w:pPr>
            <w:r>
              <w:rPr/>
              <w:t> </w:t>
            </w:r>
          </w:p>
        </w:tc>
        <w:tc>
          <w:tcPr>
            <w:tcW w:w="6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By:</w:t>
            </w:r>
          </w:p>
        </w:tc>
        <w:tc>
          <w:tcPr>
            <w:tcW w:w="5268" w:type="dxa"/>
            <w:tcBorders>
              <w:bottom w:val="single" w:sz="8" w:space="0" w:color="000000"/>
            </w:tcBorders>
            <w:tcMar>
              <w:bottom w:w="28" w:type="dxa"/>
            </w:tcMar>
            <w:vAlign w:val="center"/>
          </w:tcPr>
          <w:p>
            <w:pPr>
              <w:pStyle w:val="TableContents"/>
              <w:bidi w:val="0"/>
              <w:spacing w:before="0" w:after="283"/>
              <w:jc w:val="left"/>
              <w:rPr/>
            </w:pPr>
            <w:r>
              <w:rPr/>
              <w:t>/s/ Leon O. Moulder, Jr. </w:t>
            </w:r>
          </w:p>
        </w:tc>
      </w:tr>
      <w:tr>
        <w:trPr/>
        <w:tc>
          <w:tcPr>
            <w:tcW w:w="75"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Name:</w:t>
            </w:r>
          </w:p>
        </w:tc>
        <w:tc>
          <w:tcPr>
            <w:tcW w:w="5268" w:type="dxa"/>
            <w:tcBorders/>
            <w:vAlign w:val="center"/>
          </w:tcPr>
          <w:p>
            <w:pPr>
              <w:pStyle w:val="TableContents"/>
              <w:bidi w:val="0"/>
              <w:spacing w:before="0" w:after="283"/>
              <w:jc w:val="left"/>
              <w:rPr/>
            </w:pPr>
            <w:r>
              <w:rPr/>
              <w:t>Leon O. Moulder, Jr.</w:t>
            </w:r>
          </w:p>
        </w:tc>
      </w:tr>
      <w:tr>
        <w:trPr/>
        <w:tc>
          <w:tcPr>
            <w:tcW w:w="75"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Title:</w:t>
            </w:r>
          </w:p>
        </w:tc>
        <w:tc>
          <w:tcPr>
            <w:tcW w:w="5268"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09" w:type="dxa"/>
            <w:gridSpan w:val="2"/>
            <w:tcBorders/>
            <w:vAlign w:val="center"/>
          </w:tcPr>
          <w:p>
            <w:pPr>
              <w:pStyle w:val="TableContents"/>
              <w:bidi w:val="0"/>
              <w:spacing w:before="0" w:after="283"/>
              <w:jc w:val="left"/>
              <w:rPr/>
            </w:pPr>
            <w:r>
              <w:rPr>
                <w:b/>
              </w:rPr>
              <w:t>U.S. BANK TRUST COMPANY, NATIONAL ASSOCIATION</w:t>
            </w:r>
            <w:r>
              <w:rPr/>
              <w:t> </w:t>
            </w:r>
          </w:p>
        </w:tc>
      </w:tr>
      <w:tr>
        <w:trPr/>
        <w:tc>
          <w:tcPr>
            <w:tcW w:w="75" w:type="dxa"/>
            <w:tcBorders/>
            <w:vAlign w:val="center"/>
          </w:tcPr>
          <w:p>
            <w:pPr>
              <w:pStyle w:val="TableContents"/>
              <w:bidi w:val="0"/>
              <w:spacing w:before="0" w:after="283"/>
              <w:jc w:val="left"/>
              <w:rPr/>
            </w:pPr>
            <w:r>
              <w:rPr/>
              <w:t> </w:t>
            </w:r>
          </w:p>
        </w:tc>
        <w:tc>
          <w:tcPr>
            <w:tcW w:w="6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By:</w:t>
            </w:r>
          </w:p>
        </w:tc>
        <w:tc>
          <w:tcPr>
            <w:tcW w:w="5268" w:type="dxa"/>
            <w:tcBorders>
              <w:bottom w:val="single" w:sz="8" w:space="0" w:color="000000"/>
            </w:tcBorders>
            <w:tcMar>
              <w:bottom w:w="28" w:type="dxa"/>
            </w:tcMar>
            <w:vAlign w:val="center"/>
          </w:tcPr>
          <w:p>
            <w:pPr>
              <w:pStyle w:val="TableContents"/>
              <w:bidi w:val="0"/>
              <w:spacing w:before="0" w:after="283"/>
              <w:jc w:val="left"/>
              <w:rPr/>
            </w:pPr>
            <w:r>
              <w:rPr/>
              <w:t>/s/ Steven J. Gomes</w:t>
            </w:r>
          </w:p>
        </w:tc>
      </w:tr>
      <w:tr>
        <w:trPr/>
        <w:tc>
          <w:tcPr>
            <w:tcW w:w="75"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Name:</w:t>
            </w:r>
          </w:p>
        </w:tc>
        <w:tc>
          <w:tcPr>
            <w:tcW w:w="5268" w:type="dxa"/>
            <w:tcBorders/>
            <w:vAlign w:val="center"/>
          </w:tcPr>
          <w:p>
            <w:pPr>
              <w:pStyle w:val="TableContents"/>
              <w:bidi w:val="0"/>
              <w:spacing w:before="0" w:after="283"/>
              <w:jc w:val="left"/>
              <w:rPr/>
            </w:pPr>
            <w:r>
              <w:rPr/>
              <w:t>Steven J. Gomes</w:t>
            </w:r>
          </w:p>
        </w:tc>
      </w:tr>
      <w:tr>
        <w:trPr/>
        <w:tc>
          <w:tcPr>
            <w:tcW w:w="75"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Title:</w:t>
            </w:r>
          </w:p>
        </w:tc>
        <w:tc>
          <w:tcPr>
            <w:tcW w:w="5268" w:type="dxa"/>
            <w:tcBorders/>
            <w:vAlign w:val="center"/>
          </w:tcPr>
          <w:p>
            <w:pPr>
              <w:pStyle w:val="TableContents"/>
              <w:bidi w:val="0"/>
              <w:spacing w:before="0" w:after="283"/>
              <w:jc w:val="left"/>
              <w:rPr/>
            </w:pPr>
            <w:r>
              <w:rPr/>
              <w:t>Vice President</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30" w:name="tm2610711d1_ex4-2.htm"/>
      <w:bookmarkStart w:id="31" w:name="kstm2610711d1_ex42"/>
      <w:bookmarkEnd w:id="30"/>
      <w:bookmarkEnd w:id="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Convertible Senior Notes due 2032 </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 REFERENCE TABLE*</w:t>
      </w:r>
    </w:p>
    <w:p>
      <w:pPr>
        <w:pStyle w:val="TextBody"/>
        <w:bidi w:val="0"/>
        <w:spacing w:before="0" w:after="0"/>
        <w:ind w:left="0" w:right="0" w:hanging="0"/>
        <w:jc w:val="left"/>
        <w:rPr>
          <w:caps w:val="false"/>
          <w:smallCaps w:val="false"/>
        </w:rPr>
      </w:pPr>
      <w:r>
        <w:rPr>
          <w:caps w:val="false"/>
          <w:smallCaps w:val="false"/>
        </w:rPr>
        <w:t> </w:t>
      </w:r>
    </w:p>
    <w:tbl>
      <w:tblPr>
        <w:tblW w:w="2919" w:type="dxa"/>
        <w:jc w:val="left"/>
        <w:tblInd w:w="0" w:type="dxa"/>
        <w:tblLayout w:type="fixed"/>
        <w:tblCellMar>
          <w:top w:w="0" w:type="dxa"/>
          <w:left w:w="0" w:type="dxa"/>
          <w:bottom w:w="28" w:type="dxa"/>
          <w:right w:w="0" w:type="dxa"/>
        </w:tblCellMar>
      </w:tblPr>
      <w:tblGrid>
        <w:gridCol w:w="1645"/>
        <w:gridCol w:w="114"/>
        <w:gridCol w:w="1160"/>
      </w:tblGrid>
      <w:tr>
        <w:trPr/>
        <w:tc>
          <w:tcPr>
            <w:tcW w:w="1645" w:type="dxa"/>
            <w:tcBorders>
              <w:bottom w:val="single" w:sz="8" w:space="0" w:color="000000"/>
            </w:tcBorders>
            <w:vAlign w:val="center"/>
          </w:tcPr>
          <w:p>
            <w:pPr>
              <w:pStyle w:val="TableContents"/>
              <w:bidi w:val="0"/>
              <w:spacing w:before="0" w:after="283"/>
              <w:jc w:val="center"/>
              <w:rPr>
                <w:sz w:val="20"/>
              </w:rPr>
            </w:pPr>
            <w:r>
              <w:rPr>
                <w:sz w:val="20"/>
              </w:rPr>
              <w:t xml:space="preserve">Trust </w:t>
              <w:br/>
              <w:t xml:space="preserve">Indenture </w:t>
              <w:br/>
              <w:t xml:space="preserve">Act </w:t>
              <w:br/>
              <w:t>Section</w:t>
            </w:r>
          </w:p>
        </w:tc>
        <w:tc>
          <w:tcPr>
            <w:tcW w:w="114" w:type="dxa"/>
            <w:tcBorders/>
            <w:tcMar>
              <w:bottom w:w="0" w:type="dxa"/>
            </w:tcMar>
            <w:vAlign w:val="center"/>
          </w:tcPr>
          <w:p>
            <w:pPr>
              <w:pStyle w:val="TableContents"/>
              <w:bidi w:val="0"/>
              <w:spacing w:before="0" w:after="283"/>
              <w:jc w:val="center"/>
              <w:rPr/>
            </w:pPr>
            <w:r>
              <w:rPr/>
              <w:t> </w:t>
            </w:r>
          </w:p>
        </w:tc>
        <w:tc>
          <w:tcPr>
            <w:tcW w:w="1160" w:type="dxa"/>
            <w:tcBorders>
              <w:bottom w:val="single" w:sz="8" w:space="0" w:color="000000"/>
            </w:tcBorders>
            <w:vAlign w:val="center"/>
          </w:tcPr>
          <w:p>
            <w:pPr>
              <w:pStyle w:val="TableContents"/>
              <w:bidi w:val="0"/>
              <w:spacing w:before="0" w:after="283"/>
              <w:jc w:val="center"/>
              <w:rPr>
                <w:sz w:val="20"/>
              </w:rPr>
            </w:pPr>
            <w:r>
              <w:rPr>
                <w:sz w:val="20"/>
              </w:rPr>
              <w:t xml:space="preserve">Indenture </w:t>
              <w:br/>
              <w:t>Section</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310(a)(1)</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(a)(5)</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(b)(1)</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(b)(2)</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3.02(A)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(c)(1)</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(c)(2)</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(c)(3)</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7.13</w:t>
            </w:r>
          </w:p>
        </w:tc>
      </w:tr>
      <w:tr>
        <w:trPr/>
        <w:tc>
          <w:tcPr>
            <w:tcW w:w="1759"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316(a) (last sentence)</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2.11</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7.07</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7.05</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7.09</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317(a)(1)</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7.10</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7.11</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2.06</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318(a)</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10.15</w:t>
            </w:r>
          </w:p>
        </w:tc>
      </w:tr>
      <w:tr>
        <w:trPr/>
        <w:tc>
          <w:tcPr>
            <w:tcW w:w="16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4"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means not applicable.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Cross Reference Table is not part of the Indenture.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1055"/>
        <w:gridCol w:w="7535"/>
        <w:gridCol w:w="245"/>
      </w:tblGrid>
      <w:tr>
        <w:trPr/>
        <w:tc>
          <w:tcPr>
            <w:tcW w:w="85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 Definitions; Rules of Construction; Scope and Interpretation of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5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of Construction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Scope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55"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5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 The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85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Dating and Denominations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Notes and Additional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 of Interest; Defaulted Amounts; When Payment Date is Not a Business Day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7535" w:type="dxa"/>
            <w:tcBorders/>
            <w:vAlign w:val="center"/>
          </w:tcPr>
          <w:p>
            <w:pPr>
              <w:pStyle w:val="TableContents"/>
              <w:bidi w:val="0"/>
              <w:spacing w:before="0" w:after="283"/>
              <w:jc w:val="left"/>
              <w:rPr/>
            </w:pPr>
            <w:r>
              <w:rPr/>
              <w:t> </w:t>
            </w:r>
            <w:r>
              <w:rPr>
                <w:rFonts w:ascii="Times New Roman;Times;Serif" w:hAnsi="Times New Roman;Times;Serif"/>
                <w:sz w:val="20"/>
              </w:rPr>
              <w:t>Registrar, Paying Agent and Conversion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 and Conversion Agent to Hold Property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Legends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Transfer Restrictions on Notes Subject to Conversion, Redemption or Repurchase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and Cancellation of Notes to Be Converted, Redeemed or Repurchased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 Holders; Certain Rights with Respect to Global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Held by the Company or its Affiliates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2.13</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and ISIN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2.14</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Repurchases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5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85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Act Reports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Stay, Extension and Usury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5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 Repurchase and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85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Holders to Require the Company to Repurchase Notes Upon a Fundamental 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the Company to Redeem the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5"/>
        <w:gridCol w:w="8905"/>
        <w:gridCol w:w="245"/>
      </w:tblGrid>
      <w:tr>
        <w:trPr/>
        <w:tc>
          <w:tcPr>
            <w:tcW w:w="99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5. The Conversion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96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Convert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Procedures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Upon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 and Status of Common Stock Issued Upon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the Conversion Rate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Voluntary Adjustments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the Conversion Rate in Connection with a Make-Whole Fundamental 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in Lieu of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Common Stock Change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5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6. 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96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the Company May Merge,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for Asset Transfers with Wholly Owned 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5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9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7. Defaults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96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Remedy for a Failure to Report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Cure of Defaults; Ability to Cure or Waive Before Event of Default Occurs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Majority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Absolute Right of Holders to Institute Suit for the Enforcement of the Right to Receive Payment and Conversion Consideration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Suit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8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ii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7890" w:type="dxa"/>
        <w:jc w:val="left"/>
        <w:tblInd w:w="0" w:type="dxa"/>
        <w:tblLayout w:type="fixed"/>
        <w:tblCellMar>
          <w:top w:w="0" w:type="dxa"/>
          <w:left w:w="0" w:type="dxa"/>
          <w:bottom w:w="0" w:type="dxa"/>
          <w:right w:w="0" w:type="dxa"/>
        </w:tblCellMar>
      </w:tblPr>
      <w:tblGrid>
        <w:gridCol w:w="1160"/>
        <w:gridCol w:w="6485"/>
        <w:gridCol w:w="245"/>
      </w:tblGrid>
      <w:tr>
        <w:trPr/>
        <w:tc>
          <w:tcPr>
            <w:tcW w:w="76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8. Amendments, Supplements and Waivers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6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the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the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Amendments, Supplements and Waivers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Effect and Solicitation of Consents; Special Record Dates;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Notations and Exchanges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to Execute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9. Satisfaction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76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Company’s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10. 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76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Rules by the Trustee, the Registrar, the Paying Agent and the Conversion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Personal Liability of Directors, Officers, Employees and Stockholders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Adverse Interpretation of Other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Indenture Act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515"/>
        <w:gridCol w:w="740"/>
      </w:tblGrid>
      <w:tr>
        <w:trPr/>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 Form of Note</w:t>
            </w:r>
          </w:p>
        </w:tc>
        <w:tc>
          <w:tcPr>
            <w:tcW w:w="740" w:type="dxa"/>
            <w:tcBorders/>
            <w:vAlign w:val="center"/>
          </w:tcPr>
          <w:p>
            <w:pPr>
              <w:pStyle w:val="TableContents"/>
              <w:bidi w:val="0"/>
              <w:spacing w:before="0" w:after="283"/>
              <w:jc w:val="right"/>
              <w:rPr/>
            </w:pPr>
            <w:r>
              <w:rPr/>
              <w:t>     </w:t>
            </w:r>
            <w:r>
              <w:rPr>
                <w:rFonts w:ascii="Times New Roman;Times;Serif" w:hAnsi="Times New Roman;Times;Serif"/>
                <w:sz w:val="20"/>
              </w:rPr>
              <w:t>A-1</w:t>
            </w:r>
          </w:p>
        </w:tc>
      </w:tr>
      <w:tr>
        <w:trPr/>
        <w:tc>
          <w:tcPr>
            <w:tcW w:w="351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r>
      <w:tr>
        <w:trPr/>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B-1: Form of Global Note Legend</w:t>
            </w:r>
          </w:p>
        </w:tc>
        <w:tc>
          <w:tcPr>
            <w:tcW w:w="740" w:type="dxa"/>
            <w:tcBorders/>
            <w:vAlign w:val="center"/>
          </w:tcPr>
          <w:p>
            <w:pPr>
              <w:pStyle w:val="TableContents"/>
              <w:bidi w:val="0"/>
              <w:spacing w:before="0" w:after="283"/>
              <w:jc w:val="right"/>
              <w:rPr/>
            </w:pPr>
            <w:r>
              <w:rPr/>
              <w:t>     </w:t>
            </w:r>
            <w:r>
              <w:rPr>
                <w:rFonts w:ascii="Times New Roman;Times;Serif" w:hAnsi="Times New Roman;Times;Serif"/>
                <w:sz w:val="20"/>
              </w:rPr>
              <w:t>B1-1</w:t>
            </w:r>
          </w:p>
        </w:tc>
      </w:tr>
      <w:tr>
        <w:trPr/>
        <w:tc>
          <w:tcPr>
            <w:tcW w:w="351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r>
      <w:tr>
        <w:trPr/>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B-2: Form of Non-Affiliate Legend</w:t>
            </w:r>
          </w:p>
        </w:tc>
        <w:tc>
          <w:tcPr>
            <w:tcW w:w="740" w:type="dxa"/>
            <w:tcBorders/>
            <w:vAlign w:val="center"/>
          </w:tcPr>
          <w:p>
            <w:pPr>
              <w:pStyle w:val="TableContents"/>
              <w:bidi w:val="0"/>
              <w:spacing w:before="0" w:after="283"/>
              <w:jc w:val="right"/>
              <w:rPr/>
            </w:pPr>
            <w:r>
              <w:rPr/>
              <w:t>     </w:t>
            </w:r>
            <w:r>
              <w:rPr>
                <w:rFonts w:ascii="Times New Roman;Times;Serif" w:hAnsi="Times New Roman;Times;Serif"/>
                <w:sz w:val="20"/>
              </w:rPr>
              <w:t>B2-1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iv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 SUPPLEMENTAL INDENTURE</w:t>
      </w:r>
      <w:r>
        <w:rPr>
          <w:rFonts w:ascii="Times New Roman;Times;Serif" w:hAnsi="Times New Roman;Times;Serif"/>
          <w:b w:val="false"/>
          <w:i w:val="false"/>
          <w:caps w:val="false"/>
          <w:smallCaps w:val="false"/>
          <w:sz w:val="20"/>
        </w:rPr>
        <w:t>, dated as of March 31, 2026, between Zenas BioPharma, Inc., a Delaware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the Base Indenture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Sections 2.1, 2.2 and 8.1(5) of the Base Indenture authorize the Company to execute a supplemental indenture thereto to set forth the terms and other provisions of any new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establishment of a new Series of Securities to be titled the Company’s “2.50%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and has duly authorized the issuance of Notes initially in an aggregate principal amount not to exceed two hundred million dollars ($200,000,000) (as increased by an amount equal to the aggregate principal amount of any additional Notes purchased by the Underwriters pursuant to the exercise of the Shoe Option), subject to </w:t>
      </w:r>
      <w:r>
        <w:rPr>
          <w:rFonts w:ascii="Times New Roman;Times;Serif" w:hAnsi="Times New Roman;Times;Serif"/>
          <w:b/>
          <w:i w:val="false"/>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to provide the terms and conditions of the Notes, the Company has duly authorized the execution and delivery of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acts and things necessary to make the Notes, when executed by the Company and authenticated and delivered by the Trustee or a duly authorized authenticating agent, as provided in the Indenture, the valid, binding and legal obligations of the Company, and the Indenture a valid agreement according to its terms, have been done and performed, and the execution of this Supplemental Indenture and the issuance under the Indenture of the Notes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THIS SUPPLEMENTAL INDENTURE WITNESSETH</w:t>
      </w:r>
      <w:r>
        <w:rPr>
          <w:rFonts w:ascii="Times New Roman;Times;Serif" w:hAnsi="Times New Roman;Times;Serif"/>
          <w:b w:val="false"/>
          <w:i w:val="false"/>
          <w:caps w:val="false"/>
          <w:smallCaps w:val="false"/>
          <w:sz w:val="20"/>
        </w:rPr>
        <w:t>, that to declare the terms and conditions upon which the Notes are, and are to be, authenticated, issued and delivered, and in consideration of the premises and of the purchase and acceptance of the Notes by the Holders, the Company covenants and agrees with the Trustee for the equal and proportionate benefit of the respective Holders from time to time (except as otherwise provided in the Indenture)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w:t>
      </w:r>
      <w:r>
        <w:rPr>
          <w:rFonts w:ascii="Times New Roman;Times;Serif" w:hAnsi="Times New Roman;Times;Serif"/>
          <w:b/>
          <w:i w:val="false"/>
          <w:caps/>
          <w:sz w:val="20"/>
        </w:rPr>
        <w:t>Definitions; Rules of Construction; Scope and Interpretation of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w:t>
      </w:r>
      <w:r>
        <w:rPr>
          <w:rFonts w:ascii="Times New Roman;Times;Serif" w:hAnsi="Times New Roman;Times;Serif"/>
          <w:b/>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last paragraph of ‎</w:t>
      </w:r>
      <w:r>
        <w:rPr>
          <w:rFonts w:ascii="Times New Roman;Times;Serif" w:hAnsi="Times New Roman;Times;Serif"/>
          <w:b/>
          <w:i w:val="false"/>
          <w:caps w:val="false"/>
          <w:smallCaps w:val="false"/>
          <w:sz w:val="20"/>
        </w:rPr>
        <w:t>Section 1.03</w:t>
      </w:r>
      <w:r>
        <w:rPr>
          <w:rFonts w:ascii="Times New Roman;Times;Serif" w:hAnsi="Times New Roman;Times;Serif"/>
          <w:b w:val="false"/>
          <w:i w:val="false"/>
          <w:caps w:val="false"/>
          <w:smallCaps w:val="false"/>
          <w:sz w:val="20"/>
        </w:rPr>
        <w:t>, capitalized terms used in this Supplemental Indenture without definition have the respective meanings ascribed to them in the Base Indenture. The terms defined in this Section 1.01 or referenced in Section 1.02 (except as otherwise expressly provided or unless the context otherwise requires) will apply for all purposes of the Indenture (and any further supplement thereto) as it relates to the Notes and will supersede any conflicting definitions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144 as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Denomination</w:t>
      </w:r>
      <w:r>
        <w:rPr>
          <w:rFonts w:ascii="Times New Roman;Times;Serif" w:hAnsi="Times New Roman;Times;Serif"/>
          <w:b w:val="false"/>
          <w:i w:val="false"/>
          <w:caps w:val="false"/>
          <w:smallCaps w:val="false"/>
          <w:sz w:val="20"/>
        </w:rPr>
        <w:t>” means, with respect to a Note, a principal amount thereof equal to $1,000 or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United States Code, or any similar U.S. federal or state or non-U.S.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means that certain Indenture, dated as of March 31, 2026, between the Company and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means the Person who is required to obtain bids for the Trading Price in accordance with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xml:space="preserve"> and the definition of “Trading Price.” The initial Bid Solicitation Agent on the Issue Date will be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appoint any other Person (including any of the Company’s Subsidiaries) to be the Bid Solicitation Agent at any time after the Issue Date without prior notice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on behalf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day on which the Federal Reserve Bank of New York is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the Company, subject to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Person named as such in the first paragraph of this Supplemental Indenture and, 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request or order signed on behalf of the Company by one (1) of its Officers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means, with respect to any Note, the conversion of such note pursuant to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into Conversion Consideration. The terms “Convert,” “Converted,” “Convertible,” “Converting” and similar capitalized terms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means, with respect to a Note, the first Business Day on which the requirements set forth in ‎‎</w:t>
      </w:r>
      <w:r>
        <w:rPr>
          <w:rFonts w:ascii="Times New Roman;Times;Serif" w:hAnsi="Times New Roman;Times;Serif"/>
          <w:b/>
          <w:i w:val="false"/>
          <w:caps w:val="false"/>
          <w:smallCaps w:val="false"/>
          <w:sz w:val="20"/>
        </w:rPr>
        <w:t>Section 5.02(A)</w:t>
      </w:r>
      <w:r>
        <w:rPr>
          <w:rFonts w:ascii="Times New Roman;Times;Serif" w:hAnsi="Times New Roman;Times;Serif"/>
          <w:b w:val="false"/>
          <w:i w:val="false"/>
          <w:caps w:val="false"/>
          <w:smallCaps w:val="false"/>
          <w:sz w:val="20"/>
        </w:rPr>
        <w:t> to Convert such Note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an amount equal to ‎(A) one thousand dollars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Conversion Rate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initially means 37.7358 shares of Common Stock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Conversion Rate is subject to adjustment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whenever this Supplemental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w:t>
      </w:r>
      <w:r>
        <w:rPr>
          <w:rFonts w:ascii="Times New Roman;Times;Serif" w:hAnsi="Times New Roman;Times;Serif"/>
          <w:b w:val="false"/>
          <w:i w:val="false"/>
          <w:caps w:val="false"/>
          <w:smallCaps w:val="false"/>
          <w:sz w:val="20"/>
        </w:rPr>
        <w:t>” means any share of Common Stock issued or issuable upon Conversion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Cash Amount</w:t>
      </w:r>
      <w:r>
        <w:rPr>
          <w:rFonts w:ascii="Times New Roman;Times;Serif" w:hAnsi="Times New Roman;Times;Serif"/>
          <w:b w:val="false"/>
          <w:i w:val="false"/>
          <w:caps w:val="false"/>
          <w:smallCaps w:val="false"/>
          <w:sz w:val="20"/>
        </w:rPr>
        <w:t>” means, with respect to any VWAP Trading Day, the lesser of ‎(A) the applicable Daily Maximum Cash Amount; and ‎(B) the Daily Conversion Value for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with respect to any VWAP Trading Day, one-twenty-fifth (1/25th) of the product of ‎(A) the Conversion Rate on such VWAP Trading Day; and ‎(B) the Daily VWAP per share of Common Stock on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Maximum Cash Amount</w:t>
      </w:r>
      <w:r>
        <w:rPr>
          <w:rFonts w:ascii="Times New Roman;Times;Serif" w:hAnsi="Times New Roman;Times;Serif"/>
          <w:b w:val="false"/>
          <w:i w:val="false"/>
          <w:caps w:val="false"/>
          <w:smallCaps w:val="false"/>
          <w:sz w:val="20"/>
        </w:rPr>
        <w:t>” means, with respect to the Conversion of any Note, the quotient obtained by dividing ‎(A) the Specified Dollar Amount applicable to such Conversion by ‎(B) twenty-five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Share Amount</w:t>
      </w:r>
      <w:r>
        <w:rPr>
          <w:rFonts w:ascii="Times New Roman;Times;Serif" w:hAnsi="Times New Roman;Times;Serif"/>
          <w:b w:val="false"/>
          <w:i w:val="false"/>
          <w:caps w:val="false"/>
          <w:smallCaps w:val="false"/>
          <w:sz w:val="20"/>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any VWAP Trading Day, the per share volume-weighted average price of the Common Stock as displayed under the heading “Bloomberg VWAP” on Bloomberg page “ZBIO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Underwriters). The Daily VWAP will be determined without regard to after-hours trading or any other trading outside of the regular trading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xml:space="preserve">” means, initially, Physical Settlement;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(x) subject to ‎</w:t>
      </w:r>
      <w:r>
        <w:rPr>
          <w:rFonts w:ascii="Times New Roman;Times;Serif" w:hAnsi="Times New Roman;Times;Serif"/>
          <w:b/>
          <w:i w:val="false"/>
          <w:caps w:val="false"/>
          <w:smallCaps w:val="false"/>
          <w:sz w:val="20"/>
        </w:rPr>
        <w:t>Section 5.03(A)(iii)</w:t>
      </w:r>
      <w:r>
        <w:rPr>
          <w:rFonts w:ascii="Times New Roman;Times;Serif" w:hAnsi="Times New Roman;Times;Serif"/>
          <w:b w:val="false"/>
          <w:i w:val="false"/>
          <w:caps w:val="false"/>
          <w:smallCaps w:val="false"/>
          <w:sz w:val="20"/>
        </w:rPr>
        <w:t>, the Company may, from time to time, change the Default Settlement Method, to any Settlement Method that the Company is then permitted to elect, by sending notice of the new Default Settlement Method to the Holders, the Trustee and the Conversion Agent (if other than the Trustee); (y) the Default Settlement Method will be subject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and (z) no such change to the Default Settlement Method will affect any Settlement Method theretofore elected (or deemed to be elected) with respect to any Note pursuant to the Indenture (including pursuant to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Participant</w:t>
      </w:r>
      <w:r>
        <w:rPr>
          <w:rFonts w:ascii="Times New Roman;Times;Serif" w:hAnsi="Times New Roman;Times;Serif"/>
          <w:b w:val="false"/>
          <w:i w:val="false"/>
          <w:caps w:val="false"/>
          <w:smallCaps w:val="false"/>
          <w:sz w:val="20"/>
        </w:rPr>
        <w:t>” means any member of, or participant in,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Procedures</w:t>
      </w:r>
      <w:r>
        <w:rPr>
          <w:rFonts w:ascii="Times New Roman;Times;Serif" w:hAnsi="Times New Roman;Times;Serif"/>
          <w:b w:val="false"/>
          <w:i w:val="false"/>
          <w:caps w:val="false"/>
          <w:smallCaps w:val="false"/>
          <w:sz w:val="20"/>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the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in relation to a stock split or stock combination of the Common Stock, means the first date on which the shares of Common Stock trade on the relevant stock exchange, regular way, reflecting the relevant stock split or stock combination,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means any Fundamental Change with respect to which, in accordance with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 the Company does not offer to repurchase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13(d)(3) of the Exchange Act), other than the Company or its Wholly Owned Subsidiaries, or its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stockholders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ceases to be listed on any of the New York Stock Exchange, The Nasdaq Capital Market, The Nasdaq Global Market or The Nasdaq Global Select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transaction or event described in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definition, (x) any transaction or event described in both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i w:val="false"/>
          <w:caps w:val="false"/>
          <w:smallCaps w:val="false"/>
          <w:sz w:val="20"/>
        </w:rPr>
        <w:t>clause (B)(i)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above (without regard to the proviso in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will be deemed to occur solely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above (subject to such proviso); and (y) whether a Person is a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whether shares are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and percentage beneficial ownership, will be determined in accordance with Rule 13d-3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references to the “Common Stock” and the Company’s “Common Equity” in this definition will be subject to ‎</w:t>
      </w:r>
      <w:r>
        <w:rPr>
          <w:rFonts w:ascii="Times New Roman;Times;Serif" w:hAnsi="Times New Roman;Times;Serif"/>
          <w:b/>
          <w:i w:val="false"/>
          <w:caps w:val="false"/>
          <w:smallCaps w:val="false"/>
          <w:sz w:val="20"/>
        </w:rPr>
        <w:t>Section 5.09(A)(1)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means the date fixed for the repurchase of any Notes by the Company pursuant to a Repurchase Upon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means a notice (including a notice substantially in the form of the “Fundamental Change Repurchase Notice”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containing the information, or otherwise complying with the requirements, set forth in ‎‎</w:t>
      </w:r>
      <w:r>
        <w:rPr>
          <w:rFonts w:ascii="Times New Roman;Times;Serif" w:hAnsi="Times New Roman;Times;Serif"/>
          <w:b/>
          <w:i w:val="false"/>
          <w:caps w:val="false"/>
          <w:smallCaps w:val="false"/>
          <w:sz w:val="20"/>
        </w:rPr>
        <w:t>Section 4.02(F)(i)</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Section 4.02(F)(ii)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means the cash price payable by the Company to repurchase any Note upon its Repurchase Upon Fundamental Change, calculated pursuant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means a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Depositary or its nominee, duly executed by the Company and authenticated by the Trustee, and deposited with the Trustee, as custodian for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person in whose name a Note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the Base Indenture, as amended by this Supplemental Indenture, and as the same may be further amended or supplemented from time to time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with respect to a Note, notwithstanding anything to the contrary in Section 1.1 of the Base Indenture, each April 1 and October 1 of each year, commencing on October 1, 2026 (or such other date specified in the certificate representing such Note). For the avoidance of doubt, the Maturity Date is an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Underwriters.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hours. Neither the Trustee nor the Conversion Agent will have any duty to determine the Last Reported Sale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 a Fundamental Change (determined after giving effect to the proviso immediately after </w:t>
      </w:r>
      <w:r>
        <w:rPr>
          <w:rFonts w:ascii="Times New Roman;Times;Serif" w:hAnsi="Times New Roman;Times;Serif"/>
          <w:b/>
          <w:i w:val="false"/>
          <w:caps w:val="false"/>
          <w:smallCaps w:val="false"/>
          <w:sz w:val="20"/>
        </w:rPr>
        <w:t>clause (D)</w:t>
      </w:r>
      <w:r>
        <w:rPr>
          <w:rFonts w:ascii="Times New Roman;Times;Serif" w:hAnsi="Times New Roman;Times;Serif"/>
          <w:b w:val="false"/>
          <w:i w:val="false"/>
          <w:caps w:val="false"/>
          <w:smallCaps w:val="false"/>
          <w:sz w:val="20"/>
        </w:rPr>
        <w:t xml:space="preserve"> of the definition thereof, but without regard to the proviso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of such definition); or ‎(B) the sending of a Redemption Notice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sending of a Redemption Notice will constitute a Make-Whole Fundamental Change only with respect to the Notes called (or deemed, pursuant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to be called) for Redemption pursuant to such Redemption Notice and not with respect to any other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Conversion Period</w:t>
      </w:r>
      <w:r>
        <w:rPr>
          <w:rFonts w:ascii="Times New Roman;Times;Serif" w:hAnsi="Times New Roman;Times;Serif"/>
          <w:b w:val="false"/>
          <w:i w:val="false"/>
          <w:caps w:val="false"/>
          <w:smallCaps w:val="false"/>
          <w:sz w:val="20"/>
        </w:rPr>
        <w:t>” has the following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of the definition thereof, the period from, and including, the Make-Whole Fundamental Change Effective Date of such Make-Whole Fundamental Change to, and including, the thirty-fifth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 the period from, and including, the Redemption Notice Date for the related Redemption to, and including, the second (2nd) Scheduled Trading Day immediately before the related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Conversion Date for the Conversion of a Note that has been called (or deemed, pursuant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to be called) for Redemption occurs during the Make-Whole Fundamental Change Conversion Period for both a Make-Whole Fundamental Change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of “Make-Whole Fundamental Change” and a Make-Whole Fundamental Change resulting from such Redemption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such definition, then, notwithstanding anything to the contrary in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Effective Date</w:t>
      </w:r>
      <w:r>
        <w:rPr>
          <w:rFonts w:ascii="Times New Roman;Times;Serif" w:hAnsi="Times New Roman;Times;Serif"/>
          <w:b w:val="false"/>
          <w:i w:val="false"/>
          <w:caps w:val="false"/>
          <w:smallCaps w:val="false"/>
          <w:sz w:val="20"/>
        </w:rPr>
        <w:t xml:space="preserve">” means ‎(A) with respect to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date on which such Make-Whole Fundamental Change occurs or becomes effective; and ‎(B) with respect to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 the applicable Redemption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April 1,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Non-Affiliate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Agent</w:t>
      </w:r>
      <w:r>
        <w:rPr>
          <w:rFonts w:ascii="Times New Roman;Times;Serif" w:hAnsi="Times New Roman;Times;Serif"/>
          <w:b w:val="false"/>
          <w:i w:val="false"/>
          <w:caps w:val="false"/>
          <w:smallCaps w:val="false"/>
          <w:sz w:val="20"/>
        </w:rPr>
        <w:t>” means any Registrar, Paying Agent or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2.50% Convertible Senior Notes due 2032 issued by the Company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xml:space="preserve">” means, with respect to any Note to be Converted, ‎(A)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below, if the Conversion Date for such Note occurs before January 1, 2032, the twenty-five (25)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and on or before the second (2nd) Scheduled Trading Day before the related Redemption Date, the twenty-five (25) consecutive VWAP Trading Days beginning on, and including, the twenty-sixth (26th) Scheduled Trading Day immediately before such Redemption Date; and ‎(C)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above, if such Conversion Date occurs on or after January 1, 2032, the twenty-five (25) consecutive VWAP Trading Days beginning on, and including, the twenty-sixth (26th)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Note</w:t>
      </w:r>
      <w:r>
        <w:rPr>
          <w:rFonts w:ascii="Times New Roman;Times;Serif" w:hAnsi="Times New Roman;Times;Serif"/>
          <w:b w:val="false"/>
          <w:i w:val="false"/>
          <w:caps w:val="false"/>
          <w:smallCaps w:val="false"/>
          <w:sz w:val="20"/>
        </w:rPr>
        <w:t xml:space="preserve">” means a Note (other than a Global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Holder of such Note and duly executed by the Company and authenticated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xml:space="preserve">” means, with respect to a Business Combination Event, a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if such Business Combination Event is an Exempted Fundamental Change, a limited liability company, limited partnership or other similar entity will also constitute a Qualified Successor Entity with respect to such Business Combination Event; and (ii) a limited liability company or limited partnership that is the resulting, surviving or transferee Person of such Business Combination Event will also constitute a Qualified Successor Entity with respect to such Business Combination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(ii) all of the following conditions are satisfied: (1) either (x) such limited liability company or limited partnership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will not be treated as an exchange under Section 1001 of the Internal Revenue Code of 1986, as amended, for Holders or beneficial owners of the Notes; (2) such Business Combination Event constitutes a Common Stock Change Event whose Reference Property consists solely of any combination of cash in dollars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such limited liability company or limited partnership; and (3) if such limited liability company or limited partnership is disregarded as separate from its owner for U.S. federal income tax purposes, its regarded owner for those purposes is an entity described in clause (ii)(2).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means the repurchase of any Note by the Company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the date fixed, pursuant to ‎</w:t>
      </w:r>
      <w:r>
        <w:rPr>
          <w:rFonts w:ascii="Times New Roman;Times;Serif" w:hAnsi="Times New Roman;Times;Serif"/>
          <w:b/>
          <w:i w:val="false"/>
          <w:caps w:val="false"/>
          <w:smallCaps w:val="false"/>
          <w:sz w:val="20"/>
        </w:rPr>
        <w:t>Section 4.03(D)</w:t>
      </w:r>
      <w:r>
        <w:rPr>
          <w:rFonts w:ascii="Times New Roman;Times;Serif" w:hAnsi="Times New Roman;Times;Serif"/>
          <w:b w:val="false"/>
          <w:i w:val="false"/>
          <w:caps w:val="false"/>
          <w:smallCaps w:val="false"/>
          <w:sz w:val="20"/>
        </w:rPr>
        <w:t>, for the settlement of the repurchase of any Notes by the Company pursuant to a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means, with respect to a Redemption, the date on which the Company sends the Redemption Notice for such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means the cash price payable by the Company to redeem any Note upon its Redemption, calculated pursuant to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has the following meaning with respect to an Interest Payment Date: ‎(A) if such Interest Payment Date occurs on April 1, the immediately preceding March 15 (whether or not a Business Day); and ‎(B) if such Interest Payment Date occurs on October 1, the immediately preceding September 15 (whether or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Upon Fundamental Change</w:t>
      </w:r>
      <w:r>
        <w:rPr>
          <w:rFonts w:ascii="Times New Roman;Times;Serif" w:hAnsi="Times New Roman;Times;Serif"/>
          <w:b w:val="false"/>
          <w:i w:val="false"/>
          <w:caps w:val="false"/>
          <w:smallCaps w:val="false"/>
          <w:sz w:val="20"/>
        </w:rPr>
        <w:t>” means the repurchase of any Note by the Company pursuant to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the Indenture is referred because of such person’s knowledge of and familiarity with the particular subject and who, in each case, shall have direct responsibility for the administration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thereto),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Cash Settlement, Physical Settlement or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Shoe Option</w:t>
      </w:r>
      <w:r>
        <w:rPr>
          <w:rFonts w:ascii="Times New Roman;Times;Serif" w:hAnsi="Times New Roman;Times;Serif"/>
          <w:b w:val="false"/>
          <w:i w:val="false"/>
          <w:caps w:val="false"/>
          <w:smallCaps w:val="false"/>
          <w:sz w:val="20"/>
        </w:rPr>
        <w:t>” means the Underwriters’ option to purchase up to thirty million dollars ($30,000,000) aggregate principal amount of additional Notes, solely to cover over-allotments, as provided for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with respect to any Person, any Subsidiary of such Person that constitutes a “significant subsidiary” (as defined in Rule 1-02(w) of Regulation S-X under the Exchange Act)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Interest</w:t>
      </w:r>
      <w:r>
        <w:rPr>
          <w:rFonts w:ascii="Times New Roman;Times;Serif" w:hAnsi="Times New Roman;Times;Serif"/>
          <w:b w:val="false"/>
          <w:i w:val="false"/>
          <w:caps w:val="false"/>
          <w:smallCaps w:val="false"/>
          <w:sz w:val="20"/>
        </w:rPr>
        <w:t>” means any interest that accrues on any Note pursuant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with respect to the Conversion of a Note to which Combination Settlement applies, the maximum cash amount per $1,000 principal amount of such Note deliverable upon such Conversion (excluding cash in lieu of any fractional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means this First Supplemental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Underwriters;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U.S.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such in the first paragraph of this Supplemental Indenture until a successor replaces it in accordance with the provisions of the Indenture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has the meaning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means that certain Underwriting Agreement, dated March 26, 2026, among the Company and Jefferies LLC, Evercore Group L.L.C., Citigroup Global Markets Inc. and Guggenheim Securities, LLC, as the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Market Disruption Event</w:t>
      </w:r>
      <w:r>
        <w:rPr>
          <w:rFonts w:ascii="Times New Roman;Times;Serif" w:hAnsi="Times New Roman;Times;Serif"/>
          <w:b w:val="false"/>
          <w:i w:val="false"/>
          <w:caps w:val="false"/>
          <w:smallCaps w:val="false"/>
          <w:sz w:val="20"/>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Trading Day</w:t>
      </w:r>
      <w:r>
        <w:rPr>
          <w:rFonts w:ascii="Times New Roman;Times;Serif" w:hAnsi="Times New Roman;Times;Serif"/>
          <w:b w:val="false"/>
          <w:i w:val="false"/>
          <w:caps w:val="false"/>
          <w:smallCaps w:val="false"/>
          <w:sz w:val="20"/>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1.02      </w:t>
      </w:r>
      <w:r>
        <w:rPr>
          <w:rFonts w:ascii="Times New Roman;Times;Serif" w:hAnsi="Times New Roman;Times;Serif"/>
          <w:b/>
          <w:i w:val="false"/>
          <w:smallCaps/>
          <w:sz w:val="20"/>
        </w:rPr>
        <w:t>Other Definitions.</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28" w:type="dxa"/>
          <w:right w:w="0" w:type="dxa"/>
        </w:tblCellMar>
      </w:tblPr>
      <w:tblGrid>
        <w:gridCol w:w="3755"/>
        <w:gridCol w:w="60"/>
        <w:gridCol w:w="1820"/>
        <w:gridCol w:w="75"/>
      </w:tblGrid>
      <w:tr>
        <w:trPr/>
        <w:tc>
          <w:tcPr>
            <w:tcW w:w="3755" w:type="dxa"/>
            <w:tcBorders>
              <w:bottom w:val="single" w:sz="8" w:space="0" w:color="000000"/>
            </w:tcBorders>
            <w:shd w:fill="FFFFFF" w:val="cle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Defined in</w:t>
              <w:br/>
              <w:t>Section </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Additional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5.07(A)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Business Combination Event”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6.01(A)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Cash Settlement”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5.03(A)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Combination Settlement”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5.03(A)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Common Stock Change Event”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5.09(A)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Conversion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2.05(A)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Conversion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5.03(B)</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Default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2.04(B)</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Defaulted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2.04(B)</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Event of Default”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7.01(A)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Expiration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5.05(A)(v)</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Expiration Time”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5.05(A)(v)</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Fundamental Change Notice”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4.02(E)</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Fundamental Change Repurchase Right”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4.02(A)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Initial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2.02(A)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Measurement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5.01(C)(i)(2)</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Paying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2.05(A)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Partial Redemption Limitation”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4.03(B)</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Physical Settlement”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5.03(A)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Redemption Notice”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4.03(F)</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Reference Property”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5.09(A)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Reference Property Unit”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5.09(A)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Register”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2.05(B)</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Registrar”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2.05(A)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Reporting Event of Default”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7.03(A)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Specified Courts”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10.05</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Spin-Off”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5.05(A)(iii)(2)</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Spin-Off Valuation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5.05(A)(iii)(2)</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Stated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2.04(A)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Successor Entity”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6.01(A)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Successor Person”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5.09(A)</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Tender/Exchange Offer Valuation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5.05(A)(v)</w:t>
            </w:r>
          </w:p>
        </w:tc>
        <w:tc>
          <w:tcPr>
            <w:tcW w:w="75" w:type="dxa"/>
            <w:tcBorders/>
            <w:shd w:fill="FFFFFF" w:val="clear"/>
            <w:tcMar>
              <w:bottom w:w="0" w:type="dxa"/>
            </w:tcMar>
            <w:vAlign w:val="center"/>
          </w:tcPr>
          <w:p>
            <w:pPr>
              <w:pStyle w:val="TableContents"/>
              <w:bidi w:val="0"/>
              <w:spacing w:before="0" w:after="283"/>
              <w:ind w:left="0" w:right="0" w:hanging="144"/>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pPr>
            <w:r>
              <w:rPr/>
              <w:t>“</w:t>
            </w:r>
            <w:r>
              <w:rPr>
                <w:rFonts w:ascii="Times New Roman;Times;Serif" w:hAnsi="Times New Roman;Times;Serif"/>
                <w:b/>
                <w:sz w:val="20"/>
              </w:rPr>
              <w:t>Trading Price Condition”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b/>
                <w:sz w:val="20"/>
              </w:rPr>
              <w:t>Section 5.01(C)(i)(2)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1.03      </w:t>
      </w:r>
      <w:r>
        <w:rPr>
          <w:rFonts w:ascii="Times New Roman;Times;Serif" w:hAnsi="Times New Roman;Times;Serif"/>
          <w:b/>
          <w:i w:val="false"/>
          <w:smallCaps/>
          <w:sz w:val="20"/>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“including” means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expresses a command;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“average” of a set of numerical values refers to the arithmetic average of such numerical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in the plural include the singular,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“herein,” “hereof” and other words of similar import refer to this Supplemental Indenture as a whole and not to any particular Article, Section or other subdivision of this Supplemental Indenture,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Article, Section, clause or paragraph reference in this Supplemental Indenture that is in bolded typeface refers to the referenced Article, Section, clause or paragraph, as applicable,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references to currency mean the lawful currency of the United States of America,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exhibits, schedules and other attachments to this Supplemental Indenture are deemed to form part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extent any provision of this Supplemental Indenture limits, qualifies or conflicts with a provision of the Base Indenture, such provision of this Supplemental Indenture will control;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term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when used with respect to a Note, includes any Default Interest or Special Interest,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Indenture, the following terms of the Trust Indenture Act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institutional trustee</w:t>
      </w:r>
      <w:r>
        <w:rPr>
          <w:rFonts w:ascii="Times New Roman;Times;Serif" w:hAnsi="Times New Roman;Times;Serif"/>
          <w:b w:val="false"/>
          <w:i w:val="false"/>
          <w:caps w:val="false"/>
          <w:smallCaps w:val="false"/>
          <w:sz w:val="20"/>
        </w:rPr>
        <w:t>” means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the Indenture that are defined by the Trust Indenture Act (including by reference to another statute) or the related rules of the SEC, and not defined in the Indenture, have the respective meanings so defined by the Trust Indenture Act or such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w:t>
      </w:r>
      <w:r>
        <w:rPr>
          <w:rFonts w:ascii="Times New Roman;Times;Serif" w:hAnsi="Times New Roman;Times;Serif"/>
          <w:b/>
          <w:i w:val="false"/>
          <w:smallCaps/>
          <w:sz w:val="20"/>
        </w:rPr>
        <w:t>Scope of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supplements the provisions of the Base Indenture, to which provisions reference is hereby made. The changes, modifications and supplements to the Base Indenture effected by this Supplemental Indenture will be applicable only with respect to, and will only govern the terms of, the Notes, which may be issued from time to time, and will not apply to any other Securities that may be issued under the Base Indenture unless a supplemental indenture with respect to such other securities specifically incorporates such changes, modifications and supplements. For all purposes under the Base Indenture, the Notes will constitute a single Series of Notes, and with regard to any matter requiring the consent under the Base Indenture of Holders of multiple Series of Notes voting together as a single class, the consent of Holders of the Notes voting as a separate class will also be required and the same threshold will apply. The provisions of this Supplemental Indenture will supersede any conflicting provisions in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w:t>
      </w:r>
      <w:r>
        <w:rPr>
          <w:rFonts w:ascii="Times New Roman;Times;Serif" w:hAnsi="Times New Roman;Times;Serif"/>
          <w:b/>
          <w:i w:val="false"/>
          <w:caps/>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w:t>
      </w:r>
      <w:r>
        <w:rPr>
          <w:rFonts w:ascii="Times New Roman;Times;Serif" w:hAnsi="Times New Roman;Times;Serif"/>
          <w:b/>
          <w:i w:val="false"/>
          <w:smallCaps/>
          <w:sz w:val="20"/>
        </w:rPr>
        <w:t>Form, Dating And Denominations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and the Trustee’s certificate of authentication will be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The Notes will bear the legends required by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xml:space="preserve"> and may bear notations, legends or endorsements required by law, stock exchange rule or usage or the Depositary. Each Note will be dated as of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only as provided in Section 2.15 of the Base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in its sole discretion, may permit the exchange of any beneficial interest in a Global Note for one or more Physical Notes at the request of the owner of such beneficial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issuable only in registered form without interest coupons and only in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representing a Note will bear a unique registration number that is not affixed to any other certificate representing another outstanding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contained in the Notes constitute part of the Indenture, and, to the extent applicable, the Company and the Trustee, by their execution and delivery of this Supplemental Indenture, agree to such terms and to be bound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any provision of any Note conflicts with the provisions of the Indenture, the provisions of the Indenture will control for purposes of the Indenture and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w:t>
      </w:r>
      <w:r>
        <w:rPr>
          <w:rFonts w:ascii="Times New Roman;Times;Serif" w:hAnsi="Times New Roman;Times;Serif"/>
          <w:b/>
          <w:i w:val="false"/>
          <w:smallCaps/>
          <w:sz w:val="20"/>
        </w:rPr>
        <w:t>Initial Notes and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On the Issue Date, there will be originally issued two hundred million dollars ($200,000,000) aggregate principal amount of Notes, subject to the provisions of the Indenture (including Section 2.3 of the Base Indenture). If the Underwriters exercise the Shoe Option, then there will be originally issued up to an additional thirty million dollars ($30,000,000) aggregate principal amount of Notes, subject to the provisions of the Indenture (including Section 2.3 of the Base Indenture). Notes issued pursuant to the Underwriting Agreement, and any Notes issued in exchange therefor or in substitution thereof, are referred to in the Indenture as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xml:space="preserve">. Without the consent of any Holder, the Company may, subject to the provisions of the Indenture (including ‎Section 2.3 of the Base Indenture), originally issue additional Notes with the same terms as the Initial Notes (except, to the extent applicable, with respect to the date on which interest begins to accrue on such additional Notes and the first Interest Payment Date of such additional Notes), which additional Notes will, subject to the foregoing, be considered to be part of the same Series of, and rank equally and ratably with all other, Notes issued under this Supplemental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such additional Notes (and any Notes that are resold after such Notes have been purchased or otherwise acquired by the Company or its Subsidiaries) are not fungible with other Notes issued under this Supplemental Indenture for U.S. federal income tax purposes, for U.S. federal securities law purposes or for purposes of the Depositary Procedures, then such additional or resold Notes will be identified by one or more separate CUSIP numbers or by no CUSIP number. In authenticating additional Notes, the Trustee will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copy of the resolution or resolutions of the Board of Directors in or pursuant to which the terms and form of the Notes were established, and if the terms and form of such Notes are established by an Officer’s Certificate pursuant to general authorization of the Board of Directors,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executed supplemental indenture, if 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Opinion of Counsel which will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form and terms of such Notes have been established in conformity with the provisions of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such Notes,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reorganization and other laws of general applicability relating to or affecting the enforcement of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smallCaps/>
          <w:sz w:val="20"/>
        </w:rPr>
      </w:pPr>
      <w:r>
        <w:rPr>
          <w:rFonts w:ascii="Times New Roman;Times;Serif" w:hAnsi="Times New Roman;Times;Serif"/>
          <w:b/>
          <w:i w:val="false"/>
          <w:caps w:val="false"/>
          <w:smallCaps w:val="false"/>
          <w:sz w:val="20"/>
        </w:rPr>
        <w:t>Section 2.03      </w:t>
      </w:r>
      <w:r>
        <w:rPr>
          <w:rFonts w:ascii="Times New Roman;Times;Serif" w:hAnsi="Times New Roman;Times;Serif"/>
          <w:b/>
          <w:i w:val="false"/>
          <w:smallCaps/>
          <w:sz w:val="20"/>
        </w:rPr>
        <w:t>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the Indenture as follows: (i) if the principal amount of such Physical Note is at least two million dollars ($2,000,000)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w:t>
      </w:r>
      <w:r>
        <w:rPr>
          <w:rFonts w:ascii="Times New Roman;Times;Serif" w:hAnsi="Times New Roman;Times;Serif"/>
          <w:b/>
          <w:i w:val="false"/>
          <w:smallCaps/>
          <w:sz w:val="20"/>
        </w:rPr>
        <w:t>Accrual Of Interest; Defaulted Amounts; When Payment Date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will apply to the Notes in lieu of Section 2.13 of the Base Indenture, which will be deemed to be replaced with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Accrual of Interest.</w:t>
      </w:r>
      <w:r>
        <w:rPr>
          <w:rFonts w:ascii="Times New Roman;Times;Serif" w:hAnsi="Times New Roman;Times;Serif"/>
          <w:b w:val="false"/>
          <w:i w:val="false"/>
          <w:caps w:val="false"/>
          <w:smallCaps w:val="false"/>
          <w:sz w:val="20"/>
        </w:rPr>
        <w:t xml:space="preserve"> Each Note will accrue interest at a rate per annum equal to 2.50% (the “</w:t>
      </w:r>
      <w:r>
        <w:rPr>
          <w:rFonts w:ascii="Times New Roman;Times;Serif" w:hAnsi="Times New Roman;Times;Serif"/>
          <w:b/>
          <w:i w:val="false"/>
          <w:caps w:val="false"/>
          <w:smallCaps w:val="false"/>
          <w:sz w:val="20"/>
        </w:rPr>
        <w:t>Stated Interest</w:t>
      </w:r>
      <w:r>
        <w:rPr>
          <w:rFonts w:ascii="Times New Roman;Times;Serif" w:hAnsi="Times New Roman;Times;Serif"/>
          <w:b w:val="false"/>
          <w:i w:val="false"/>
          <w:caps w:val="false"/>
          <w:smallCaps w:val="false"/>
          <w:sz w:val="20"/>
        </w:rPr>
        <w:t>”), plus any Special Interest that may accrue pursuant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Special Interest, on the Notes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Defaulted Amounts</w:t>
      </w:r>
      <w:r>
        <w:rPr>
          <w:rFonts w:ascii="Times New Roman;Times;Serif" w:hAnsi="Times New Roman;Times;Serif"/>
          <w:b w:val="false"/>
          <w:i w:val="false"/>
          <w:caps w:val="false"/>
          <w:smallCaps w:val="false"/>
          <w:sz w:val="20"/>
        </w:rPr>
        <w:t>. If the Company fails to pay any amount (a “</w:t>
      </w:r>
      <w:r>
        <w:rPr>
          <w:rFonts w:ascii="Times New Roman;Times;Serif" w:hAnsi="Times New Roman;Times;Serif"/>
          <w:b/>
          <w:i w:val="false"/>
          <w:caps w:val="false"/>
          <w:smallCaps w:val="false"/>
          <w:sz w:val="20"/>
        </w:rPr>
        <w:t>Defaulted Amount</w:t>
      </w:r>
      <w:r>
        <w:rPr>
          <w:rFonts w:ascii="Times New Roman;Times;Serif" w:hAnsi="Times New Roman;Times;Serif"/>
          <w:b w:val="false"/>
          <w:i w:val="false"/>
          <w:caps w:val="false"/>
          <w:smallCaps w:val="false"/>
          <w:sz w:val="20"/>
        </w:rPr>
        <w:t>”) payable on a Note on or before the due date therefor as provided in the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will accrue on such Defaulted Amount at a rate per annum equal to the rate per annum at which Stated Interest accrues, from, and including, such due date to, but excluding, the date of payment of such Defaulted Amount and Default Interest; and (iii) such Defaulted Amount and Default Interest will be paid, at the Company’s election, as provided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Payment of Default Amounts on a Special Payment Date</w:t>
      </w:r>
      <w:r>
        <w:rPr>
          <w:rFonts w:ascii="Times New Roman;Times;Serif" w:hAnsi="Times New Roman;Times;Serif"/>
          <w:b w:val="false"/>
          <w:i w:val="false"/>
          <w:caps w:val="false"/>
          <w:smallCaps w:val="false"/>
          <w:sz w:val="20"/>
        </w:rPr>
        <w:t xml:space="preserve">. The Company will have the right to pay such Defaulted Amount and Default Interest on a payment date selected by the Company to the Holder of such Note as of the Close of Business on a special record date selected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 payment date and the amount of such Defaulted Amount and Default Interest to be paid on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Payment of Default Amount in Any Other Lawful Manner</w:t>
      </w:r>
      <w:r>
        <w:rPr>
          <w:rFonts w:ascii="Times New Roman;Times;Serif" w:hAnsi="Times New Roman;Times;Serif"/>
          <w:b w:val="false"/>
          <w:i w:val="false"/>
          <w:caps w:val="false"/>
          <w:smallCaps w:val="false"/>
          <w:sz w:val="20"/>
        </w:rPr>
        <w:t>. If not paid in accordance with ‎</w:t>
      </w:r>
      <w:r>
        <w:rPr>
          <w:rFonts w:ascii="Times New Roman;Times;Serif" w:hAnsi="Times New Roman;Times;Serif"/>
          <w:b/>
          <w:i w:val="false"/>
          <w:caps w:val="false"/>
          <w:smallCaps w:val="false"/>
          <w:sz w:val="20"/>
        </w:rPr>
        <w:t>Section 2.04(B)(i)</w:t>
      </w:r>
      <w:r>
        <w:rPr>
          <w:rFonts w:ascii="Times New Roman;Times;Serif" w:hAnsi="Times New Roman;Times;Serif"/>
          <w:b w:val="false"/>
          <w:i w:val="false"/>
          <w:caps w:val="false"/>
          <w:smallCaps w:val="false"/>
          <w:sz w:val="20"/>
        </w:rPr>
        <w:t>, such Defaulted Amount and Default Interest will be paid by the Company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w:t>
      </w:r>
      <w:r>
        <w:rPr>
          <w:rFonts w:ascii="Times New Roman;Times;Serif" w:hAnsi="Times New Roman;Times;Serif"/>
          <w:b/>
          <w:i w:val="false"/>
          <w:caps w:val="false"/>
          <w:smallCaps w:val="false"/>
          <w:sz w:val="20"/>
        </w:rPr>
        <w:t>Section 2.04(B)(ii)</w:t>
      </w:r>
      <w:r>
        <w:rPr>
          <w:rFonts w:ascii="Times New Roman;Times;Serif" w:hAnsi="Times New Roman;Times;Serif"/>
          <w:b w:val="false"/>
          <w:i w:val="false"/>
          <w:caps w:val="false"/>
          <w:smallCaps w:val="false"/>
          <w:sz w:val="20"/>
        </w:rPr>
        <w:t>, such manner of payment will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Delay of Payment When Payment Date Is Not a Business Day</w:t>
      </w:r>
      <w:r>
        <w:rPr>
          <w:rFonts w:ascii="Times New Roman;Times;Serif" w:hAnsi="Times New Roman;Times;Serif"/>
          <w:b w:val="false"/>
          <w:i w:val="false"/>
          <w:caps w:val="false"/>
          <w:smallCaps w:val="false"/>
          <w:sz w:val="20"/>
        </w:rPr>
        <w:t>. If the due date for a payment on a Note as provided in the Indenture is not a Business Day, then, notwithstanding anything to the contrary in the Indenture or the Notes, such payment may be made on the immediately following Business Day with the same force and effect as if such payment were made on such due date (and, for the avoidance of doubt,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Special Provision for Global Notes</w:t>
      </w:r>
      <w:r>
        <w:rPr>
          <w:rFonts w:ascii="Times New Roman;Times;Serif" w:hAnsi="Times New Roman;Times;Serif"/>
          <w:b w:val="false"/>
          <w:i w:val="false"/>
          <w:caps w:val="false"/>
          <w:smallCaps w:val="false"/>
          <w:sz w:val="20"/>
        </w:rPr>
        <w:t>. If the first date on which any Special Interest begins to accrue on a Global Note is on or after the fifth (5th) Business Day before a Regular Record Date and before the next Interest Payment Date, then, notwithstanding anything to the contrary in the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be payable on the immediately succeeding Interest Payment Date (and, for the avoidance of doubt, no interest will accrue as a result of the related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w:t>
      </w:r>
      <w:r>
        <w:rPr>
          <w:rFonts w:ascii="Times New Roman;Times;Serif" w:hAnsi="Times New Roman;Times;Serif"/>
          <w:b/>
          <w:i w:val="false"/>
          <w:smallCaps/>
          <w:sz w:val="20"/>
        </w:rPr>
        <w:t>Registrar, Paying Agent and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xml:space="preserve"> will apply to the Notes in lieu of Section 2.4 of the Base Indenture, which will be deemed to be replaced with this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maintain (i) an office or agency in the continental United States where Notes may be presented for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 an office or agency in the continental United States where Notes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(iii) an office or agency in the continental United States where Notes may be presented for Conversion (the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If the Company fails to maintain a Registrar, Paying Agent or Conversion Agent, then the Trustee will act as such and will receive compensation therefor in accordance with the Indenture and any other agreement between the Trustee and the Company. For the avoidance of doubt, the Company or any of its Subsidiaries may act as Registrar, Paying Agent or Conversion Agent, without prior notice to Holders. Notwithstanding anything to the contrary in this ‎</w:t>
      </w:r>
      <w:r>
        <w:rPr>
          <w:rFonts w:ascii="Times New Roman;Times;Serif" w:hAnsi="Times New Roman;Times;Serif"/>
          <w:b/>
          <w:i w:val="false"/>
          <w:caps w:val="false"/>
          <w:smallCaps w:val="false"/>
          <w:sz w:val="20"/>
        </w:rPr>
        <w:t>Section 2.05(A)</w:t>
      </w:r>
      <w:r>
        <w:rPr>
          <w:rFonts w:ascii="Times New Roman;Times;Serif" w:hAnsi="Times New Roman;Times;Serif"/>
          <w:b w:val="false"/>
          <w:i w:val="false"/>
          <w:caps w:val="false"/>
          <w:smallCaps w:val="false"/>
          <w:sz w:val="20"/>
        </w:rPr>
        <w:t>, each of the Registrar, Paying Agent and Conversion Agent with respect to any Global Note must at all times be a Person that is eligible to act in that capacity under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Duties of the Registrar</w:t>
      </w:r>
      <w:r>
        <w:rPr>
          <w:rFonts w:ascii="Times New Roman;Times;Serif" w:hAnsi="Times New Roman;Times;Serif"/>
          <w:b w:val="false"/>
          <w:i w:val="false"/>
          <w:caps w:val="false"/>
          <w:smallCaps w:val="false"/>
          <w:sz w:val="20"/>
        </w:rPr>
        <w:t>. The Registrar will keep a record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Co-Agents; Company’s Right to Appoint Successor Registrars, Paying Agents and Conversion Agents</w:t>
      </w:r>
      <w:r>
        <w:rPr>
          <w:rFonts w:ascii="Times New Roman;Times;Serif" w:hAnsi="Times New Roman;Times;Serif"/>
          <w:b w:val="false"/>
          <w:i w:val="false"/>
          <w:caps w:val="false"/>
          <w:smallCaps w:val="false"/>
          <w:sz w:val="20"/>
        </w:rPr>
        <w:t xml:space="preserve">. The Company may appoint one or more co-Registrars, co-Paying Agents and co-Conversion Agents, each of whom will be deemed to be a Registrar, Paying Agent or Conversion Agent, as applicable, under the Indenture. Subject to </w:t>
      </w:r>
      <w:r>
        <w:rPr>
          <w:rFonts w:ascii="Times New Roman;Times;Serif" w:hAnsi="Times New Roman;Times;Serif"/>
          <w:b/>
          <w:i w:val="false"/>
          <w:caps w:val="false"/>
          <w:smallCaps w:val="false"/>
          <w:sz w:val="20"/>
        </w:rPr>
        <w:t>Section 2.05(A)</w:t>
      </w:r>
      <w:r>
        <w:rPr>
          <w:rFonts w:ascii="Times New Roman;Times;Serif" w:hAnsi="Times New Roman;Times;Serif"/>
          <w:b w:val="false"/>
          <w:i w:val="false"/>
          <w:caps w:val="false"/>
          <w:smallCaps w:val="false"/>
          <w:sz w:val="20"/>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the Indenture and will enter into an appropriate agency agreement with each such Note Agent, which agreement will implement the provisions of the Indenture that relate to such Note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Initial Appointments</w:t>
      </w:r>
      <w:r>
        <w:rPr>
          <w:rFonts w:ascii="Times New Roman;Times;Serif" w:hAnsi="Times New Roman;Times;Serif"/>
          <w:b w:val="false"/>
          <w:i w:val="false"/>
          <w:caps w:val="false"/>
          <w:smallCaps w:val="false"/>
          <w:sz w:val="20"/>
        </w:rPr>
        <w:t>. The Company appoints the Trustee as the initial Paying Agent, the initial Registrar and the initial Conversion Agent and designates the office of the Trustee at U.S. Bank Trust Company, National Association, One Federal Street, Boston, MA 02110, Attention: S. Gomes (Zenas BioPharma, Inc. Administrator) as the office for the same (or such other address as the Trustee or applicable Note Agent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w:t>
      </w:r>
      <w:r>
        <w:rPr>
          <w:rFonts w:ascii="Times New Roman;Times;Serif" w:hAnsi="Times New Roman;Times;Serif"/>
          <w:b/>
          <w:i w:val="false"/>
          <w:smallCaps/>
          <w:sz w:val="20"/>
        </w:rPr>
        <w:t>Paying Agent and Conversion Agent to Hold Property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will apply to the Notes in lieu of Section 2.5 of the Base Indenture, which will be deemed to be replaced with this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the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Times;Serif" w:hAnsi="Times New Roman;Times;Serif"/>
          <w:b/>
          <w:i w:val="false"/>
          <w:caps w:val="false"/>
          <w:smallCaps w:val="false"/>
          <w:sz w:val="20"/>
        </w:rPr>
        <w:t>clause (viii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(ix</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w:t>
      </w:r>
      <w:r>
        <w:rPr>
          <w:rFonts w:ascii="Times New Roman;Times;Serif" w:hAnsi="Times New Roman;Times;Serif"/>
          <w:b/>
          <w:i w:val="false"/>
          <w:smallCaps/>
          <w:sz w:val="20"/>
        </w:rPr>
        <w:t>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Notwithstanding any provisions to the contrary contained in Section 2.15 of the Base Indenture, each Global Note will bear the Global Note Legend (or any similar legend, not inconsistent with the Indenture, required by the Depositary for such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Non-Affiliate Legend</w:t>
      </w:r>
      <w:r>
        <w:rPr>
          <w:rFonts w:ascii="Times New Roman;Times;Serif" w:hAnsi="Times New Roman;Times;Serif"/>
          <w:b w:val="false"/>
          <w:i w:val="false"/>
          <w:caps w:val="false"/>
          <w:smallCaps w:val="false"/>
          <w:sz w:val="20"/>
        </w:rPr>
        <w:t>. Each Note will bear the Non-Affiliate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Other Legends</w:t>
      </w:r>
      <w:r>
        <w:rPr>
          <w:rFonts w:ascii="Times New Roman;Times;Serif" w:hAnsi="Times New Roman;Times;Serif"/>
          <w:b w:val="false"/>
          <w:i w:val="false"/>
          <w:caps w:val="false"/>
          <w:smallCaps w:val="false"/>
          <w:sz w:val="20"/>
        </w:rPr>
        <w:t>. A Note may bear any other legend or text, not inconsistent with the Indenture, as may be required by applicable law or by any securities exchange or automated quotation system on which such Note is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Acknowledgment and Agreement by the Holders</w:t>
      </w:r>
      <w:r>
        <w:rPr>
          <w:rFonts w:ascii="Times New Roman;Times;Serif" w:hAnsi="Times New Roman;Times;Serif"/>
          <w:b w:val="false"/>
          <w:i w:val="false"/>
          <w:caps w:val="false"/>
          <w:smallCaps w:val="false"/>
          <w:sz w:val="20"/>
        </w:rPr>
        <w:t>. A Holder’s acceptance of any Note bearing any legend required by this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xml:space="preserve"> will constitute such Holder’s acknowledgment of, and agreement to comply with, the restrictions set forth in such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      </w:t>
      </w:r>
      <w:r>
        <w:rPr>
          <w:rFonts w:ascii="Times New Roman;Times;Serif" w:hAnsi="Times New Roman;Times;Serif"/>
          <w:b/>
          <w:i w:val="false"/>
          <w:smallCaps/>
          <w:sz w:val="20"/>
        </w:rPr>
        <w:t>Certain Transfer Restrictions on Notes Subject to Conversion, Redemption 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Indenture or the Notes, the Company, the Trustee and the Registrar will not be required to register the transfer of or exchange any Note that (i) has been surrendered for Conversion, except to the extent that any portion of such Note is not subject to Conversion; (ii) has been selected for Redemption pursuant to a Redemption Notice, except to the extent that any portion of such Note is not subject to Redemption or the Company fails to pay the applicable Redemption Price when due; or (ii) is subject to a Fundamental Change Repurchase Notice validly delivered, and not withdrawn,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except to the extent that any portion of such Note is not subject to such notice or the Company fails to pay the applicable Fundamental Change Repurchase Price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w:t>
      </w:r>
      <w:r>
        <w:rPr>
          <w:rFonts w:ascii="Times New Roman;Times;Serif" w:hAnsi="Times New Roman;Times;Serif"/>
          <w:b/>
          <w:i w:val="false"/>
          <w:smallCaps/>
          <w:sz w:val="20"/>
        </w:rPr>
        <w:t>Exchange and Cancellation of Notes to Be Converted, Redeemed or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Partial Conversions of Physical Notes and Partial Redemptions or Repurchases of Physical Notes</w:t>
      </w:r>
      <w:r>
        <w:rPr>
          <w:rFonts w:ascii="Times New Roman;Times;Serif" w:hAnsi="Times New Roman;Times;Serif"/>
          <w:b w:val="false"/>
          <w:i w:val="false"/>
          <w:caps w:val="false"/>
          <w:smallCaps w:val="false"/>
          <w:sz w:val="20"/>
        </w:rPr>
        <w:t>. If only a portion of a Physical Note of a Holder is to be Converted pursuant to ‎</w:t>
      </w:r>
      <w:r>
        <w:rPr>
          <w:rFonts w:ascii="Times New Roman;Times;Serif" w:hAnsi="Times New Roman;Times;Serif"/>
          <w:b/>
          <w:i w:val="false"/>
          <w:caps w:val="false"/>
          <w:smallCaps w:val="false"/>
          <w:sz w:val="20"/>
        </w:rPr>
        <w:t xml:space="preserve">Article 5, </w:t>
      </w:r>
      <w:r>
        <w:rPr>
          <w:rFonts w:ascii="Times New Roman;Times;Serif" w:hAnsi="Times New Roman;Times;Serif"/>
          <w:b w:val="false"/>
          <w:i w:val="false"/>
          <w:caps w:val="false"/>
          <w:smallCaps w:val="false"/>
          <w:sz w:val="20"/>
        </w:rPr>
        <w:t xml:space="preserve">redeemed pursuant to a Redemption or repurchased pursuant to a Repurchase Upon Fundamental Change or, then, as soon as reasonably practicable after such Physical Note is surrendered for such Conversion, redemption or repurchase, as applicable, the Company will cause such Physical Note to be exchanged, pursuant and subject to Section 2.7 of the Base Indenture,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the Indenture; provided, however, that the Physical Note referred to in this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need not be issued at any time after which such principal amount subject to such Conversion or repurchase, as applicable, is deemed to cease to be outstanding pursuant to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Cancellation of Notes that Are Converted, Redeemed Pursuant to a Redemption and Notes that Are Repurchased Pursuant to a Repurchase Upon Fundamental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If a Physical Note (or any portion thereof that has not theretofore been exchanged pursuant to ‎</w:t>
      </w:r>
      <w:r>
        <w:rPr>
          <w:rFonts w:ascii="Times New Roman;Times;Serif" w:hAnsi="Times New Roman;Times;Serif"/>
          <w:b/>
          <w:i w:val="false"/>
          <w:caps w:val="false"/>
          <w:smallCaps w:val="false"/>
          <w:sz w:val="20"/>
        </w:rPr>
        <w:t>Section 2.09(A)</w:t>
      </w:r>
      <w:r>
        <w:rPr>
          <w:rFonts w:ascii="Times New Roman;Times;Serif" w:hAnsi="Times New Roman;Times;Serif"/>
          <w:b w:val="false"/>
          <w:i w:val="false"/>
          <w:caps w:val="false"/>
          <w:smallCaps w:val="false"/>
          <w:sz w:val="20"/>
        </w:rPr>
        <w:t>) of a Holder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redeemed pursuant to a Redemption or repurchased pursuant to a Repurchase Upon Fundamental Change, then, promptly after the later of the time such Physical Note (or such portion) is deemed to cease to be outstanding pursuant to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and the time such Physical Note is surrendered for such Conversion, redemption or repurchase, as applicable, (1) such Physical Note will be cancelled pursuant to Section 2.12 of the Base Indenture; and (2) in the case of a partial Conversion, redemption or repurchase, as applicable, the Company will issue, execute and deliver to such Holder, and the Trustee will authenticate, in each case in accordance with Section 2.3 of the Base Indenture, one or more Physical Notes that (x) are in Authorized Denominations and have an aggregate principal amount equal to the principal amount of such Physical Note that is not to be so Converted, redeemed or repurchased, as applicable; (y) are registered in the name of such Holder; and (z) bear each legend, if any, required by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If a Global Note (or any portion thereof)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redeemed pursuant to a Redemption or repurchased pursuant to a Repurchase Upon Fundamental Change, then, promptly after the time such Note (or such portion) is deemed to cease to be outstanding pursuant to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Section 2.12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w:t>
      </w:r>
      <w:r>
        <w:rPr>
          <w:rFonts w:ascii="Times New Roman;Times;Serif" w:hAnsi="Times New Roman;Times;Serif"/>
          <w:b/>
          <w:i w:val="false"/>
          <w:smallCaps/>
          <w:sz w:val="20"/>
        </w:rPr>
        <w:t>Registered Holders; Certain Rights with Respect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xml:space="preserve"> will apply to the Notes in lieu of Section 2.16 of the Base Indenture, which will be deemed to be replaced with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rights hereunder are expressly granted to owners of beneficial interests of Notes, only the Holder of a Note will have rights under the Indenture as the owner of such Note. Without limiting the generality of the foregoing, Depositary Participants will have no rights as such under the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the Indenture or the Notes; and ‎(B) the Company and the Trustee, and their respective agents, may give effect to any written certification, proxy or other authorization furnished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w:t>
      </w:r>
      <w:r>
        <w:rPr>
          <w:rFonts w:ascii="Times New Roman;Times;Serif" w:hAnsi="Times New Roman;Times;Serif"/>
          <w:b/>
          <w:i w:val="false"/>
          <w:smallCaps/>
          <w:sz w:val="20"/>
        </w:rPr>
        <w:t>Notes Held by the Company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the Trustee is protected in relying on any such direction, waiver or consent, only Notes that a Responsible Officer of the Trustee actually knows are so owned will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w:t>
      </w:r>
      <w:r>
        <w:rPr>
          <w:rFonts w:ascii="Times New Roman;Times;Serif" w:hAnsi="Times New Roman;Times;Serif"/>
          <w:b/>
          <w:i w:val="false"/>
          <w:smallCaps/>
          <w:sz w:val="20"/>
        </w:rPr>
        <w:t>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will apply to the Notes in lieu of Section 2.9 of the Base Indenture, which will be deemed to be replaced with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Section 2.12 of the Base Indenture; (ii) assigned a principal amount of zero by notation on the “Schedule of Exchanges of Interests in the Global Note” forming part of any a Global Note representing such Note; (iii) paid in full (including upon Conversion) in accordance with the Indenture; or (iv) deemed to cease to be outstanding to the extent provided in, and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of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Replaced Notes</w:t>
      </w:r>
      <w:r>
        <w:rPr>
          <w:rFonts w:ascii="Times New Roman;Times;Serif" w:hAnsi="Times New Roman;Times;Serif"/>
          <w:b w:val="false"/>
          <w:i w:val="false"/>
          <w:caps w:val="false"/>
          <w:smallCaps w:val="false"/>
          <w:sz w:val="20"/>
        </w:rPr>
        <w:t>. If a Note is replaced pursuant to Section 2.8 of the Base Indenture, then such Note will cease to be outstanding at the time of its replacement, unless the Trustee and the Company receive proof reasonably satisfactory to them that such Note is held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purchaser”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Maturing Notes and Notes Called for Redemption or Subject to Repurchase</w:t>
      </w:r>
      <w:r>
        <w:rPr>
          <w:rFonts w:ascii="Times New Roman;Times;Serif" w:hAnsi="Times New Roman;Times;Serif"/>
          <w:b w:val="false"/>
          <w:i w:val="false"/>
          <w:caps w:val="false"/>
          <w:smallCaps w:val="false"/>
          <w:sz w:val="20"/>
        </w:rPr>
        <w:t>.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(if any),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Notes to Be Converted</w:t>
      </w:r>
      <w:r>
        <w:rPr>
          <w:rFonts w:ascii="Times New Roman;Times;Serif" w:hAnsi="Times New Roman;Times;Serif"/>
          <w:b w:val="false"/>
          <w:i w:val="false"/>
          <w:caps w:val="false"/>
          <w:smallCaps w:val="false"/>
          <w:sz w:val="20"/>
        </w:rPr>
        <w:t>.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upon such Conversion) be deemed to cease to be outstanding, except to the extent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Cessation of Accrual of Interest</w:t>
      </w:r>
      <w:r>
        <w:rPr>
          <w:rFonts w:ascii="Times New Roman;Times;Serif" w:hAnsi="Times New Roman;Times;Serif"/>
          <w:b w:val="false"/>
          <w:i w:val="false"/>
          <w:caps w:val="false"/>
          <w:smallCaps w:val="false"/>
          <w:sz w:val="20"/>
        </w:rPr>
        <w:t>. Except as provided in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interest will cease to accrue on each Note from, and including, the date that such Note is deemed, pursuant to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to cease to be outstanding, unless there occurs a default in the payment or delivery of any cash or other property due 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      </w:t>
      </w:r>
      <w:r>
        <w:rPr>
          <w:rFonts w:ascii="Times New Roman;Times;Serif" w:hAnsi="Times New Roman;Times;Serif"/>
          <w:b/>
          <w:i w:val="false"/>
          <w:smallCaps/>
          <w:sz w:val="20"/>
        </w:rPr>
        <w:t>CUSIP and ISIN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will apply to the Notes in lieu of Section 2.14 of the Base Indenture, which will be deemed to be replaced with this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use one or more CUSIP or ISIN numbers to identify any of the Notes, and, if so, the Company and the Trustee will use such CUSIP or ISIN number(s) in notices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2.14      </w:t>
      </w:r>
      <w:r>
        <w:rPr>
          <w:rFonts w:ascii="Times New Roman;Times;Serif" w:hAnsi="Times New Roman;Times;Serif"/>
          <w:b/>
          <w:i w:val="false"/>
          <w:smallCaps/>
          <w:sz w:val="20"/>
        </w:rPr>
        <w:t>Repurchases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repurchase Notes in open market purchases or in negotiated transactions without delivering prior notice to Holders. Notes that the Company or any of its Subsidiaries have purchased or otherwise acquired will be deemed to remain outstanding (except to the extent provided in ‎‎</w:t>
      </w:r>
      <w:r>
        <w:rPr>
          <w:rFonts w:ascii="Times New Roman;Times;Serif" w:hAnsi="Times New Roman;Times;Serif"/>
          <w:b/>
          <w:i w:val="false"/>
          <w:caps w:val="false"/>
          <w:smallCaps w:val="false"/>
          <w:sz w:val="20"/>
        </w:rPr>
        <w:t>Section 2.11</w:t>
      </w:r>
      <w:r>
        <w:rPr>
          <w:rFonts w:ascii="Times New Roman;Times;Serif" w:hAnsi="Times New Roman;Times;Serif"/>
          <w:b w:val="false"/>
          <w:i w:val="false"/>
          <w:caps w:val="false"/>
          <w:smallCaps w:val="false"/>
          <w:sz w:val="20"/>
        </w:rPr>
        <w:t>) until such time as such Notes are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w:t>
      </w: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w:t>
      </w:r>
      <w:r>
        <w:rPr>
          <w:rFonts w:ascii="Times New Roman;Times;Serif" w:hAnsi="Times New Roman;Times;Serif"/>
          <w:b/>
          <w:i w:val="false"/>
          <w:caps w:val="false"/>
          <w:smallCaps w:val="false"/>
          <w:sz w:val="20"/>
        </w:rPr>
        <w:t>Section 1.03(K) </w:t>
      </w:r>
      <w:r>
        <w:rPr>
          <w:rFonts w:ascii="Times New Roman;Times;Serif" w:hAnsi="Times New Roman;Times;Serif"/>
          <w:b w:val="false"/>
          <w:i w:val="false"/>
          <w:caps w:val="false"/>
          <w:smallCaps w:val="false"/>
          <w:sz w:val="20"/>
        </w:rPr>
        <w:t>and except as provided in this ‎</w:t>
      </w:r>
      <w:r>
        <w:rPr>
          <w:rFonts w:ascii="Times New Roman;Times;Serif" w:hAnsi="Times New Roman;Times;Serif"/>
          <w:b/>
          <w:i w:val="false"/>
          <w:caps w:val="false"/>
          <w:smallCaps w:val="false"/>
          <w:sz w:val="20"/>
        </w:rPr>
        <w:t>Article 3</w:t>
      </w:r>
      <w:r>
        <w:rPr>
          <w:rFonts w:ascii="Times New Roman;Times;Serif" w:hAnsi="Times New Roman;Times;Serif"/>
          <w:b w:val="false"/>
          <w:i w:val="false"/>
          <w:caps w:val="false"/>
          <w:smallCaps w:val="false"/>
          <w:sz w:val="20"/>
        </w:rPr>
        <w:t>, the provisions of Article 4 of the Base Indenture, as supplemented by the provisions of this Supplemental Indenture, will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w:t>
      </w:r>
      <w:r>
        <w:rPr>
          <w:rFonts w:ascii="Times New Roman;Times;Serif" w:hAnsi="Times New Roman;Times;Serif"/>
          <w:b/>
          <w:i w:val="false"/>
          <w:smallCaps/>
          <w:sz w:val="20"/>
        </w:rPr>
        <w:t>Payment 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3.01</w:t>
      </w:r>
      <w:r>
        <w:rPr>
          <w:rFonts w:ascii="Times New Roman;Times;Serif" w:hAnsi="Times New Roman;Times;Serif"/>
          <w:b w:val="false"/>
          <w:i w:val="false"/>
          <w:caps w:val="false"/>
          <w:smallCaps w:val="false"/>
          <w:sz w:val="20"/>
        </w:rPr>
        <w:t xml:space="preserve"> will apply to the Notes in lieu of Section 4.1 of the Base Indenture, which will be deemed to be replaced with this </w:t>
      </w:r>
      <w:r>
        <w:rPr>
          <w:rFonts w:ascii="Times New Roman;Times;Serif" w:hAnsi="Times New Roman;Times;Serif"/>
          <w:b/>
          <w:i w:val="false"/>
          <w:caps w:val="false"/>
          <w:smallCaps w:val="false"/>
          <w:sz w:val="20"/>
        </w:rPr>
        <w:t>Section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pay or cause to be paid all the principal of, the Fundamental Change Repurchase Price and Redemption Price for, interest, if any, on, and other amounts due with respect to, the Notes on the dates and in the manner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Deposit of Funds</w:t>
      </w:r>
      <w:r>
        <w:rPr>
          <w:rFonts w:ascii="Times New Roman;Times;Serif" w:hAnsi="Times New Roman;Times;Serif"/>
          <w:b w:val="false"/>
          <w:i w:val="false"/>
          <w:caps w:val="false"/>
          <w:smallCaps w:val="false"/>
          <w:sz w:val="20"/>
        </w:rPr>
        <w:t>. Before 11:00 A.M., New York City time, on each Redemption Date, each Fundamental Change Repurchase Date, each Interest Payment Date, the Maturity Date and each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w:t>
      </w:r>
      <w:r>
        <w:rPr>
          <w:rFonts w:ascii="Times New Roman;Times;Serif" w:hAnsi="Times New Roman;Times;Serif"/>
          <w:b/>
          <w:i w:val="false"/>
          <w:smallCaps/>
          <w:sz w:val="20"/>
        </w:rPr>
        <w:t>Exchange Act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will apply to the Notes in lieu of Section 4.2 of the Base Indenture, which will be deemed to be replaced with this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Company will send to the Trustee copies of all reports that the Company is required to file with the SEC pursuant to Section 13(a) or 15(d) of the Exchange Act (other than Current Reports on Form 8-K or any successor form) within fifteen (15) calendar days after the date that the Company is required to file the same (after giving effect to all applicable grace periods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need not send to the Trustee any material for which the Company has received, or is 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other than a report that is deemed to be sent to the Trustee as a result of the Company filing such report with the SEC through the EDGAR system (or any successor thereto). The Company will also comply with its other obligations under Section 314(a)(1)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Trustee need not determine whether the Company has filed any material via the EDGAR system (or such successor). The sending or filing of reports, information and documents to the Trustee pursuant to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is for informational purposes only and the receipt of such reports and documents will not constitute actual or constructive notice to the Trustee of any information contained, or determinable from information contained, therein, including the Company’s compliance with any of its covenants under the Indenture or the Notes (as to which the Trustee is entitled to rely exclusively on Officer’s Certificates). The Trustee will not be obligated to monitor or confirm, on a continuing basis or otherwise, the Company’s compliance with the covenants under the Indenture or the Notes or with respect to any reports or other documents filed with the SEC through the EDGAR system or any website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w:t>
      </w:r>
      <w:r>
        <w:rPr>
          <w:rFonts w:ascii="Times New Roman;Times;Serif" w:hAnsi="Times New Roman;Times;Serif"/>
          <w:b/>
          <w:i w:val="false"/>
          <w:smallCaps/>
          <w:sz w:val="20"/>
        </w:rPr>
        <w:t>Default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will apply to the Notes in lieu of Section 4.4(b) of the Base Indenture, which will be deemed to be replaced with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or Event of Default occurs, then the Company will, within thirty (30) days after the Company first obtains knowledge of its first occurrence, deliver an Officer’s Certificate to the Trustee describing the same and what action the Company is taking or proposes to take with respect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required to deliver such Officer’s Certificate at any time after such Default or Event of Default is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w:t>
      </w:r>
      <w:r>
        <w:rPr>
          <w:rFonts w:ascii="Times New Roman;Times;Serif" w:hAnsi="Times New Roman;Times;Serif"/>
          <w:b/>
          <w:i w:val="false"/>
          <w:smallCaps/>
          <w:sz w:val="20"/>
        </w:rPr>
        <w:t>Stay, Extension and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will apply to the Notes in lieu of Section 4.3 of the Base Indenture, which will be deemed to be replaced with this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the Indenture; and ‎(B) expressly waives all benefits or advantages of any such law and agrees that it will not, by resort to any such law, hinder, delay or impede the execution of any power granted to the Trustee by the Indenture, but will suffer and permit the execution of every such power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w:t>
      </w:r>
      <w:r>
        <w:rPr>
          <w:rFonts w:ascii="Times New Roman;Times;Serif" w:hAnsi="Times New Roman;Times;Serif"/>
          <w:b/>
          <w:i w:val="false"/>
          <w:smallCaps/>
          <w:sz w:val="20"/>
        </w:rPr>
        <w:t>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3.05</w:t>
      </w:r>
      <w:r>
        <w:rPr>
          <w:rFonts w:ascii="Times New Roman;Times;Serif" w:hAnsi="Times New Roman;Times;Serif"/>
          <w:b w:val="false"/>
          <w:i w:val="false"/>
          <w:caps w:val="false"/>
          <w:smallCaps w:val="false"/>
          <w:sz w:val="20"/>
        </w:rPr>
        <w:t xml:space="preserve"> will apply to the Notes in lieu of Section 4.5 of the Base Indenture, which will be deemed to be replaced with this </w:t>
      </w:r>
      <w:r>
        <w:rPr>
          <w:rFonts w:ascii="Times New Roman;Times;Serif" w:hAnsi="Times New Roman;Times;Serif"/>
          <w:b/>
          <w:i w:val="false"/>
          <w:caps w:val="false"/>
          <w:smallCaps w:val="false"/>
          <w:sz w:val="20"/>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the Company will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w:t>
      </w:r>
      <w:r>
        <w:rPr>
          <w:rFonts w:ascii="Times New Roman;Times;Serif" w:hAnsi="Times New Roman;Times;Serif"/>
          <w:b/>
          <w:i w:val="false"/>
          <w:caps/>
          <w:sz w:val="20"/>
        </w:rPr>
        <w:t>Repurchase and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t xml:space="preserve"> will apply to the Notes in lieu of Article 3 of the Base Indenture, which will be deemed to be replaced with this ‎</w:t>
      </w: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w:t>
      </w:r>
      <w:r>
        <w:rPr>
          <w:rFonts w:ascii="Times New Roman;Times;Serif" w:hAnsi="Times New Roman;Times;Serif"/>
          <w:b/>
          <w:i w:val="false"/>
          <w:smallCaps/>
          <w:sz w:val="20"/>
        </w:rPr>
        <w:t>No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is required to be provided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w:t>
      </w:r>
      <w:r>
        <w:rPr>
          <w:rFonts w:ascii="Times New Roman;Times;Serif" w:hAnsi="Times New Roman;Times;Serif"/>
          <w:b/>
          <w:i w:val="false"/>
          <w:smallCaps/>
          <w:sz w:val="20"/>
        </w:rPr>
        <w:t>Right of Holders to Require the Company to Repurchase Notes Upon a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Subject to the other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if a Fundamental Change occurs, then each Holder will have the right (the “</w:t>
      </w:r>
      <w:r>
        <w:rPr>
          <w:rFonts w:ascii="Times New Roman;Times;Serif" w:hAnsi="Times New Roman;Times;Serif"/>
          <w:b/>
          <w:i w:val="false"/>
          <w:caps w:val="false"/>
          <w:smallCaps w:val="false"/>
          <w:sz w:val="20"/>
        </w:rPr>
        <w:t>Fundamental Change Repurchase Right</w:t>
      </w:r>
      <w:r>
        <w:rPr>
          <w:rFonts w:ascii="Times New Roman;Times;Serif" w:hAnsi="Times New Roman;Times;Serif"/>
          <w:b w:val="false"/>
          <w:i w:val="false"/>
          <w:caps w:val="false"/>
          <w:smallCaps w:val="false"/>
          <w:sz w:val="20"/>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Repurchase Prohibited in Certain Circumstances</w:t>
      </w:r>
      <w:r>
        <w:rPr>
          <w:rFonts w:ascii="Times New Roman;Times;Serif" w:hAnsi="Times New Roman;Times;Serif"/>
          <w:b w:val="false"/>
          <w:i w:val="false"/>
          <w:caps w:val="false"/>
          <w:smallCaps w:val="false"/>
          <w:sz w:val="20"/>
        </w:rPr>
        <w:t>.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on such Fundamental Change Repurchase Date), then (i) the Company may not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Fundamental Change Repurchase Date</w:t>
      </w:r>
      <w:r>
        <w:rPr>
          <w:rFonts w:ascii="Times New Roman;Times;Serif" w:hAnsi="Times New Roman;Times;Serif"/>
          <w:b w:val="false"/>
          <w:i w:val="false"/>
          <w:caps w:val="false"/>
          <w:smallCaps w:val="false"/>
          <w:sz w:val="20"/>
        </w:rPr>
        <w:t>. The Fundamental Change Repurchase Date for any Fundamental Change will be a Business Day of the Company’s choosing that is no more than thirty-five (35), nor less than twenty (20), Business Days after the date the Company sends the related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Fundamental Change Repurchase Price</w:t>
      </w:r>
      <w:r>
        <w:rPr>
          <w:rFonts w:ascii="Times New Roman;Times;Serif" w:hAnsi="Times New Roman;Times;Serif"/>
          <w:b w:val="false"/>
          <w:i w:val="false"/>
          <w:caps w:val="false"/>
          <w:smallCaps w:val="false"/>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Fundamental Change Repurchase Price will include interest on the Notes to be repurchased from, and including,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Fundamental Change Notice</w:t>
      </w:r>
      <w:r>
        <w:rPr>
          <w:rFonts w:ascii="Times New Roman;Times;Serif" w:hAnsi="Times New Roman;Times;Serif"/>
          <w:b w:val="false"/>
          <w:i w:val="false"/>
          <w:caps w:val="false"/>
          <w:smallCaps w:val="false"/>
          <w:sz w:val="20"/>
        </w:rPr>
        <w:t>. On or before the twentieth (20th) calendar day after the effective date of a Fundamental Change, the Company will send to each Holder, the Trustee, the Conversion Agent (if other than the Trustee) and the Paying Agent (if other than the Trustee) a notice of such Fundamental Change (a “</w:t>
      </w:r>
      <w:r>
        <w:rPr>
          <w:rFonts w:ascii="Times New Roman;Times;Serif" w:hAnsi="Times New Roman;Times;Serif"/>
          <w:b/>
          <w:i w:val="false"/>
          <w:caps w:val="false"/>
          <w:smallCaps w:val="false"/>
          <w:sz w:val="20"/>
        </w:rPr>
        <w:t>Fundamental Change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Fundamental Change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briefly, the events causing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procedures that a Holder must follow to require the Company to repurchase its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including the deadline for exercising the Fundamental Change Repurchase Right and the procedures for submitting and withdrawing a 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Date for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Conversion Rate in effect on the date of such Fundamental Change Notice and a description and quantification of any adjustments to the Conversion Rate that may result from such Fundamental Change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(or any portion thereof) that are subject to a Fundamental Change Repurchase Notice that has been duly tendered may be Converted only if such Fundamental Change Repurchase Notice is withdrawn in accordance with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Procedures to Exercise the Fundamental Change Repurchase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Delivery of Fundamental Change Repurchase Notice and Notes to Be Repurchased</w:t>
      </w:r>
      <w:r>
        <w:rPr>
          <w:rFonts w:ascii="Times New Roman;Times;Serif" w:hAnsi="Times New Roman;Times;Serif"/>
          <w:b w:val="false"/>
          <w:i w:val="false"/>
          <w:caps w:val="false"/>
          <w:smallCaps w:val="false"/>
          <w:sz w:val="20"/>
        </w:rPr>
        <w:t>. To exercise its Fundamental Change Repurchase Right for a Note following a Fundamental Change, the Holder thereof must deliver to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duly endorsed for transfer (if such Note is a Physical Note) or by book-entry transfer (if such Note is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Paying Agent will promptly deliver to the Company a copy of each Fundamental Change Repurchase Notice that it receives.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Contents of Fundamental Change Repurchase Notices</w:t>
      </w:r>
      <w:r>
        <w:rPr>
          <w:rFonts w:ascii="Times New Roman;Times;Serif" w:hAnsi="Times New Roman;Times;Serif"/>
          <w:b w:val="false"/>
          <w:i w:val="false"/>
          <w:caps w:val="false"/>
          <w:smallCaps w:val="false"/>
          <w:sz w:val="20"/>
        </w:rPr>
        <w:t>. Each Fundamental Change Repurchase Notice with respect to a Note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repurchased, which must be an Authorized Denomination;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such Holder is exercising its Fundamental Change Repurchase Right with respect to such principal amount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Withdrawal of Fundamental Change Repurchase Notice</w:t>
      </w:r>
      <w:r>
        <w:rPr>
          <w:rFonts w:ascii="Times New Roman;Times;Serif" w:hAnsi="Times New Roman;Times;Serif"/>
          <w:b w:val="false"/>
          <w:i w:val="false"/>
          <w:caps w:val="false"/>
          <w:smallCaps w:val="false"/>
          <w:sz w:val="20"/>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withdrawn, which must be an Authorized Denomination;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such Note, if any, that remains subject to such Fundamental Change Repurchase Notice, which must be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Payment of the Fundamental Change Repurchase Price</w:t>
      </w:r>
      <w:r>
        <w:rPr>
          <w:rFonts w:ascii="Times New Roman;Times;Serif" w:hAnsi="Times New Roman;Times;Serif"/>
          <w:b w:val="false"/>
          <w:i w:val="false"/>
          <w:caps w:val="false"/>
          <w:smallCaps w:val="false"/>
          <w:sz w:val="20"/>
        </w:rPr>
        <w:t>. Without limiting the Company’s obligation to deposit the Fundamental Change Repurchase Price within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Times;Serif" w:hAnsi="Times New Roman;Times;Serif"/>
          <w:b/>
          <w:i w:val="false"/>
          <w:caps w:val="false"/>
          <w:smallCaps w:val="false"/>
          <w:sz w:val="20"/>
        </w:rPr>
        <w:t>Section 4.02(G)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Third Party May Conduct Repurchase Offer In Lieu of the Company</w:t>
      </w:r>
      <w:r>
        <w:rPr>
          <w:rFonts w:ascii="Times New Roman;Times;Serif" w:hAnsi="Times New Roman;Times;Serif"/>
          <w:b w:val="false"/>
          <w:i w:val="false"/>
          <w:caps w:val="false"/>
          <w:smallCaps w:val="false"/>
          <w:sz w:val="20"/>
        </w:rPr>
        <w:t>. Notwithstanding anything to the contrary in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the Company will be deemed to satisfy its obligations under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if (i) one or more third parties conduct any Repurchase Upon Fundamental Change and related offer to repurchase Notes otherwise required by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in a manner that would have satisfied the requirements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if conducted directly by the Company; and (ii) an owner of a beneficial interest in any Note repurchased by such third party or parties will not receive a lesser amount (including as a result of withholding or other similar taxes) than such owner would have received had the Company repurchased such Note.</w:t>
      </w:r>
    </w:p>
    <w:p>
      <w:pPr>
        <w:pStyle w:val="TextBody"/>
        <w:bidi w:val="0"/>
        <w:spacing w:before="0" w:after="0"/>
        <w:ind w:left="0" w:right="0" w:hanging="0"/>
        <w:jc w:val="center"/>
        <w:rPr>
          <w:sz w:val="20"/>
          <w:bdr w:val="single" w:sz="8" w:space="1" w:color="000000"/>
        </w:rPr>
      </w:pPr>
      <w:r>
        <w:rPr>
          <w:sz w:val="20"/>
          <w:bdr w:val="single" w:sz="8" w:space="1" w:color="000000"/>
        </w:rPr>
        <w:t>- 25 -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No Requirement to Conduct an Offer to Repurchase Notes if the Fundamental Change Results in the Notes Becoming Convertible into an Amount of Cash Exceeding the Fundamental Change Repurchase Price</w:t>
      </w:r>
      <w:r>
        <w:rPr>
          <w:rFonts w:ascii="Times New Roman;Times;Serif" w:hAnsi="Times New Roman;Times;Serif"/>
          <w:b w:val="false"/>
          <w:i w:val="false"/>
          <w:caps w:val="false"/>
          <w:smallCaps w:val="false"/>
          <w:sz w:val="20"/>
        </w:rPr>
        <w:t>. Notwithstanding anything to the contrary in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the Company will not be required to send a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 or offer to repurchase or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in connection with a Common Stock Change Event that constitutes a Fundamental Change pursuant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of the definition thereof (regardless of whether such Common Stock Change Event also constitutes a Fundamental Change pursuant to any other clause of such definition), if (i) the Reference Property of such Common Stock Change Event consists entirely of cash in dollars; (ii) immediately after such Fundamental Change, the Notes become Convertible, pursuant to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and, if applicable,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into consideration that consists solely of dollars in an amount per $1,000 aggregate principal amount of Notes that equals or exceeds the Fundamental Change Repurchase Price per $1,000 aggregate principal amount of Notes (calculated (x) assuming that such Fundamental Change Repurchase Price includes accrued and unpaid interest to, but excluding, the latest possible Fundamental Change Repurchase Date for such Fundamental Change; and (y) without regard to the proviso to the first sentence of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and (iii) the Company timely sends the notice relating to such Fundamental Change required pursuant to ‎</w:t>
      </w:r>
      <w:r>
        <w:rPr>
          <w:rFonts w:ascii="Times New Roman;Times;Serif" w:hAnsi="Times New Roman;Times;Serif"/>
          <w:b/>
          <w:i w:val="false"/>
          <w:caps w:val="false"/>
          <w:smallCaps w:val="false"/>
          <w:sz w:val="20"/>
        </w:rPr>
        <w:t xml:space="preserve">Section 5.01(C)(i)(3)(b), </w:t>
      </w:r>
      <w:r>
        <w:rPr>
          <w:rFonts w:ascii="Times New Roman;Times;Serif" w:hAnsi="Times New Roman;Times;Serif"/>
          <w:b w:val="false"/>
          <w:i w:val="false"/>
          <w:caps w:val="false"/>
          <w:smallCaps w:val="false"/>
          <w:sz w:val="20"/>
        </w:rPr>
        <w:t>and includes, in such notice, a statement that the Company is relying on this ‎</w:t>
      </w:r>
      <w:r>
        <w:rPr>
          <w:rFonts w:ascii="Times New Roman;Times;Serif" w:hAnsi="Times New Roman;Times;Serif"/>
          <w:b/>
          <w:i w:val="false"/>
          <w:caps w:val="false"/>
          <w:smallCaps w:val="false"/>
          <w:sz w:val="20"/>
        </w:rPr>
        <w:t>Section 4.02(I)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Compliance with Applicable Securities Laws</w:t>
      </w:r>
      <w:r>
        <w:rPr>
          <w:rFonts w:ascii="Times New Roman;Times;Serif" w:hAnsi="Times New Roman;Times;Serif"/>
          <w:b w:val="false"/>
          <w:i w:val="false"/>
          <w:caps w:val="false"/>
          <w:smallCaps w:val="false"/>
          <w:sz w:val="20"/>
        </w:rPr>
        <w:t xml:space="preserve">. To the extent applicable, the Company will comply, in all material 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the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the Company’s obligations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a Repurchase Upon Fundamental Change in accordance with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modified as necessary by the Company in good faith to permit compliance with such law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Repurchase in Part</w:t>
      </w:r>
      <w:r>
        <w:rPr>
          <w:rFonts w:ascii="Times New Roman;Times;Serif" w:hAnsi="Times New Roman;Times;Serif"/>
          <w:b w:val="false"/>
          <w:i w:val="false"/>
          <w:caps w:val="false"/>
          <w:smallCaps w:val="false"/>
          <w:sz w:val="20"/>
        </w:rPr>
        <w:t>. Subject to the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Notes may be repurchased pursuant to a Repurchase Upon Fundamental Change in part, but only in Authorized Denominations. Provisions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applying to the repurchase of a Note in whole will equally apply to the repurchase of a permitted portion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w:t>
      </w:r>
      <w:r>
        <w:rPr>
          <w:rFonts w:ascii="Times New Roman;Times;Serif" w:hAnsi="Times New Roman;Times;Serif"/>
          <w:b/>
          <w:i w:val="false"/>
          <w:smallCaps/>
          <w:sz w:val="20"/>
        </w:rPr>
        <w:t>Right of the Company to Redeem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Right to Redeem Before April 8, 2030.</w:t>
      </w:r>
      <w:r>
        <w:rPr>
          <w:rFonts w:ascii="Times New Roman;Times;Serif" w:hAnsi="Times New Roman;Times;Serif"/>
          <w:b w:val="false"/>
          <w:i w:val="false"/>
          <w:caps w:val="false"/>
          <w:smallCaps w:val="false"/>
          <w:sz w:val="20"/>
        </w:rPr>
        <w:t xml:space="preserve"> The Company may not redeem the Notes at its option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at any time before April 8,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Right to Redeem the Notes on or After April 8, 2030.</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the Company has the right, at its election, to redeem all, or any portion (subject to the Partial Redemption Limitation described below) in an Authorized Denomination, of the Notes, at any time, and from time to time, on a Redemption Date on or after April 8, 2030 and on or before the twenty-sixth (26th) Scheduled Trading Day immediately before the Maturity Date, for a cash purchase price equal to the Redemption Price, but only if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seventy-five million dollars ($75,000,000) (such limitation, the “</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 For the avoidance of doubt, the calling (or the deemed calling, as provided in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of any Notes for Redemption will constitute a Make-Whole Fundamental Change with respect to such Notes called (or deemed called) for Redemption (and not with respect to any other Notes)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w:t>
      </w:r>
    </w:p>
    <w:p>
      <w:pPr>
        <w:pStyle w:val="TextBody"/>
        <w:bidi w:val="0"/>
        <w:spacing w:before="0" w:after="0"/>
        <w:ind w:left="0" w:right="0" w:hanging="0"/>
        <w:jc w:val="center"/>
        <w:rPr>
          <w:sz w:val="20"/>
          <w:bdr w:val="single" w:sz="8" w:space="1" w:color="000000"/>
        </w:rPr>
      </w:pPr>
      <w:r>
        <w:rPr>
          <w:sz w:val="20"/>
          <w:bdr w:val="single" w:sz="8" w:space="1" w:color="000000"/>
        </w:rPr>
        <w:t>- 26 -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Redemption Prohibited in Certain Circumstances</w:t>
      </w:r>
      <w:r>
        <w:rPr>
          <w:rFonts w:ascii="Times New Roman;Times;Serif" w:hAnsi="Times New Roman;Times;Serif"/>
          <w:b w:val="false"/>
          <w:i w:val="false"/>
          <w:caps w:val="false"/>
          <w:smallCaps w:val="false"/>
          <w:sz w:val="20"/>
        </w:rPr>
        <w:t>. If the principal amount of the Notes has been accelerated and such acceleration has not been rescinded on or before the Redemption Date (except as a result of the payment of the related Redemption Price, and any related interest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on such Redemption Date), then (i) the Company may not call for Redemption or otherwise redeem any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xml:space="preserve">. The Redemption Date for any Redemption will be a date of the Company’s choosing that is no more than fifty (50), nor less than thirty (30), Scheduled Trading Days after the Redemption Notice Date for such Redemption that is, as of the Redemption Notice Date, scheduled to be a Business Day;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if, in accordance with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the Company elects to settle all Conversions for Notes called for Redemption with a Conversion Date that occurs during the related Make-Whole Fundamental Change Conversion Period by Physical Settlement, then the Company may instead elect to choose a Redemption Date that is a Business Day no more than fifty (50) Scheduled Trading Days, nor less than fifteen (15) calendar days, after the date the Company sends such Redemption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and such Redemption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Redemption Price will include interest on Notes to be redeemed from, and including,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Redemption Notice</w:t>
      </w:r>
      <w:r>
        <w:rPr>
          <w:rFonts w:ascii="Times New Roman;Times;Serif" w:hAnsi="Times New Roman;Times;Serif"/>
          <w:b w:val="false"/>
          <w:i w:val="false"/>
          <w:caps w:val="false"/>
          <w:smallCaps w:val="false"/>
          <w:sz w:val="20"/>
        </w:rPr>
        <w:t>. To call any Notes for Redemption, the Company must send to each Holder of such Notes a written notice of such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Redemption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such Notes have been called for Redemption, briefly describing the Company’s Redemption right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Date for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 the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Notes called for Redemption may be Converted at any time before the Close of Business on the second (2nd) Scheduled Trading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Conversion Rate in effect on the Redemption Notice Date for such Redemption and a description and quantification of any adjustments to the Conversion Rate that may result from such Redemption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Settlement Method that will apply to all Conversions of Notes with a Conversion Date that occurs on or after such Redemption Notice Date and on or before the second (2nd) Scheduled Trading Day before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if applicable, that conversions of Notes will be settled in the manner set forth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of the proviso in ‎</w:t>
      </w:r>
      <w:r>
        <w:rPr>
          <w:rFonts w:ascii="Times New Roman;Times;Serif" w:hAnsi="Times New Roman;Times;Serif"/>
          <w:b/>
          <w:i w:val="false"/>
          <w:caps w:val="false"/>
          <w:smallCaps w:val="false"/>
          <w:sz w:val="20"/>
        </w:rPr>
        <w:t>Section 5.03(C)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called for Redemption must be delivered to the Paying Agent (in the case of Physical Notes) or the Depositary Procedures must be complied with (in the case of Global Notes) for the Holder thereof to be entitled to receive the Redemption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Notice Date, the Company will send a copy of such Redemption Notice to the Trustee, the Conversion Agent (if other than the Trustee) and the Paying Agent (if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Selection and Conversion of Notes to Be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fewer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only a portion of a Note is subject to Redemption and such Note is Converted in part, then the Converted portion of such Note will be deemed to be from the portion of such Note that was subject to Redemption, subject to, in the case of any Global Note, the applicable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Payment of the Redemption Price</w:t>
      </w:r>
      <w:r>
        <w:rPr>
          <w:rFonts w:ascii="Times New Roman;Times;Serif" w:hAnsi="Times New Roman;Times;Serif"/>
          <w:b w:val="false"/>
          <w:i w:val="false"/>
          <w:caps w:val="false"/>
          <w:smallCaps w:val="false"/>
          <w:sz w:val="20"/>
        </w:rPr>
        <w:t>. Without limiting the Company’s obligation to deposit the Redemption Price by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on any Note (or portion thereof) subject to Redemption must be paid pursuant to such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Special Provisions for Partial Calls</w:t>
      </w:r>
      <w:r>
        <w:rPr>
          <w:rFonts w:ascii="Times New Roman;Times;Serif" w:hAnsi="Times New Roman;Times;Serif"/>
          <w:b w:val="false"/>
          <w:i w:val="false"/>
          <w:caps w:val="false"/>
          <w:smallCaps w:val="false"/>
          <w:sz w:val="20"/>
        </w:rPr>
        <w:t>. If the Company elects to redeem fewer than all of the outstanding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the Holder of any Note, or any owner of a beneficial interest in any Global Note, is reasonably not able to determine, before the Close of Business on the twenty-seventh (27th) Scheduled Trading Day immediately before the Redemption Date for such Redemption (or, if, pursuant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xml:space="preserve"> the Company irrevocably elects Physical Settlement for all Conversions with a Conversion Date that occurs during the related Make-Whole Fundamental Change Conversion Period, the fifteenth (15th) calendar day), whether such Note or beneficial interest, as applicable, is to be redeemed pursuant to such Redemption, then such Holder or owner, as applicable, will be entitled to Convert such Note or beneficial interest, as applicable, at any time before the Close of Business on the second (2nd) Scheduled Trading Day immediately before such Redemption Date, and each such Conversion will be deemed to be of a Note called for Redemption for purposes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Sections ‎5.01(C)(i)(4)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and the definition of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Repurchases or Other Acquisitions Other Than by Redemption Not Affected</w:t>
      </w:r>
      <w:r>
        <w:rPr>
          <w:rFonts w:ascii="Times New Roman;Times;Serif" w:hAnsi="Times New Roman;Times;Serif"/>
          <w:b w:val="false"/>
          <w:i w:val="false"/>
          <w:caps w:val="false"/>
          <w:smallCaps w:val="false"/>
          <w:sz w:val="20"/>
        </w:rPr>
        <w:t>. For the avoidance of doubt, nothing in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will limit or otherwise apply to any repurchase or other acquisition, by the Company or its Affiliates, or any other Person, of any Notes not effected by Redemption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(including in open market transactions, private or public tender or exchange offers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w:t>
      </w:r>
      <w:r>
        <w:rPr>
          <w:rFonts w:ascii="Times New Roman;Times;Serif" w:hAnsi="Times New Roman;Times;Serif"/>
          <w:b/>
          <w:i w:val="false"/>
          <w:caps/>
          <w:sz w:val="20"/>
        </w:rPr>
        <w:t>The 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w:t>
      </w:r>
      <w:r>
        <w:rPr>
          <w:rFonts w:ascii="Times New Roman;Times;Serif" w:hAnsi="Times New Roman;Times;Serif"/>
          <w:b/>
          <w:i w:val="false"/>
          <w:smallCaps/>
          <w:sz w:val="20"/>
        </w:rPr>
        <w:t>Right to Convert.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Subject to the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each Holder may, at its option, Convert such Holder’s Notes into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Conversions in Part</w:t>
      </w:r>
      <w:r>
        <w:rPr>
          <w:rFonts w:ascii="Times New Roman;Times;Serif" w:hAnsi="Times New Roman;Times;Serif"/>
          <w:b w:val="false"/>
          <w:i w:val="false"/>
          <w:caps w:val="false"/>
          <w:smallCaps w:val="false"/>
          <w:sz w:val="20"/>
        </w:rPr>
        <w:t>. Subject to the terms of the Indenture, Notes may be Converted in part, but only in Authorized Denominations.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applying to the Conversion of a Note in whole will equally apply to Conversions of a permitted portion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When Notes May Be Converted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Subject to ‎</w:t>
      </w:r>
      <w:r>
        <w:rPr>
          <w:rFonts w:ascii="Times New Roman;Times;Serif" w:hAnsi="Times New Roman;Times;Serif"/>
          <w:b/>
          <w:i w:val="false"/>
          <w:caps w:val="false"/>
          <w:smallCaps w:val="false"/>
          <w:sz w:val="20"/>
        </w:rPr>
        <w:t>Section 5.01(C)(ii)</w:t>
      </w:r>
      <w:r>
        <w:rPr>
          <w:rFonts w:ascii="Times New Roman;Times;Serif" w:hAnsi="Times New Roman;Times;Serif"/>
          <w:b w:val="false"/>
          <w:i w:val="false"/>
          <w:caps w:val="false"/>
          <w:smallCaps w:val="false"/>
          <w:sz w:val="20"/>
        </w:rPr>
        <w:t>, a Note may be Converted only in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Conversion Upon Satisfaction of Common Stock Sale Price Condition</w:t>
      </w:r>
      <w:r>
        <w:rPr>
          <w:rFonts w:ascii="Times New Roman;Times;Serif" w:hAnsi="Times New Roman;Times;Serif"/>
          <w:b w:val="false"/>
          <w:i w:val="false"/>
          <w:caps w:val="false"/>
          <w:smallCaps w:val="false"/>
          <w:sz w:val="20"/>
        </w:rPr>
        <w:t>. Before the Close of Business on the Business Day immediately before January 1, 2032, a Holder may Convert its Notes during any calendar quarter (and only during such calendar quarter) commencing after the calendar quarter ending on June 30, 2026,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Conversion Upon Satisfaction of Note Trading Price Condition</w:t>
      </w:r>
      <w:r>
        <w:rPr>
          <w:rFonts w:ascii="Times New Roman;Times;Serif" w:hAnsi="Times New Roman;Times;Serif"/>
          <w:b w:val="false"/>
          <w:i w:val="false"/>
          <w:caps w:val="false"/>
          <w:smallCaps w:val="false"/>
          <w:sz w:val="20"/>
        </w:rPr>
        <w:t>. Before the Close of Business on the Business Day immediately before January 1, 2032, a Holder may Convert its Notes during the five (5) consecutive Business Days immediately after any ten (10) consecutive Trading Day period (such ten (10)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if the Trading Price per $1,000 principal amount of Notes, as determined following a request by a Holder or Holders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Supplemental Indenture as the “</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will be determined by the Bid Solicitation Agent pursuant to this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holding at least two million dollars ($2,000,000) principal amount of Notes provide(s) the Company with reasonable evidence that the Trading Price per $1,000 principal amount of Notes would be less than ninety eight percent (98%) of the product of the Last Reported Sale Price per share of Common Stock and the Conversion Rate. If a Holder or Holders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(if other than the Trustee)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(if other than the Trustee)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Conversion Upon Specified Corporate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Certain Distributions</w:t>
      </w:r>
      <w:r>
        <w:rPr>
          <w:rFonts w:ascii="Times New Roman;Times;Serif" w:hAnsi="Times New Roman;Times;Serif"/>
          <w:b w:val="false"/>
          <w:i w:val="false"/>
          <w:caps w:val="false"/>
          <w:smallCaps w:val="false"/>
          <w:sz w:val="20"/>
        </w:rPr>
        <w:t>. If, before the Close of Business on the Business Day immediately before January 1, 2032,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(x) the Company will send written notice of such distribution, and of the related right to Convert Notes, to Holders, the Trustee and the Conversion Agent (if other than the Trustee) at least thirty (30)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if the Company is then otherwise permitted to settle Conversions by Physical Settlement (and, for the avoidance of doubt, the Company has not elected (or been deemed to have elected) another Settlement Method to apply, including pursuant to </w:t>
      </w:r>
      <w:r>
        <w:rPr>
          <w:rFonts w:ascii="Times New Roman;Times;Serif" w:hAnsi="Times New Roman;Times;Serif"/>
          <w:b/>
          <w:i w:val="false"/>
          <w:caps w:val="false"/>
          <w:smallCaps w:val="false"/>
          <w:sz w:val="20"/>
        </w:rPr>
        <w:t>Section 5.03(A)(i)(1)</w:t>
      </w:r>
      <w:r>
        <w:rPr>
          <w:rFonts w:ascii="Times New Roman;Times;Serif" w:hAnsi="Times New Roman;Times;Serif"/>
          <w:b w:val="false"/>
          <w:i w:val="false"/>
          <w:caps w:val="false"/>
          <w:smallCaps w:val="false"/>
          <w:sz w:val="20"/>
        </w:rPr>
        <w:t xml:space="preserve">), then the Company may instead elect to provide such notice at least ten (10) Scheduled Trading Days before such Ex-Dividend Date, in which event the Company shall be required to settle all Conversions with a Conversion Date occurring on or after the date the Company provides such notice and on or before the Business Day immediately preceding the Ex-Dividend Date for such distribution (or any earlier announcement by the Company that such distribution will not take place) by Physical Settlement, and the Company shall describe the same in such notice;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Notes will not become Convertible pursuant to </w:t>
      </w:r>
      <w:r>
        <w:rPr>
          <w:rFonts w:ascii="Times New Roman;Times;Serif" w:hAnsi="Times New Roman;Times;Serif"/>
          <w:b/>
          <w:i w:val="false"/>
          <w:caps w:val="false"/>
          <w:smallCaps w:val="false"/>
          <w:sz w:val="20"/>
        </w:rPr>
        <w:t>clause (y)</w:t>
      </w:r>
      <w:r>
        <w:rPr>
          <w:rFonts w:ascii="Times New Roman;Times;Serif" w:hAnsi="Times New Roman;Times;Serif"/>
          <w:b w:val="false"/>
          <w:i w:val="false"/>
          <w:caps w:val="false"/>
          <w:smallCaps w:val="false"/>
          <w:sz w:val="20"/>
        </w:rPr>
        <w:t xml:space="preserve"> above (but the Company will be required to send notice of such distribution pursuant to </w:t>
      </w:r>
      <w:r>
        <w:rPr>
          <w:rFonts w:ascii="Times New Roman;Times;Serif" w:hAnsi="Times New Roman;Times;Serif"/>
          <w:b/>
          <w:i w:val="false"/>
          <w:caps w:val="false"/>
          <w:smallCaps w:val="false"/>
          <w:sz w:val="20"/>
        </w:rPr>
        <w:t>clause (x)</w:t>
      </w:r>
      <w:r>
        <w:rPr>
          <w:rFonts w:ascii="Times New Roman;Times;Serif" w:hAnsi="Times New Roman;Times;Serif"/>
          <w:b w:val="false"/>
          <w:i w:val="false"/>
          <w:caps w:val="false"/>
          <w:smallCaps w:val="false"/>
          <w:sz w:val="20"/>
        </w:rPr>
        <w:t>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Certain Corporate Events</w:t>
      </w:r>
      <w:r>
        <w:rPr>
          <w:rFonts w:ascii="Times New Roman;Times;Serif" w:hAnsi="Times New Roman;Times;Serif"/>
          <w:b w:val="false"/>
          <w:i w:val="false"/>
          <w:caps w:val="false"/>
          <w:smallCaps w:val="false"/>
          <w:sz w:val="20"/>
        </w:rPr>
        <w:t xml:space="preserve">. If a Fundamental Change, Make-Whole Fundamental Change (other than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thirty-fifth (35th) Trading Day after such effective date (or, if such transaction or event also constitutes a Fundamental Change (other than an Exempted Fundamental Change), to, but excluding, the related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does not provide the notice referred to in the immediately following sentence by the second (2nd) Business Day after such effective date, then the last day on which the Notes are Convertible pursuant to this sentence will be extended by the number of Business Days from, and including, the second (2nd) Business Day after the effective date to, but excluding, the date the Company provides such notice. No later than the second (2nd) Business Day after the effective date, the Company will send written notice to the Holders, the Trustee and the Conversion Agent (if other than the Trustee) of such transaction or event, such effective date and the related right to Convert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Conversion Upon Redemption</w:t>
      </w:r>
      <w:r>
        <w:rPr>
          <w:rFonts w:ascii="Times New Roman;Times;Serif" w:hAnsi="Times New Roman;Times;Serif"/>
          <w:b w:val="false"/>
          <w:i w:val="false"/>
          <w:caps w:val="false"/>
          <w:smallCaps w:val="false"/>
          <w:sz w:val="20"/>
        </w:rPr>
        <w:t>. If the Company calls any Note for Redemption, then the Holder of such Note may Convert such Note at any time before the Close of Business on the second (2nd) Scheduled Trading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Conversions During Free Convertibility Period</w:t>
      </w:r>
      <w:r>
        <w:rPr>
          <w:rFonts w:ascii="Times New Roman;Times;Serif" w:hAnsi="Times New Roman;Times;Serif"/>
          <w:b w:val="false"/>
          <w:i w:val="false"/>
          <w:caps w:val="false"/>
          <w:smallCaps w:val="false"/>
          <w:sz w:val="20"/>
        </w:rPr>
        <w:t>. A Holder may Convert its Notes at any time from, and including, January 1, 2032 until the Close of Business on the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Notes may become Convertible pursuant to any one or more of the preceding sub-paragraphs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and the Notes ceasing to be Convertible pursuant to a particular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will not preclude the Notes from being Convertible pursuant to any other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Limitations and Closed Periods</w:t>
      </w:r>
      <w:r>
        <w:rPr>
          <w:rFonts w:ascii="Times New Roman;Times;Serif" w:hAnsi="Times New Roman;Times;Serif"/>
          <w:b w:val="false"/>
          <w:i w:val="false"/>
          <w:caps w:val="false"/>
          <w:smallCaps w:val="false"/>
          <w:sz w:val="20"/>
        </w:rPr>
        <w:t>. Notwithstanding anything to the contrary in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Notes may be surrendered for Conversion during a period where the Notes are Convertible pursuant to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only after the Open of Business and before the Close of Business on a day that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no event may any Note be Converted after the Close of Business on the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Company calls any Note for Redemption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then the Holder of such Note may not Convert such Note after the Close of Business on the second (2nd) Scheduled Trading Day immediately before the applicable Redemption Date, except to the extent the Company fails to pay the Redemption Price for such Note in accordance with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 Fundamental Change Repurchase Notice is validly delivered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with respect to any Note, then such Note may not be Converted, except to the extent (a) such Note is not subject to such notice; (b) such notice is withdrawn in accordance with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or (c) the Company fails to pay the Fundamental Change Repurchase Price for such Note in accordance with this Supplemental Indenture (or a third party fails to make such payment in lieu of the Company in accordance with ‎</w:t>
      </w:r>
      <w:r>
        <w:rPr>
          <w:rFonts w:ascii="Times New Roman;Times;Serif" w:hAnsi="Times New Roman;Times;Serif"/>
          <w:b/>
          <w:i w:val="false"/>
          <w:caps w:val="false"/>
          <w:smallCaps w:val="false"/>
          <w:sz w:val="20"/>
        </w:rPr>
        <w:t>Section 4.02(H)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w:t>
      </w:r>
      <w:r>
        <w:rPr>
          <w:rFonts w:ascii="Times New Roman;Times;Serif" w:hAnsi="Times New Roman;Times;Serif"/>
          <w:b/>
          <w:i w:val="false"/>
          <w:smallCaps/>
          <w:sz w:val="20"/>
        </w:rPr>
        <w:t>Conversion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To Convert a beneficial interest in a Global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the owner of such beneficial interest must (1) comply with the Depositary Procedures for Converting such beneficial interest (at which time such Conversion will become irrevocable); and (2)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To Convert all or a portion of a Physical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Effect of Converting a Note</w:t>
      </w:r>
      <w:r>
        <w:rPr>
          <w:rFonts w:ascii="Times New Roman;Times;Serif" w:hAnsi="Times New Roman;Times;Serif"/>
          <w:b w:val="false"/>
          <w:i w:val="false"/>
          <w:caps w:val="false"/>
          <w:smallCaps w:val="false"/>
          <w:sz w:val="20"/>
        </w:rPr>
        <w:t>. At the Close of Business on the Conversion Date for a Note (or any portion thereof) to be Converted, such Note (or such portion) will (unless there occurs a Default in the delivery of the Conversion Consideration or interest, if any,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Times;Serif" w:hAnsi="Times New Roman;Times;Serif"/>
          <w:b/>
          <w:i w:val="false"/>
          <w:caps w:val="false"/>
          <w:smallCaps w:val="false"/>
          <w:sz w:val="20"/>
        </w:rPr>
        <w:t>Section 5.02(D).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Holder of Record of Conversion Shares</w:t>
      </w:r>
      <w:r>
        <w:rPr>
          <w:rFonts w:ascii="Times New Roman;Times;Serif" w:hAnsi="Times New Roman;Times;Serif"/>
          <w:b w:val="false"/>
          <w:i w:val="false"/>
          <w:caps w:val="false"/>
          <w:smallCaps w:val="false"/>
          <w:sz w:val="20"/>
        </w:rPr>
        <w:t>. The Person in whose name any share of Common Stock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Interest Payable Upon Conversion in Certain Circumstances</w:t>
      </w:r>
      <w:r>
        <w:rPr>
          <w:rFonts w:ascii="Times New Roman;Times;Serif" w:hAnsi="Times New Roman;Times;Serif"/>
          <w:b w:val="false"/>
          <w:i w:val="false"/>
          <w:caps w:val="false"/>
          <w:smallCaps w:val="false"/>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clause (i)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 surrendering such Note for Conversion need not deliver such cash (v) with respect to any Note called for Redemption, if the Company has specified a Redemption Date that is after such Regular Record Date and on or before the second (2nd) Scheduled Trading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interest that would have accrued on such Note to, but excluding, the Maturity Date as if such Note had not been Converted.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Taxes and Duties</w:t>
      </w:r>
      <w:r>
        <w:rPr>
          <w:rFonts w:ascii="Times New Roman;Times;Serif" w:hAnsi="Times New Roman;Times;Serif"/>
          <w:b w:val="false"/>
          <w:i w:val="false"/>
          <w:caps w:val="false"/>
          <w:smallCaps w:val="false"/>
          <w:sz w:val="20"/>
        </w:rPr>
        <w:t xml:space="preserve">. If a Holder Converts a Note, the Company will pay or cause to be paid any documentary, stamp or similar issue or transfer tax or duty due on the issue or delivery of any shares of Common Stock upon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Conversion Agent to Notify Company of Conversions</w:t>
      </w:r>
      <w:r>
        <w:rPr>
          <w:rFonts w:ascii="Times New Roman;Times;Serif" w:hAnsi="Times New Roman;Times;Serif"/>
          <w:b w:val="false"/>
          <w:i w:val="false"/>
          <w:caps w:val="false"/>
          <w:smallCaps w:val="false"/>
          <w:sz w:val="20"/>
        </w:rPr>
        <w:t>. If any Note is submitted for Conversion to the Conversion Agent or the Conversion Agent receives any notice of Conversion with respect to a Note, then the Conversion Agent will promptly notify the Company and the Trustee (if other than the Conversion Agent) of such occurrence, together with any other information reasonably requested by the Company, and will cooperate with the Company to determine the Conversion Date for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w:t>
      </w:r>
      <w:r>
        <w:rPr>
          <w:rFonts w:ascii="Times New Roman;Times;Serif" w:hAnsi="Times New Roman;Times;Serif"/>
          <w:b/>
          <w:i w:val="false"/>
          <w:smallCaps/>
          <w:sz w:val="20"/>
        </w:rPr>
        <w:t>Settlement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Settlement Method</w:t>
      </w:r>
      <w:r>
        <w:rPr>
          <w:rFonts w:ascii="Times New Roman;Times;Serif" w:hAnsi="Times New Roman;Times;Serif"/>
          <w:b w:val="false"/>
          <w:i w:val="false"/>
          <w:caps w:val="false"/>
          <w:smallCaps w:val="false"/>
          <w:sz w:val="20"/>
        </w:rPr>
        <w:t>. Upon the Conversion of any Note, the Company will settle such Conversion by paying or delivering, as applicable and as provided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either (x) shares of Common Stock, together, if applicable, with cash in lieu of fractional shares, as provided in ‎</w:t>
      </w:r>
      <w:r>
        <w:rPr>
          <w:rFonts w:ascii="Times New Roman;Times;Serif" w:hAnsi="Times New Roman;Times;Serif"/>
          <w:b/>
          <w:i w:val="false"/>
          <w:caps w:val="false"/>
          <w:smallCaps w:val="false"/>
          <w:sz w:val="20"/>
        </w:rPr>
        <w:t>Section 5.03(B)(i)(1)</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(y) solely cash as provided in ‎</w:t>
      </w:r>
      <w:r>
        <w:rPr>
          <w:rFonts w:ascii="Times New Roman;Times;Serif" w:hAnsi="Times New Roman;Times;Serif"/>
          <w:b/>
          <w:i w:val="false"/>
          <w:caps w:val="false"/>
          <w:smallCaps w:val="false"/>
          <w:sz w:val="20"/>
        </w:rPr>
        <w:t>Section 5.03(B)(i)(2)</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or (z) a combination of cash and shares of Common Stock, together, if applicable, with cash in lieu of fractional shares, as provided in ‎</w:t>
      </w:r>
      <w:r>
        <w:rPr>
          <w:rFonts w:ascii="Times New Roman;Times;Serif" w:hAnsi="Times New Roman;Times;Serif"/>
          <w:b/>
          <w:i w:val="false"/>
          <w:caps w:val="false"/>
          <w:smallCaps w:val="false"/>
          <w:sz w:val="20"/>
        </w:rPr>
        <w:t>Section 5.03(B)(i)(3)</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The Company’s Right to Elect Settlement Method</w:t>
      </w:r>
      <w:r>
        <w:rPr>
          <w:rFonts w:ascii="Times New Roman;Times;Serif" w:hAnsi="Times New Roman;Times;Serif"/>
          <w:b w:val="false"/>
          <w:i w:val="false"/>
          <w:caps w:val="false"/>
          <w:smallCaps w:val="false"/>
          <w:sz w:val="20"/>
        </w:rPr>
        <w:t xml:space="preserve">. The Company will have the right to elect the Settlement Method applicable to any Conversion of a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all Conversions of Notes with a Conversion Date that occurs on or after January 1, 2032 will be settled using the same Settlement Method, and the Company will send notice of such Settlement Method to Holders no later than the Open of Business on January 1,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if the Company elects a Settlement Method with respect to the Conversion of any Note whose Conversion Date occurs before January 1, 2032, then the Company will send notice of such Settlement Method to the Holder of such Note no later than the Close of Business on the Business Day immediately after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any Notes are called for Redemption, then (a) the Company will specify, in the related Redemption Notice (and, in the case of a Redemption of fewer than all outstanding Notes, in a notice simultaneously sent to all Holders of Notes not called for Redemption) sent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the Settlement Method that will apply to all Conversions of Notes with a Conversion Date that occurs on or after the related Redemption Notice Date and on or before the second (2nd) Scheduled Trading Day immediately before the related Redemption Date; and (b) if such Redemption Date occurs on or after January 1, 2032, then such Settlement Method must be the same Settlement Method that,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above, applies to all Conversions of Notes with a Conversion Date that occurs on or after January 1,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time the Company sends any notice referred to in this ‎</w:t>
      </w:r>
      <w:r>
        <w:rPr>
          <w:rFonts w:ascii="Times New Roman;Times;Serif" w:hAnsi="Times New Roman;Times;Serif"/>
          <w:b/>
          <w:i w:val="false"/>
          <w:caps w:val="false"/>
          <w:smallCaps w:val="false"/>
          <w:sz w:val="20"/>
        </w:rPr>
        <w:t>Section 5.03(A)(i)</w:t>
      </w:r>
      <w:r>
        <w:rPr>
          <w:rFonts w:ascii="Times New Roman;Times;Serif" w:hAnsi="Times New Roman;Times;Serif"/>
          <w:b w:val="false"/>
          <w:i w:val="false"/>
          <w:caps w:val="false"/>
          <w:smallCaps w:val="false"/>
          <w:sz w:val="20"/>
        </w:rPr>
        <w:t>, the Company will send a copy of such notice to the Trustee and the Conversion Agent (if other than the Trustee), but the failure to timely send such copy will not affect the validity of any Settlement Method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The Company’s Right to Irrevocably Fix or Eliminate Settlement Methods</w:t>
      </w:r>
      <w:r>
        <w:rPr>
          <w:rFonts w:ascii="Times New Roman;Times;Serif" w:hAnsi="Times New Roman;Times;Serif"/>
          <w:b w:val="false"/>
          <w:i w:val="false"/>
          <w:caps w:val="false"/>
          <w:smallCaps w:val="false"/>
          <w:sz w:val="20"/>
        </w:rPr>
        <w:t xml:space="preserve">. The Company will have the right, exercisable at its election by sending notice of such exercise to the Holders (with a copy to the Trustee and the Conversion Agent (if other than the Trustee)),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(w) the Settlement Method so elected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or the Settlement Method(s) remaining after any elimination pursuant to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above, as applicable, must be a Settlement Method or Settlement Method(s), as applicable, that the Company is then permitted to elect (for the avoidance of doubt, including pursuant to, and subject to, the other provisions of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 no such irrevocable election or Default Settlement Method change will affect any Settlement Method theretofore elected (or deemed to be elected) with respect to any Note pursuant to the Indenture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or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(y) upon any such irrevocable election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the Default Settlement Method will automatically be deemed to be set to the Settlement Method so fixed; and (z) upon any such irrevocable election pursuant to </w:t>
      </w:r>
      <w:r>
        <w:rPr>
          <w:rFonts w:ascii="Times New Roman;Times;Serif" w:hAnsi="Times New Roman;Times;Serif"/>
          <w:b/>
          <w:i w:val="false"/>
          <w:caps w:val="false"/>
          <w:smallCaps w:val="false"/>
          <w:sz w:val="20"/>
        </w:rPr>
        <w:t xml:space="preserve">clause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the Indenture or the Notes,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(it being understood, however, that the Company may nonetheless choose to execute such an amendment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foregoing or in the Indenture, (1) the Company irrevocably elects, effective the date of this Supplemental Indenture, to fix the Settlement Method to Physical Settlement, and (2) the Company shall not be required to otherwise notify Holders, the Trustee or the Conversion Agent (if other than the Trustee) of such election or otherwise post an announcement of such election on its website or issue a report on Form 8-K (or any successor form) disclosing such irrevocably elected Settlement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Requirement to Publicly Disclose the Fixed or Default Settlement Method.</w:t>
      </w:r>
      <w:r>
        <w:rPr>
          <w:rFonts w:ascii="Times New Roman;Times;Serif" w:hAnsi="Times New Roman;Times;Serif"/>
          <w:b w:val="false"/>
          <w:i w:val="false"/>
          <w:caps w:val="false"/>
          <w:smallCaps w:val="false"/>
          <w:sz w:val="20"/>
        </w:rPr>
        <w:t xml:space="preserve"> If the Company changes the Default Settlement Method pursuant to </w:t>
      </w:r>
      <w:r>
        <w:rPr>
          <w:rFonts w:ascii="Times New Roman;Times;Serif" w:hAnsi="Times New Roman;Times;Serif"/>
          <w:b/>
          <w:i w:val="false"/>
          <w:caps w:val="false"/>
          <w:smallCaps w:val="false"/>
          <w:sz w:val="20"/>
        </w:rPr>
        <w:t>clause (x)</w:t>
      </w:r>
      <w:r>
        <w:rPr>
          <w:rFonts w:ascii="Times New Roman;Times;Serif" w:hAnsi="Times New Roman;Times;Serif"/>
          <w:b w:val="false"/>
          <w:i w:val="false"/>
          <w:caps w:val="false"/>
          <w:smallCaps w:val="false"/>
          <w:sz w:val="20"/>
        </w:rPr>
        <w:t> of the proviso to the definition of such term or irrevocably fixes the Settlement Method(s) pursuant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then the Company will, substantially concurrently, either post the Default Settlement Method or fixed Settlement Method(s), as applicable, on its website or disclose the same in a Current Report on Form 8-K (or any successor form) that is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‎5.03(B)(ii)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5.03(B)(iii)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5.09(A</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the type and amount of consideration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due in respect of each $1,000 principal amount of a Note to be Converted will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Physical Settlement applies to such Conversion, subject to ‎</w:t>
      </w:r>
      <w:r>
        <w:rPr>
          <w:rFonts w:ascii="Times New Roman;Times;Serif" w:hAnsi="Times New Roman;Times;Serif"/>
          <w:b/>
          <w:i w:val="false"/>
          <w:caps w:val="false"/>
          <w:smallCaps w:val="false"/>
          <w:sz w:val="20"/>
        </w:rPr>
        <w:t>Section 5.03(B)(ii)</w:t>
      </w:r>
      <w:r>
        <w:rPr>
          <w:rFonts w:ascii="Times New Roman;Times;Serif" w:hAnsi="Times New Roman;Times;Serif"/>
          <w:b w:val="false"/>
          <w:i w:val="false"/>
          <w:caps w:val="false"/>
          <w:smallCaps w:val="false"/>
          <w:sz w:val="20"/>
        </w:rPr>
        <w:t>, a number of shares of Common Stock equal to the Conversion Rate in effect on the Conversion Date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Cash Settlement applies to such Conversion, cash in an amount equal to the sum of the Daily Conversion Values for each VWAP Trading Day in the Observation Period for such Conversion;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Combination Settlement applies to such Conversion, consideration consisting, subject to ‎</w:t>
      </w:r>
      <w:r>
        <w:rPr>
          <w:rFonts w:ascii="Times New Roman;Times;Serif" w:hAnsi="Times New Roman;Times;Serif"/>
          <w:b/>
          <w:i w:val="false"/>
          <w:caps w:val="false"/>
          <w:smallCaps w:val="false"/>
          <w:sz w:val="20"/>
        </w:rPr>
        <w:t>Section 5.03(B)(ii),</w:t>
      </w:r>
      <w:r>
        <w:rPr>
          <w:rFonts w:ascii="Times New Roman;Times;Serif" w:hAnsi="Times New Roman;Times;Serif"/>
          <w:b w:val="false"/>
          <w:i w:val="false"/>
          <w:caps w:val="false"/>
          <w:smallCaps w:val="false"/>
          <w:sz w:val="20"/>
        </w:rPr>
        <w:t xml:space="preserve">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Cash in Lieu of Fractional Shares</w:t>
      </w:r>
      <w:r>
        <w:rPr>
          <w:rFonts w:ascii="Times New Roman;Times;Serif" w:hAnsi="Times New Roman;Times;Serif"/>
          <w:b w:val="false"/>
          <w:i w:val="false"/>
          <w:caps w:val="false"/>
          <w:smallCaps w:val="false"/>
          <w:sz w:val="20"/>
        </w:rPr>
        <w:t>. If Physical Settlement or Combination Settlement applies to the Conversion of any Note and the number of shares of Common Stock deliverable pursuant to ‎</w:t>
      </w:r>
      <w:r>
        <w:rPr>
          <w:rFonts w:ascii="Times New Roman;Times;Serif" w:hAnsi="Times New Roman;Times;Serif"/>
          <w:b/>
          <w:i w:val="false"/>
          <w:caps w:val="false"/>
          <w:smallCaps w:val="false"/>
          <w:sz w:val="20"/>
        </w:rPr>
        <w:t>Section 5.03(B)(i)</w:t>
      </w:r>
      <w:r>
        <w:rPr>
          <w:rFonts w:ascii="Times New Roman;Times;Serif" w:hAnsi="Times New Roman;Times;Serif"/>
          <w:b w:val="false"/>
          <w:i w:val="false"/>
          <w:caps w:val="false"/>
          <w:smallCaps w:val="false"/>
          <w:sz w:val="20"/>
        </w:rPr>
        <w:t>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Conversion of Multiple Notes by a Single Holder</w:t>
      </w:r>
      <w:r>
        <w:rPr>
          <w:rFonts w:ascii="Times New Roman;Times;Serif" w:hAnsi="Times New Roman;Times;Serif"/>
          <w:b w:val="false"/>
          <w:i w:val="false"/>
          <w:caps w:val="false"/>
          <w:smallCaps w:val="false"/>
          <w:sz w:val="20"/>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Notice of Calculation of Conversion Consideration</w:t>
      </w:r>
      <w:r>
        <w:rPr>
          <w:rFonts w:ascii="Times New Roman;Times;Serif" w:hAnsi="Times New Roman;Times;Serif"/>
          <w:b w:val="false"/>
          <w:i w:val="false"/>
          <w:caps w:val="false"/>
          <w:smallCaps w:val="false"/>
          <w:sz w:val="20"/>
        </w:rPr>
        <w:t>.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Delivery of the Conversion Consideration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Sections ‎5.05(D)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5.09</w:t>
      </w:r>
      <w:r>
        <w:rPr>
          <w:rFonts w:ascii="Times New Roman;Times;Serif" w:hAnsi="Times New Roman;Times;Serif"/>
          <w:b w:val="false"/>
          <w:i w:val="false"/>
          <w:caps w:val="false"/>
          <w:smallCaps w:val="false"/>
          <w:sz w:val="20"/>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(1) any Note is Converted with a Conversion Date occurring after the Regular Record Date immediately preceding the Maturity Date; and (2) Physical Settlement applies to such Conversion, then (x) the Company will settle such conversion on the Maturity Date (or, if the Maturity Date is not a Business Day, the next Business Day), as applicable; and (y) the Conversion Date will instead be deemed to be the Business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Deemed Payment of Principal and Interest; Settlement of Accrued Interest Notwithstanding Conversion</w:t>
      </w:r>
      <w:r>
        <w:rPr>
          <w:rFonts w:ascii="Times New Roman;Times;Serif" w:hAnsi="Times New Roman;Times;Serif"/>
          <w:b w:val="false"/>
          <w:i w:val="false"/>
          <w:caps w:val="false"/>
          <w:smallCaps w:val="false"/>
          <w:sz w:val="20"/>
        </w:rPr>
        <w:t>. If a Holder Converts a Note, then the Company will not adjust the Conversion Rate to account for any accrued and unpaid interest on such Note, and,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the Company’s delivery of the Conversion Consideration due in respect of such Conversion will be deemed to fully satisfy and discharge the Company’s obligation to pay the principal of, and accrued and unpaid interest on, such Note to, but excluding the relevant Conversion Date. As a result,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any accrued and unpaid interest on a Converted Note will be deemed to be paid in full rather than cancelled, extinguished or forfeited. In addition, subject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upon Conversion, accrued and unpaid interest is first paid by any cash paid upon such Conversion (other than cash paid in lieu of a fractional share) and thereafter by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w:t>
      </w:r>
      <w:r>
        <w:rPr>
          <w:rFonts w:ascii="Times New Roman;Times;Serif" w:hAnsi="Times New Roman;Times;Serif"/>
          <w:b/>
          <w:i w:val="false"/>
          <w:smallCaps/>
          <w:sz w:val="20"/>
        </w:rPr>
        <w:t>Reserve and Status of Common Stock Issued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Stock Reserve</w:t>
      </w:r>
      <w:r>
        <w:rPr>
          <w:rFonts w:ascii="Times New Roman;Times;Serif" w:hAnsi="Times New Roman;Times;Serif"/>
          <w:b w:val="false"/>
          <w:i w:val="false"/>
          <w:caps w:val="false"/>
          <w:smallCaps w:val="false"/>
          <w:sz w:val="20"/>
        </w:rPr>
        <w:t>. At all times when any Notes are outstanding, the Company will reserve (out of its authorized and not outstanding shares of Common Stock that are not reserved for other purposes) a number of shares of Common Stock equal to the product of (i) the aggregate principal amount (expressed in thousands) of all then-outstanding Notes; and (ii) the Conversion Rate then in effect (assuming, for these purposes, that the Conversion Rate is increased by the maximum amount pursuant to which the Conversion Rate may be increased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the extent the Company delivers shares of Common Stock held in its treasury in settlement of the Conversion of any Notes, each reference in the Indenture or the Notes to the issuance of shares of Common Stock in connection therewith will be deemed to include such delivery,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Status of Conversion Shares; Listing</w:t>
      </w:r>
      <w:r>
        <w:rPr>
          <w:rFonts w:ascii="Times New Roman;Times;Serif" w:hAnsi="Times New Roman;Times;Serif"/>
          <w:b w:val="false"/>
          <w:i w:val="false"/>
          <w:caps w:val="false"/>
          <w:smallCaps w:val="false"/>
          <w:sz w:val="20"/>
        </w:rPr>
        <w:t>. Each Conversion Share, if any, delivered upon Conversion of any Note will be a newly issued or treasury share (except that any Conversion Share delivered by a designated financial institution pursuant to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5.05      </w:t>
      </w:r>
      <w:r>
        <w:rPr>
          <w:rFonts w:ascii="Times New Roman;Times;Serif" w:hAnsi="Times New Roman;Times;Serif"/>
          <w:b/>
          <w:i w:val="false"/>
          <w:smallCaps/>
          <w:sz w:val="20"/>
        </w:rPr>
        <w:t>Adjustments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Events Requiring an Adjustment to the Conversion Rate</w:t>
      </w:r>
      <w:r>
        <w:rPr>
          <w:rFonts w:ascii="Times New Roman;Times;Serif" w:hAnsi="Times New Roman;Times;Serif"/>
          <w:b w:val="false"/>
          <w:i w:val="false"/>
          <w:caps w:val="false"/>
          <w:smallCaps w:val="false"/>
          <w:sz w:val="20"/>
        </w:rPr>
        <w:t>. The Conversion Rate will be adjusted from time to time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Stock Dividends, Splits and Combinations</w:t>
      </w:r>
      <w:r>
        <w:rPr>
          <w:rFonts w:ascii="Times New Roman;Times;Serif" w:hAnsi="Times New Roman;Times;Serif"/>
          <w:b w:val="false"/>
          <w:i w:val="false"/>
          <w:caps w:val="false"/>
          <w:smallCaps w:val="false"/>
          <w:sz w:val="20"/>
        </w:rPr>
        <w:t>. If the Company issues solely shares of Common Stock as 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 then the Conversion Rate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2763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78"/>
        <w:gridCol w:w="125"/>
        <w:gridCol w:w="9627"/>
      </w:tblGrid>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dividend or distribution, or immediately before the Open of Business on the Effective Date of such stock split or stock combination, as applicable;</w:t>
            </w:r>
          </w:p>
        </w:tc>
      </w:tr>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CR</w:t>
            </w:r>
            <w:r>
              <w:rPr>
                <w:rFonts w:ascii="Times New Roman;Times;Serif" w:hAnsi="Times New Roman;Times;Serif"/>
                <w:i/>
                <w:position w:val="-2"/>
                <w:sz w:val="16"/>
                <w:sz w:val="20"/>
              </w:rPr>
              <w:t>1</w:t>
            </w:r>
            <w:r>
              <w:rPr>
                <w:rFonts w:ascii="Times New Roman;Times;Serif" w:hAnsi="Times New Roman;Times;Serif"/>
                <w:sz w:val="20"/>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 or Effective Date, as applicable;</w:t>
            </w:r>
          </w:p>
        </w:tc>
      </w:tr>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Open of Business on such Ex-Dividend Date or Effective Date, as applicable, without giving effect to such dividend, distribution, stock split or stock combination; and</w:t>
            </w:r>
          </w:p>
        </w:tc>
      </w:tr>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after giving effect to such dividend, distribution, stock split or stock combination.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dividend, distribution, stock split or stock combination of the type described in this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Rights, Options and Warrants</w:t>
      </w:r>
      <w:r>
        <w:rPr>
          <w:rFonts w:ascii="Times New Roman;Times;Serif" w:hAnsi="Times New Roman;Times;Serif"/>
          <w:b w:val="false"/>
          <w:i w:val="false"/>
          <w:caps w:val="false"/>
          <w:smallCaps w:val="false"/>
          <w:sz w:val="20"/>
        </w:rPr>
        <w:t xml:space="preserve">. If the Company distributes, to all or substantially all holders of Common Stock, rights, options or warrants (other than rights issued or otherwise distributed pursuant to a stockholder rights plan, as to which </w:t>
      </w:r>
      <w:r>
        <w:rPr>
          <w:rFonts w:ascii="Times New Roman;Times;Serif" w:hAnsi="Times New Roman;Times;Serif"/>
          <w:b/>
          <w:i w:val="false"/>
          <w:caps w:val="false"/>
          <w:smallCaps w:val="false"/>
          <w:sz w:val="20"/>
        </w:rPr>
        <w:t>Sections ‎5.05(A)(iii)(1)</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5.05(F)</w:t>
      </w:r>
      <w:r>
        <w:rPr>
          <w:rFonts w:ascii="Times New Roman;Times;Serif" w:hAnsi="Times New Roman;Times;Serif"/>
          <w:b w:val="false"/>
          <w:i w:val="false"/>
          <w:caps w:val="false"/>
          <w:smallCaps w:val="false"/>
          <w:sz w:val="20"/>
        </w:rPr>
        <w:t>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5240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55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65"/>
        <w:gridCol w:w="125"/>
        <w:gridCol w:w="964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OS</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Open of Business on such Ex-Dividend Date;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X</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shares of Common Stock issuable pursuant to such rights, options or warrants; 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w:t>
      </w:r>
      <w:r>
        <w:rPr>
          <w:rFonts w:ascii="Times New Roman;Times;Serif" w:hAnsi="Times New Roman;Times;Serif"/>
          <w:b/>
          <w:i w:val="false"/>
          <w:caps w:val="false"/>
          <w:smallCaps w:val="false"/>
          <w:sz w:val="20"/>
        </w:rPr>
        <w:t>Section 5.05(A)(ii)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Section 5.01(C)(i)(3)(a)(I)</w:t>
      </w:r>
      <w:r>
        <w:rPr>
          <w:rFonts w:ascii="Times New Roman;Times;Serif" w:hAnsi="Times New Roman;Times;Serif"/>
          <w:b w:val="false"/>
          <w:i w:val="false"/>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Spin-Offs and Other Distributed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Distributions Other than Spin-Offs</w:t>
      </w:r>
      <w:r>
        <w:rPr>
          <w:rFonts w:ascii="Times New Roman;Times;Serif" w:hAnsi="Times New Roman;Times;Serif"/>
          <w:b w:val="false"/>
          <w:i w:val="false"/>
          <w:caps w:val="false"/>
          <w:smallCaps w:val="false"/>
          <w:sz w:val="20"/>
        </w:rPr>
        <w:t>.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distributions, rights, options or warrants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5.05(A)(ii)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or distributions paid exclusively in cash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5.05(A)(iv)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rights issued or otherwise distributed pursuant to a stockholder rights plan, except to the extent provided in ‎‎</w:t>
      </w:r>
      <w:r>
        <w:rPr>
          <w:rFonts w:ascii="Times New Roman;Times;Serif" w:hAnsi="Times New Roman;Times;Serif"/>
          <w:b/>
          <w:i w:val="false"/>
          <w:caps w:val="false"/>
          <w:smallCaps w:val="false"/>
          <w:sz w:val="20"/>
        </w:rPr>
        <w:t>Section 5.05(F)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Spin-Offs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distribution solely pursuant to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apply;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distribution solely pursuant to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24025"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4025"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125"/>
        <w:gridCol w:w="958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distribution;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per share of Common Stock for the ten (10) consecutive Trading Days ending on, and including, the Trading Day immediately before such Ex-Dividend Date; and</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FMV</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market value (as determined by the Company in good faith and in a commercially reasonable manner), as of such Ex-Dividend Date, of the shares of Capital Stock, evidences of indebtedness, assets, property, rights, options or warrants distributed per share of Common Stock pursuant to such distribution;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distribution, at the same time and on the same terms as holders of Common Stock, and without having to convert its Notes,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Spin-Offs</w:t>
      </w:r>
      <w:r>
        <w:rPr>
          <w:rFonts w:ascii="Times New Roman;Times;Serif" w:hAnsi="Times New Roman;Times;Serif"/>
          <w:b w:val="false"/>
          <w:i w:val="false"/>
          <w:caps w:val="false"/>
          <w:smallCaps w:val="false"/>
          <w:sz w:val="20"/>
        </w:rPr>
        <w:t>.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 or (y)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apply), and such Capital Stock or equity interests are listed or quoted (or will be listed or quoted upon the consummation of the transaction)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125"/>
        <w:gridCol w:w="9640"/>
      </w:tblGrid>
      <w:tr>
        <w:trPr/>
        <w:tc>
          <w:tcPr>
            <w:tcW w:w="4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Close of Business on the last Trading Day of the Spin-Off Valuation Period for such Spin-Off;</w:t>
            </w:r>
          </w:p>
        </w:tc>
      </w:tr>
      <w:tr>
        <w:trPr/>
        <w:tc>
          <w:tcPr>
            <w:tcW w:w="4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Close of Business on the last Trading Day of the Spin-Off Valuation Period;</w:t>
            </w:r>
          </w:p>
        </w:tc>
      </w:tr>
      <w:tr>
        <w:trPr/>
        <w:tc>
          <w:tcPr>
            <w:tcW w:w="4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FMV</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product of (x) the average of the Last Reported Sale Prices per share or unit of the Capital Stock or equity interests distributed in such Spin-Off over the ten (10) consecutive Trading Day period (the “</w:t>
            </w:r>
            <w:r>
              <w:rPr>
                <w:rFonts w:ascii="Times New Roman;Times;Serif" w:hAnsi="Times New Roman;Times;Serif"/>
                <w:b/>
                <w:sz w:val="20"/>
              </w:rPr>
              <w:t>Spin-Off Valuation Period</w:t>
            </w:r>
            <w:r>
              <w:rPr>
                <w:rFonts w:ascii="Times New Roman;Times;Serif" w:hAnsi="Times New Roman;Times;Serif"/>
                <w:sz w:val="20"/>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r>
        <w:trPr/>
        <w:tc>
          <w:tcPr>
            <w:tcW w:w="4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640" w:type="dxa"/>
            <w:tcBorders/>
            <w:vAlign w:val="center"/>
          </w:tcPr>
          <w:p>
            <w:pPr>
              <w:pStyle w:val="TableContents"/>
              <w:bidi w:val="0"/>
              <w:spacing w:before="0" w:after="283"/>
              <w:jc w:val="both"/>
              <w:rPr/>
            </w:pPr>
            <w:r>
              <w:rPr/>
              <w:t> </w:t>
            </w:r>
          </w:p>
        </w:tc>
      </w:tr>
      <w:tr>
        <w:trPr/>
        <w:tc>
          <w:tcPr>
            <w:tcW w:w="4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per share of Common Stock for each Trading Day in the Spin-Off Valuation Period.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due in respect of such Conversion, such Spin-Off Valuation Period will be deemed to consist of the Trading Days occurring in the period from, and including, the Ex-Dividend Date for such Spin-Off to, and including,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dividend or distribution of the type set forth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52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523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dividend or distribution;</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Last Reported Sale Price per share of Common Stock on the Trading Day immediately before such Ex-Dividend Date; and</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 amount distributed per share of Common Stock in such dividend or distribution;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dividend or distribution, at the same time and on the same terms as holders of Common Stock, and without having to convert its Notes, the amount of cash that such Holder would have received in such dividend or distribution if such Holder had owned, on such record date, a number of shares of Common Stock equal to the Conversion Rate in effect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Tender Offers or Exchange Offers</w:t>
      </w:r>
      <w:r>
        <w:rPr>
          <w:rFonts w:ascii="Times New Roman;Times;Serif" w:hAnsi="Times New Roman;Times;Serif"/>
          <w:b w:val="false"/>
          <w:i w:val="false"/>
          <w:caps w:val="false"/>
          <w:smallCaps w:val="false"/>
          <w:sz w:val="20"/>
        </w:rPr>
        <w:t>. If the Company or any of its Subsidiaries makes a payment in respect of a tender offer or 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or payable per share of Common Stock in such tender or exchange offer exceeds the Last Reported Sale Price per share of Common Stock on the Trading Day immediately after the last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on which tenders or exchanges may be made pursuant to such tender or exchange offer (as it may be amended),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14550"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14550"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Close of Business on the last Trading Day of the Tender/Exchange Offer Valuation Period for such tender or exchange offer;</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Close of Business on the last Trading Day of the Tender/Exchange Offer Valuation Period;</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value (determined as of the time (the “</w:t>
            </w:r>
            <w:r>
              <w:rPr>
                <w:rFonts w:ascii="Times New Roman;Times;Serif" w:hAnsi="Times New Roman;Times;Serif"/>
                <w:b/>
                <w:sz w:val="20"/>
              </w:rPr>
              <w:t>Expiration Time</w:t>
            </w:r>
            <w:r>
              <w:rPr>
                <w:rFonts w:ascii="Times New Roman;Times;Serif" w:hAnsi="Times New Roman;Times;Serif"/>
                <w:sz w:val="20"/>
              </w:rPr>
              <w:t>”) such tender or exchange offer expires by the Company in good faith and in a commercially reasonable manner) of all cash and other consideration paid or payable for shares of Common Stock purchased or exchanged in such tender or exchange offer;</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0</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before the Expiration Time (including all shares of Common Stock accepted for purchase or exchange in such tender or exchange offer);</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OS</w:t>
            </w:r>
            <w:r>
              <w:rPr>
                <w:rFonts w:ascii="Times New Roman;Times;Serif" w:hAnsi="Times New Roman;Times;Serif"/>
                <w:i/>
                <w:position w:val="-2"/>
                <w:sz w:val="16"/>
                <w:sz w:val="20"/>
              </w:rPr>
              <w:t>1</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outstanding immediately after the Expiration Time (excluding all shares of Common Stock accepted for purchase or exchange in such tender or exchange offer); and</w:t>
            </w:r>
          </w:p>
        </w:tc>
      </w:tr>
      <w:tr>
        <w:trPr/>
        <w:tc>
          <w:tcPr>
            <w:tcW w:w="38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7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SP</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per share of Common Stock over the ten (10) consecutive Trading Day period (the “</w:t>
            </w:r>
            <w:r>
              <w:rPr>
                <w:rFonts w:ascii="Times New Roman;Times;Serif" w:hAnsi="Times New Roman;Times;Serif"/>
                <w:b/>
                <w:sz w:val="20"/>
              </w:rPr>
              <w:t>Tender/Exchange Offer Valuation Period</w:t>
            </w:r>
            <w:r>
              <w:rPr>
                <w:rFonts w:ascii="Times New Roman;Times;Serif" w:hAnsi="Times New Roman;Times;Serif"/>
                <w:sz w:val="20"/>
              </w:rPr>
              <w:t>”) beginning on, and including, the Trading Day immediately after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Conversion Rate will in no event be adjusted down pursuant to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except to the extent provided in the immediately following paragraph. Notwithstanding anything to the contrary in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(i)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due in respect of such Conversion, such Tender/Exchange Offer Valuation Period will be deemed to consist of the Trading Days occurring in the period from, and including, the Trading Day immediately after the Expiration Date to, and including,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Adjustments in Certain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Where Holders Participate in the Transaction or Event Without Conversion</w:t>
      </w:r>
      <w:r>
        <w:rPr>
          <w:rFonts w:ascii="Times New Roman;Times;Serif" w:hAnsi="Times New Roman;Times;Serif"/>
          <w:b w:val="false"/>
          <w:i w:val="false"/>
          <w:caps w:val="false"/>
          <w:smallCaps w:val="false"/>
          <w:sz w:val="20"/>
        </w:rPr>
        <w:t>. Notwithstanding anything to the contrary in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not be obligated to adjust the Conversion Rate on account of a transaction or other event otherwise requiring an adjustment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(other than a stock split or combination of the type set forth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or a tender or exchange offer of the type set forth in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Certain Events</w:t>
      </w:r>
      <w:r>
        <w:rPr>
          <w:rFonts w:ascii="Times New Roman;Times;Serif" w:hAnsi="Times New Roman;Times;Serif"/>
          <w:b w:val="false"/>
          <w:i w:val="false"/>
          <w:caps w:val="false"/>
          <w:smallCaps w:val="false"/>
          <w:sz w:val="20"/>
        </w:rPr>
        <w:t>. The Company will not be required to adjust the Conversion Rate except as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Without limiting the foregoing, the Company will not be obligated to adjust the Conversion Rate on account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otherwise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the sale of shares of Common Stock for a purchase price that is less than the market price per share of Common Stock or less than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issuance of any shares of Common Stock or options or rights to purchase shares of Common Stock pursuant to any present or future employee, director or consultant benefit plan or program of, or assumed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issuance of any shares of Common Stock pursuant to any option, warrant, right or convertible or exchangeable security of the Company outstanding as of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solely a change in the par value of the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accrued and unpaid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Adjustment Deferral</w:t>
      </w:r>
      <w:r>
        <w:rPr>
          <w:rFonts w:ascii="Times New Roman;Times;Serif" w:hAnsi="Times New Roman;Times;Serif"/>
          <w:b w:val="false"/>
          <w:i w:val="false"/>
          <w:caps w:val="false"/>
          <w:smallCaps w:val="false"/>
          <w:sz w:val="20"/>
        </w:rPr>
        <w:t>. If an adjustment to the Conversion Rate otherwise required by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would result in a change of less than one percent (1%) to the Conversion Rate, then, 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any Note (in the case of Physical Settlement), or each VWAP Trading Day of an Observation Period for any Note (in the case of Cash Settlement or Combination Settlement); (iii) the date a Fundamental Change or Make-Whole Fundamental Change occurs; (iv) the date the Company calls any Notes for Redemption; and (v) January 1,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Adjustments Not Yet Effective</w:t>
      </w:r>
      <w:r>
        <w:rPr>
          <w:rFonts w:ascii="Times New Roman;Times;Serif" w:hAnsi="Times New Roman;Times;Serif"/>
          <w:b w:val="false"/>
          <w:i w:val="false"/>
          <w:caps w:val="false"/>
          <w:smallCaps w:val="false"/>
          <w:sz w:val="20"/>
        </w:rPr>
        <w:t>. Notwithstanding anything to the contrary in the Indenture or the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Note is to be Converted and Physical Settlement or Combination Settlement applies to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record date, Effective Date or Expiration Time for any event that requires an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has occurred on or before the Conversion Date for such Conversion (in the case of Physical Settlement) or on or before any VWAP Trading Day in the Observation Period for such Conversion (in the case of Combination Settlement), but an adjustment to the Conversion Rate for such event has not yet become effective as of such Conversion Date or VWAP Trading Day,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Consideration due upon such Conversion includes whole shares of Common Stock (in the case of Physical Settlement) or due in respect of such VWAP Trading Day includes any whole or fractional shares of Common Stock (in the case of Combination Settlement);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shares are not entitled to participate in such event (because they were not held on the related record date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Conversion Rate Adjustments Where Converting Holders Participate in the Relevant Transaction or Event</w:t>
      </w:r>
      <w:r>
        <w:rPr>
          <w:rFonts w:ascii="Times New Roman;Times;Serif" w:hAnsi="Times New Roman;Times;Serif"/>
          <w:b w:val="false"/>
          <w:i w:val="false"/>
          <w:caps w:val="false"/>
          <w:smallCaps w:val="false"/>
          <w:sz w:val="20"/>
        </w:rPr>
        <w:t>. Notwithstanding anything to the contrary in the Indenture or the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Conversion Rate adjustment for any dividend or distribution becomes effective on any Ex-Dividend Date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Note is to be Converted pursuant to Physical Settlement or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Conversion Consideration due upon such Conversion includes any whole shares of Common Stock (in the case of Physical Settlement) or due in respect of such VWAP Trading Day includes any whole or fractional shares of Common Stock (in the case of Combination Settlement), in each case based on a Conversion Rate that is adjusted for such dividend or distribution;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shares would be entitled to participate in such dividend or distribution (including pursuant to ‎</w:t>
      </w:r>
      <w:r>
        <w:rPr>
          <w:rFonts w:ascii="Times New Roman;Times;Serif" w:hAnsi="Times New Roman;Times;Serif"/>
          <w:b/>
          <w:i w:val="false"/>
          <w:caps w:val="false"/>
          <w:smallCaps w:val="false"/>
          <w:sz w:val="20"/>
        </w:rPr>
        <w:t>Section 5.02(C)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Conversion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Stockholder Rights Plans</w:t>
      </w:r>
      <w:r>
        <w:rPr>
          <w:rFonts w:ascii="Times New Roman;Times;Serif" w:hAnsi="Times New Roman;Times;Serif"/>
          <w:b w:val="false"/>
          <w:i w:val="false"/>
          <w:caps w:val="false"/>
          <w:smallCaps w:val="false"/>
          <w:sz w:val="20"/>
        </w:rPr>
        <w:t>.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the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 on account of such separation as if, at the time of such separation, the Company had made a distribution of the type referred to in such Section to all holders of the Common Stock, subject to potential readjustment in accordance with the last paragraph of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Limitation on Effecting Transactions Resulting in Certain Adjustments</w:t>
      </w:r>
      <w:r>
        <w:rPr>
          <w:rFonts w:ascii="Times New Roman;Times;Serif" w:hAnsi="Times New Roman;Times;Serif"/>
          <w:b w:val="false"/>
          <w:i w:val="false"/>
          <w:caps w:val="false"/>
          <w:smallCaps w:val="false"/>
          <w:sz w:val="20"/>
        </w:rPr>
        <w:t>. The Company will not engage in or be a party to any transaction or event that would require the Conversion Rate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an amount that would result in the Conversion Price per share of Common Stock being less than the par value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Equitable Adjustments to Prices</w:t>
      </w:r>
      <w:r>
        <w:rPr>
          <w:rFonts w:ascii="Times New Roman;Times;Serif" w:hAnsi="Times New Roman;Times;Serif"/>
          <w:b w:val="false"/>
          <w:i w:val="false"/>
          <w:caps w:val="false"/>
          <w:smallCaps w:val="false"/>
          <w:sz w:val="20"/>
        </w:rPr>
        <w:t>. Whenever any provision of the Indenture requires the Company to calculate the average of the Last Reported Sale Prices, or any function thereof, the Daily VWAPs, the Daily Conversion Values, the Daily Cash Amounts or the Daily Share Amounts over a period of multiple days (including over an Observation Period, to calculate an adjustment to the Conversion Rate and the period, if any, for determining the Stock Price for purposes of a Make-Whole Fundamental Change), the Company will, acting in good faith and in a commercially reasonable manner, make appropriate adjustments, if any, to those calculations to account for any adjustment to the Conversion Rate that becomes effective, or any event requiring an adjustment to the Conversion Rate where the Ex-Dividend Date, Effective Date or Expiration Date, as applicable, of the event occurs, at any time during such period or Observation Period,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Calculation of Number of Outstanding Shares of Common Stock</w:t>
      </w:r>
      <w:r>
        <w:rPr>
          <w:rFonts w:ascii="Times New Roman;Times;Serif" w:hAnsi="Times New Roman;Times;Serif"/>
          <w:b w:val="false"/>
          <w:i w:val="false"/>
          <w:caps w:val="false"/>
          <w:smallCaps w:val="false"/>
          <w:sz w:val="20"/>
        </w:rPr>
        <w:t>. For purposes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All calculations with respect to the Conversion Rate and adjustments thereto will be made to the nearest 1/10,000th of a share of Common Stock (with 5/100,000ths rounded upward) or to the nearest cent (with 0.5 of a cent rounded upward),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Notice of Conversion Rate Adjustments</w:t>
      </w:r>
      <w:r>
        <w:rPr>
          <w:rFonts w:ascii="Times New Roman;Times;Serif" w:hAnsi="Times New Roman;Times;Serif"/>
          <w:b w:val="false"/>
          <w:i w:val="false"/>
          <w:caps w:val="false"/>
          <w:smallCaps w:val="false"/>
          <w:sz w:val="20"/>
        </w:rPr>
        <w:t>. Upon the effectiveness of any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promptly send notice to the Holders, the Trustee and the Conversion Agent (if other than the Trustee)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5.06</w:t>
      </w:r>
      <w:r>
        <w:rPr>
          <w:rFonts w:ascii="Times New Roman;Times;Serif" w:hAnsi="Times New Roman;Times;Serif"/>
          <w:b w:val="false"/>
          <w:i w:val="false"/>
          <w:smallCaps/>
          <w:sz w:val="20"/>
        </w:rPr>
        <w:t>        </w:t>
      </w:r>
      <w:r>
        <w:rPr>
          <w:rFonts w:ascii="Times New Roman;Times;Serif" w:hAnsi="Times New Roman;Times;Serif"/>
          <w:b/>
          <w:i w:val="false"/>
          <w:smallCaps/>
          <w:sz w:val="20"/>
        </w:rPr>
        <w:t>Voluntary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Voluntary Increases</w:t>
      </w:r>
      <w:r>
        <w:rPr>
          <w:rFonts w:ascii="Times New Roman;Times;Serif" w:hAnsi="Times New Roman;Times;Serif"/>
          <w:b w:val="false"/>
          <w:i w:val="false"/>
          <w:caps w:val="false"/>
          <w:smallCaps w:val="false"/>
          <w:sz w:val="20"/>
        </w:rPr>
        <w:t>. If the Board of Directors determines to increase the Conversion Rate pursuant to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then, no later than the first Business Day of the related twenty (20) or more Business Day period referred to in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 Company will send notice to each Holder, the Trustee and the Conversion Agent of such increase, the amount thereof and the period during which such increase will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5.07</w:t>
      </w:r>
      <w:r>
        <w:rPr>
          <w:rFonts w:ascii="Times New Roman;Times;Serif" w:hAnsi="Times New Roman;Times;Serif"/>
          <w:b w:val="false"/>
          <w:i w:val="false"/>
          <w:smallCaps/>
          <w:sz w:val="20"/>
        </w:rPr>
        <w:t>        </w:t>
      </w:r>
      <w:r>
        <w:rPr>
          <w:rFonts w:ascii="Times New Roman;Times;Serif" w:hAnsi="Times New Roman;Times;Serif"/>
          <w:b/>
          <w:i w:val="false"/>
          <w:smallCaps/>
          <w:sz w:val="20"/>
        </w:rPr>
        <w:t>Adjustments to the Conversion Rate in Connection with a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a Make-Whole Fundamental Change occurs and the Conversion Date for the Conversion of a Note occurs during the related Make-Whole Fundamental Change Conversion Period, then, subject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the Conversion Rate applicable to such Conversion will be increased by a number of shares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set forth in the table below corresponding (after interpolation as provided in, and subject to, the provisions below) to the Make-Whole Fundamental Change Effective Date and the Stock Price of such Make-Whole Fundamental Change:</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1670"/>
        <w:gridCol w:w="60"/>
        <w:gridCol w:w="60"/>
        <w:gridCol w:w="605"/>
        <w:gridCol w:w="60"/>
        <w:gridCol w:w="60"/>
        <w:gridCol w:w="60"/>
        <w:gridCol w:w="515"/>
        <w:gridCol w:w="60"/>
        <w:gridCol w:w="60"/>
        <w:gridCol w:w="60"/>
        <w:gridCol w:w="515"/>
        <w:gridCol w:w="60"/>
        <w:gridCol w:w="60"/>
        <w:gridCol w:w="60"/>
        <w:gridCol w:w="515"/>
        <w:gridCol w:w="60"/>
        <w:gridCol w:w="60"/>
        <w:gridCol w:w="60"/>
        <w:gridCol w:w="515"/>
        <w:gridCol w:w="60"/>
        <w:gridCol w:w="60"/>
        <w:gridCol w:w="60"/>
        <w:gridCol w:w="515"/>
        <w:gridCol w:w="60"/>
        <w:gridCol w:w="60"/>
        <w:gridCol w:w="60"/>
        <w:gridCol w:w="515"/>
        <w:gridCol w:w="60"/>
        <w:gridCol w:w="60"/>
        <w:gridCol w:w="60"/>
        <w:gridCol w:w="515"/>
        <w:gridCol w:w="60"/>
        <w:gridCol w:w="60"/>
        <w:gridCol w:w="60"/>
        <w:gridCol w:w="605"/>
        <w:gridCol w:w="60"/>
        <w:gridCol w:w="60"/>
        <w:gridCol w:w="60"/>
        <w:gridCol w:w="605"/>
        <w:gridCol w:w="75"/>
      </w:tblGrid>
      <w:tr>
        <w:trPr/>
        <w:tc>
          <w:tcPr>
            <w:tcW w:w="16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Make-Whole</w:t>
              <w:br/>
              <w:t>Fundamental</w:t>
            </w:r>
            <w:r>
              <w:rPr>
                <w:rFonts w:ascii="Times New Roman;Times;Serif" w:hAnsi="Times New Roman;Times;Serif"/>
                <w:b w:val="false"/>
                <w:i w:val="false"/>
                <w:caps w:val="false"/>
                <w:smallCaps w:val="false"/>
                <w:sz w:val="16"/>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Change Effective Date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$26.50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$34.45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$45.00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$85.00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$160.00</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9.6183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April 1, 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5.8373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0.3932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0.0623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April 1, 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9.6183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7.3355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April 1, 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9.5943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7.0162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3.7634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0.7997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0.2152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April 1, 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6.3921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0.5140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April 1, 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8.1617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3.2760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0.6622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0.0284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April 1, 2032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Make-Whole Fundamental Change Effective Date or Stock Price is not set forth in the table above,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Stock Price is greater than $160.00 (subject to adjustment in the same manner as the Stock Prices set forth in the column headings of the table above are adjusted pursuant to ‎</w:t>
      </w:r>
      <w:r>
        <w:rPr>
          <w:rFonts w:ascii="Times New Roman;Times;Serif" w:hAnsi="Times New Roman;Times;Serif"/>
          <w:b/>
          <w:i w:val="false"/>
          <w:caps w:val="false"/>
          <w:smallCaps w:val="false"/>
          <w:sz w:val="20"/>
        </w:rPr>
        <w:t>Section 5.07(B)</w:t>
      </w:r>
      <w:r>
        <w:rPr>
          <w:rFonts w:ascii="Times New Roman;Times;Serif" w:hAnsi="Times New Roman;Times;Serif"/>
          <w:b w:val="false"/>
          <w:i w:val="false"/>
          <w:caps w:val="false"/>
          <w:smallCaps w:val="false"/>
          <w:sz w:val="20"/>
        </w:rPr>
        <w:t>), or less than 20.00 (subject to adjustment in the same manner), per share of Common Stock, then no Additional Shares of Common Stock will be added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Indenture or the Notes, in no event will the Conversion Rate be increased to an amount that exceeds 50.0000 shares of Common Stock per $1,000 principal amount of Notes, which amount is subject to adjustment in the same manner as, and at the same time and for the same events for which, the Conversion Rate is required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but subject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(or deemed called) for Redemption will not be subject to increase pursuant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on account of such Redemption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Adjustment of Stock Prices and Number of Additional Shares</w:t>
      </w:r>
      <w:r>
        <w:rPr>
          <w:rFonts w:ascii="Times New Roman;Times;Serif" w:hAnsi="Times New Roman;Times;Serif"/>
          <w:b w:val="false"/>
          <w:i w:val="false"/>
          <w:caps w:val="false"/>
          <w:smallCaps w:val="false"/>
          <w:sz w:val="20"/>
        </w:rPr>
        <w:t>. The Stock Prices in the first row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column headers) of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will be adjusted in the same manner as, and at the same time and for the same events for which, the Conversion Price is adjusted as a result of the operation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numbers of Additional Shares in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will be adjusted in the same manner as, and at the same time and for the same events for which, the Conversion Rate is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the Occurrence of a Make-Whole Fundamental Change</w:t>
      </w:r>
      <w:r>
        <w:rPr>
          <w:rFonts w:ascii="Times New Roman;Times;Serif" w:hAnsi="Times New Roman;Times;Serif"/>
          <w:b w:val="false"/>
          <w:i w:val="false"/>
          <w:caps w:val="false"/>
          <w:smallCaps w:val="false"/>
          <w:sz w:val="20"/>
        </w:rPr>
        <w:t>. If a Make-Whole Fundamental Change occurs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of the definition thereof, then, promptly and in no event later than the second Business Day immediately after the Make-Whole Fundamental Change Effective Date of such Make-Whole Fundamental Change, the Company will notify the Holders of the occurrence of such Make-Whole Fundamental Change and of such Make-Whole Fundamental Change Effective Date, briefly stating the circumstances under which the Conversion Rate will be increased pursuant to this ‎</w:t>
      </w:r>
      <w:r>
        <w:rPr>
          <w:rFonts w:ascii="Times New Roman;Times;Serif" w:hAnsi="Times New Roman;Times;Serif"/>
          <w:b/>
          <w:i w:val="false"/>
          <w:caps w:val="false"/>
          <w:smallCaps w:val="false"/>
          <w:sz w:val="20"/>
        </w:rPr>
        <w:t xml:space="preserve">Section 5.07 </w:t>
      </w:r>
      <w:r>
        <w:rPr>
          <w:rFonts w:ascii="Times New Roman;Times;Serif" w:hAnsi="Times New Roman;Times;Serif"/>
          <w:b w:val="false"/>
          <w:i w:val="false"/>
          <w:caps w:val="false"/>
          <w:smallCaps w:val="false"/>
          <w:sz w:val="20"/>
        </w:rPr>
        <w:t>in connection with such Make-Whole Fundamental Change, in accordance with ‎</w:t>
      </w:r>
      <w:r>
        <w:rPr>
          <w:rFonts w:ascii="Times New Roman;Times;Serif" w:hAnsi="Times New Roman;Times;Serif"/>
          <w:b/>
          <w:i w:val="false"/>
          <w:caps w:val="false"/>
          <w:smallCaps w:val="false"/>
          <w:sz w:val="20"/>
        </w:rPr>
        <w:t>Section 5.01(C)(i)(3)(b)</w:t>
      </w:r>
      <w:r>
        <w:rPr>
          <w:rFonts w:ascii="Times New Roman;Times;Serif" w:hAnsi="Times New Roman;Times;Serif"/>
          <w:b w:val="false"/>
          <w:i w:val="false"/>
          <w:caps w:val="false"/>
          <w:smallCaps w:val="false"/>
          <w:sz w:val="20"/>
        </w:rPr>
        <w:t>. The Company will notify the Holders of each Make-Whole Fundamental Change occurring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 in the related Redemption Notice in accordance with ‎</w:t>
      </w:r>
      <w:r>
        <w:rPr>
          <w:rFonts w:ascii="Times New Roman;Times;Serif" w:hAnsi="Times New Roman;Times;Serif"/>
          <w:b/>
          <w:i w:val="false"/>
          <w:caps w:val="false"/>
          <w:smallCaps w:val="false"/>
          <w:sz w:val="20"/>
        </w:rPr>
        <w:t>Section 4.03(F) </w:t>
      </w:r>
      <w:r>
        <w:rPr>
          <w:rFonts w:ascii="Times New Roman;Times;Serif" w:hAnsi="Times New Roman;Times;Serif"/>
          <w:b w:val="false"/>
          <w:i w:val="false"/>
          <w:caps w:val="false"/>
          <w:smallCaps w:val="false"/>
          <w:sz w:val="20"/>
        </w:rPr>
        <w:t>(with a copy to the Trustee, the Paying Agent, if other than the Trustee, and the Conversion Agent, if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Settlement of Cash Make-Whole Fundamental Changes</w:t>
      </w:r>
      <w:r>
        <w:rPr>
          <w:rFonts w:ascii="Times New Roman;Times;Serif" w:hAnsi="Times New Roman;Times;Serif"/>
          <w:b w:val="false"/>
          <w:i w:val="false"/>
          <w:caps w:val="false"/>
          <w:smallCaps w:val="false"/>
          <w:sz w:val="20"/>
        </w:rPr>
        <w:t>. For the avoidance of doubt, if holders of Common Stock receive solely cash in a Make-Whole Fundamental Change, then, pursuant to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conversions of Notes will thereafter be settled no later than the second (2nd) Business Day after the relevant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5.08</w:t>
      </w:r>
      <w:r>
        <w:rPr>
          <w:rFonts w:ascii="Times New Roman;Times;Serif" w:hAnsi="Times New Roman;Times;Serif"/>
          <w:b w:val="false"/>
          <w:i w:val="false"/>
          <w:smallCaps/>
          <w:sz w:val="20"/>
        </w:rPr>
        <w:t>        </w:t>
      </w:r>
      <w:r>
        <w:rPr>
          <w:rFonts w:ascii="Times New Roman;Times;Serif" w:hAnsi="Times New Roman;Times;Serif"/>
          <w:b/>
          <w:i w:val="false"/>
          <w:smallCaps/>
          <w:sz w:val="20"/>
        </w:rPr>
        <w:t>Exchange in Lieu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and subject to the terms of this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(if other than the Trustee) before the Close of Business on the Business Day immediately following the Conversion Date for such Note. If the Company has made such election,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Note will not cease to be outstanding by reason of such exchange in lieu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financial institution does not accept such Note or fails to timely deliver such Conversion Consideration, then the Company will be responsible for delivering such Conversion Consideration in the manner and at the time provided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as if the Company had not elected to make an exchange in lieu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5.09</w:t>
      </w:r>
      <w:r>
        <w:rPr>
          <w:rFonts w:ascii="Times New Roman;Times;Serif" w:hAnsi="Times New Roman;Times;Serif"/>
          <w:b w:val="false"/>
          <w:i w:val="false"/>
          <w:smallCaps/>
          <w:sz w:val="20"/>
        </w:rPr>
        <w:t>        </w:t>
      </w:r>
      <w:r>
        <w:rPr>
          <w:rFonts w:ascii="Times New Roman;Times;Serif" w:hAnsi="Times New Roman;Times;Serif"/>
          <w:b/>
          <w:i w:val="false"/>
          <w:smallCaps/>
          <w:sz w:val="20"/>
        </w:rPr>
        <w:t>Effect of Common Stock 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there occurs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consolidation, merger, combination or binding or statutory share exchange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 lease or other transfer of all or substantially all of the assets of the Company and its Subsidiaries, taken as a whole, to any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any combination of the foregoing (such an event, a “</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and such other securities, cash or property,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then, notwithstanding anything to the contrary in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in any related definitions) were instead a reference to the same number of Reference Property Units; (II) for purposes of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if applicable); and (y) the amount of cash constituting such Reference Property Unit; and (II) the Company will settle each such Conversion no later than the second (2nd) Business Day after the relevant Conversion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dollars, the face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(if other than the Trustee) of such weighted average as soon as practicable after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effective time of such Common Stock Change Event, the Company and the resulting, surviving or transferee Person (if not the Company) of such Common Stock Change Event (the “</w:t>
      </w:r>
      <w:r>
        <w:rPr>
          <w:rFonts w:ascii="Times New Roman;Times;Serif" w:hAnsi="Times New Roman;Times;Serif"/>
          <w:b/>
          <w:i w:val="false"/>
          <w:caps w:val="false"/>
          <w:smallCaps w:val="false"/>
          <w:sz w:val="20"/>
        </w:rPr>
        <w:t>Successor Person</w:t>
      </w:r>
      <w:r>
        <w:rPr>
          <w:rFonts w:ascii="Times New Roman;Times;Serif" w:hAnsi="Times New Roman;Times;Serif"/>
          <w:b w:val="false"/>
          <w:i w:val="false"/>
          <w:caps w:val="false"/>
          <w:smallCaps w:val="false"/>
          <w:sz w:val="20"/>
        </w:rPr>
        <w:t>”) will execute and deliver to the Trustee a supplemental indenture pursuant to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which supplemental indenture will (x) provide for subsequent Conversions of Notes in the manner set forth in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(y) provide for subsequent adjustments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in a manner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and (z) contain such other provisions, if any, that the Company reasonably determines are appropriate to preserve the economic interests of the Holders and to give effect to the provisions of this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Common Stock Change Events</w:t>
      </w:r>
      <w:r>
        <w:rPr>
          <w:rFonts w:ascii="Times New Roman;Times;Serif" w:hAnsi="Times New Roman;Times;Serif"/>
          <w:b w:val="false"/>
          <w:i w:val="false"/>
          <w:caps w:val="false"/>
          <w:smallCaps w:val="false"/>
          <w:sz w:val="20"/>
        </w:rPr>
        <w:t>. The Company will provide notice of each Common Stock Change Event to Holders, the Trustee and the Conversion Agent (if other than the Trustee) no later than the second (2nd) Business Day after the effective date of such Common Stock Change Event, including a brief description of such Common Stock Change Event, its effective date and a brief description of the anticipated change in the conversion right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Compliance Covenant</w:t>
      </w:r>
      <w:r>
        <w:rPr>
          <w:rFonts w:ascii="Times New Roman;Times;Serif" w:hAnsi="Times New Roman;Times;Serif"/>
          <w:b w:val="false"/>
          <w:i w:val="false"/>
          <w:caps w:val="false"/>
          <w:smallCaps w:val="false"/>
          <w:sz w:val="20"/>
        </w:rPr>
        <w:t>. The Company will not become a party to any Common Stock Change Event unless its terms are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w:t>
      </w:r>
      <w:r>
        <w:rPr>
          <w:rFonts w:ascii="Times New Roman;Times;Serif" w:hAnsi="Times New Roman;Times;Serif"/>
          <w:b/>
          <w:i w:val="false"/>
          <w:caps/>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 xml:space="preserve">Article 6 </w:t>
      </w:r>
      <w:r>
        <w:rPr>
          <w:rFonts w:ascii="Times New Roman;Times;Serif" w:hAnsi="Times New Roman;Times;Serif"/>
          <w:b w:val="false"/>
          <w:i w:val="false"/>
          <w:caps w:val="false"/>
          <w:smallCaps w:val="false"/>
          <w:sz w:val="20"/>
        </w:rPr>
        <w:t>will apply to the Notes in lieu of Article 5 of the Base Indenture, which will be deemed to be replaced with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w:t>
      </w:r>
      <w:r>
        <w:rPr>
          <w:rFonts w:ascii="Times New Roman;Times;Serif" w:hAnsi="Times New Roman;Times;Serif"/>
          <w:b w:val="false"/>
          <w:i w:val="false"/>
          <w:smallCaps/>
          <w:sz w:val="20"/>
        </w:rPr>
        <w:t>        </w:t>
      </w:r>
      <w:r>
        <w:rPr>
          <w:rFonts w:ascii="Times New Roman;Times;Serif" w:hAnsi="Times New Roman;Times;Serif"/>
          <w:b/>
          <w:i w:val="false"/>
          <w:smallCaps/>
          <w:sz w:val="20"/>
        </w:rPr>
        <w:t>When the Company May Merge,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either (x) is the Company or (y) if not the Company, is a Qualified Successor Entity (such Qualified Successor Entity,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all of the Company’s obligations under the Indenture and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Business Combination Event, no Default or Event of Default will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Officer’s Certificate and Opinion of Counsel to the Trustee</w:t>
      </w:r>
      <w:r>
        <w:rPr>
          <w:rFonts w:ascii="Times New Roman;Times;Serif" w:hAnsi="Times New Roman;Times;Serif"/>
          <w:b w:val="false"/>
          <w:i w:val="false"/>
          <w:caps w:val="false"/>
          <w:smallCaps w:val="false"/>
          <w:sz w:val="20"/>
        </w:rPr>
        <w:t>. At or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and (ii) all conditions precedent to such Business Combination Event provided in the Indenture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w:t>
      </w:r>
      <w:r>
        <w:rPr>
          <w:rFonts w:ascii="Times New Roman;Times;Serif" w:hAnsi="Times New Roman;Times;Serif"/>
          <w:b w:val="false"/>
          <w:i w:val="false"/>
          <w:smallCaps/>
          <w:sz w:val="20"/>
        </w:rPr>
        <w:t>        </w:t>
      </w:r>
      <w:r>
        <w:rPr>
          <w:rFonts w:ascii="Times New Roman;Times;Serif" w:hAnsi="Times New Roman;Times;Serif"/>
          <w:b/>
          <w:i w:val="false"/>
          <w:smallCaps/>
          <w:sz w:val="20"/>
        </w:rPr>
        <w:t>Successor Entity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any Business Combination Event that complies with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the Successor Entity (if not the Company) will succeed to, and may exercise every right and power of, the Company under the Indenture and the Notes with the same effect as if such Successor Entity had been named as the Company in the Indenture and the Notes, and, except in the case of a lease, the predecessor Company will be discharged from its obligations under the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w:t>
      </w:r>
      <w:r>
        <w:rPr>
          <w:rFonts w:ascii="Times New Roman;Times;Serif" w:hAnsi="Times New Roman;Times;Serif"/>
          <w:b w:val="false"/>
          <w:i w:val="false"/>
          <w:smallCaps/>
          <w:sz w:val="20"/>
        </w:rPr>
        <w:t>        </w:t>
      </w:r>
      <w:r>
        <w:rPr>
          <w:rFonts w:ascii="Times New Roman;Times;Serif" w:hAnsi="Times New Roman;Times;Serif"/>
          <w:b/>
          <w:i w:val="false"/>
          <w:smallCaps/>
          <w:sz w:val="20"/>
        </w:rPr>
        <w:t>Exclusion for Asset Transfers with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this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xml:space="preserve"> will not apply to any transfer of assets (other than by merger or consolidation) between or among the Company and any one or more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w:t>
      </w:r>
      <w:r>
        <w:rPr>
          <w:rFonts w:ascii="Times New Roman;Times;Serif" w:hAnsi="Times New Roman;Times;Serif"/>
          <w:b/>
          <w:i w:val="false"/>
          <w:caps/>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 xml:space="preserve">Article 7 </w:t>
      </w:r>
      <w:r>
        <w:rPr>
          <w:rFonts w:ascii="Times New Roman;Times;Serif" w:hAnsi="Times New Roman;Times;Serif"/>
          <w:b w:val="false"/>
          <w:i w:val="false"/>
          <w:caps w:val="false"/>
          <w:smallCaps w:val="false"/>
          <w:sz w:val="20"/>
        </w:rPr>
        <w:t>will apply to the Notes in lieu of Article 6 of the Base Indenture, which will be deemed to be replaced with this ‎</w:t>
      </w: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w:t>
      </w:r>
      <w:r>
        <w:rPr>
          <w:rFonts w:ascii="Times New Roman;Times;Serif" w:hAnsi="Times New Roman;Times;Serif"/>
          <w:b w:val="false"/>
          <w:i w:val="false"/>
          <w:smallCaps/>
          <w:sz w:val="20"/>
        </w:rPr>
        <w:t>        </w:t>
      </w:r>
      <w:r>
        <w:rPr>
          <w:rFonts w:ascii="Times New Roman;Times;Serif" w:hAnsi="Times New Roman;Times;Serif"/>
          <w:b/>
          <w:i w:val="false"/>
          <w:smallCaps/>
          <w:sz w:val="20"/>
        </w:rPr>
        <w:t>Events of Default.</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Definition of Events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default in the payment when due (whether at maturity, upon Redemption or Repurchase Upon Fundamental Change or otherwise) of the principal of, or the Redemption Price or Fundamental Change Repurchase Price for,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default for thirty (30) consecutive days in the payment when due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failure to deliver, when required by the Indenture, a Fundamental Change Notice, or a notice pursuant to ‎</w:t>
      </w:r>
      <w:r>
        <w:rPr>
          <w:rFonts w:ascii="Times New Roman;Times;Serif" w:hAnsi="Times New Roman;Times;Serif"/>
          <w:b/>
          <w:i w:val="false"/>
          <w:caps w:val="false"/>
          <w:smallCaps w:val="false"/>
          <w:sz w:val="20"/>
        </w:rPr>
        <w:t>Section 5.01(C)(i)(3)</w:t>
      </w:r>
      <w:r>
        <w:rPr>
          <w:rFonts w:ascii="Times New Roman;Times;Serif" w:hAnsi="Times New Roman;Times;Serif"/>
          <w:b w:val="false"/>
          <w:i w:val="false"/>
          <w:caps w:val="false"/>
          <w:smallCaps w:val="false"/>
          <w:sz w:val="20"/>
        </w:rPr>
        <w:t>, if (in the case of any notice other than a notice pursuant to ‎</w:t>
      </w:r>
      <w:r>
        <w:rPr>
          <w:rFonts w:ascii="Times New Roman;Times;Serif" w:hAnsi="Times New Roman;Times;Serif"/>
          <w:b/>
          <w:i w:val="false"/>
          <w:caps w:val="false"/>
          <w:smallCaps w:val="false"/>
          <w:sz w:val="20"/>
        </w:rPr>
        <w:t>Section 5.01(C)(i)(3)(a)</w:t>
      </w:r>
      <w:r>
        <w:rPr>
          <w:rFonts w:ascii="Times New Roman;Times;Serif" w:hAnsi="Times New Roman;Times;Serif"/>
          <w:b w:val="false"/>
          <w:i w:val="false"/>
          <w:caps w:val="false"/>
          <w:smallCaps w:val="false"/>
          <w:sz w:val="20"/>
        </w:rPr>
        <w:t>) such failure is not cured within three (3) Business Days after its occurrence (or, in the case of a notice pursuant to ‎</w:t>
      </w:r>
      <w:r>
        <w:rPr>
          <w:rFonts w:ascii="Times New Roman;Times;Serif" w:hAnsi="Times New Roman;Times;Serif"/>
          <w:b/>
          <w:i w:val="false"/>
          <w:caps w:val="false"/>
          <w:smallCaps w:val="false"/>
          <w:sz w:val="20"/>
        </w:rPr>
        <w:t>Section 5.01(C)(i)(3)(a)</w:t>
      </w:r>
      <w:r>
        <w:rPr>
          <w:rFonts w:ascii="Times New Roman;Times;Serif" w:hAnsi="Times New Roman;Times;Serif"/>
          <w:b w:val="false"/>
          <w:i w:val="false"/>
          <w:caps w:val="false"/>
          <w:smallCaps w:val="false"/>
          <w:sz w:val="20"/>
        </w:rPr>
        <w:t>,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default in the Company’s obligation to Convert a Note in accordance with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the exercise of the Conversion right with respect thereto, if such default is not cured within three (3) Business Days after its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default in the Company’s obligations under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default in any of the Company’s obligations or agreements under the Indenture or the Notes (other than a default set forth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of this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default by the Company or any of the Company’s Significant Subsidiaries with respect to any one or more mortgages, agreements or other instruments under which there is outstanding, or by which there is secured or evidenced, any indebtedness for money borrowed of at least thirty million dollars ($30,000,000) (or its foreign currency equivalent) in the aggregate of the Company or any of the Company’s Significant Subsidiaries, whether such indebtedness exists as of the Issue Date or is thereafter created, where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constitutes a failure to pay the principal of such indebtedness when due and payable at its stated maturity, upon required repurchase, upon declaration of acceleration or otherwise, in each case after the expiration of any applicable grace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results in such indebtedness becoming or being declared due and payable before its 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final judgment being rendered against the Company or any of its Significant Subsidiaries for the payment of at least thirty million dollars ($30,000,000) (or its foreign currency equivalent)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or any of its Significant Subsidiaries, pursuant to or within the meaning of any Bankruptcy Law,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commences a voluntary case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consents to the entry of an order for relief against it in an involuntary case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consents to the appointment of a custodian of it or for any substantial part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makes a general assignment for the benefit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takes any comparable action under any foreign Bankruptcy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generally is not paying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court of competent jurisdiction enters an order or decree under any Bankruptcy Law that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 for relief against the Company or any of its Significant Subsidiaries in an involuntary case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appoints a custodian of the Company or any of its Significant Subsidiaries, or for any substantial part of the property of the Company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orders the winding up or liquidation of the Company or any of its Significant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grants any similar relief under any foreign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case under this ‎‎</w:t>
      </w:r>
      <w:r>
        <w:rPr>
          <w:rFonts w:ascii="Times New Roman;Times;Serif" w:hAnsi="Times New Roman;Times;Serif"/>
          <w:b/>
          <w:i w:val="false"/>
          <w:caps w:val="false"/>
          <w:smallCaps w:val="false"/>
          <w:sz w:val="20"/>
        </w:rPr>
        <w:t>Section 7.01(A)(x)</w:t>
      </w:r>
      <w:r>
        <w:rPr>
          <w:rFonts w:ascii="Times New Roman;Times;Serif" w:hAnsi="Times New Roman;Times;Serif"/>
          <w:b w:val="false"/>
          <w:i w:val="false"/>
          <w:caps w:val="false"/>
          <w:smallCaps w:val="false"/>
          <w:sz w:val="20"/>
        </w:rPr>
        <w:t>, such order or decree remains unstayed and in effect for at least sixty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failure by the Company to provide any notice under the Indenture other than as set forth in ‎</w:t>
      </w:r>
      <w:r>
        <w:rPr>
          <w:rFonts w:ascii="Times New Roman;Times;Serif" w:hAnsi="Times New Roman;Times;Serif"/>
          <w:b/>
          <w:i w:val="false"/>
          <w:caps w:val="false"/>
          <w:smallCaps w:val="false"/>
          <w:sz w:val="20"/>
        </w:rPr>
        <w:t>Section 7.01(A)(iii)</w:t>
      </w:r>
      <w:r>
        <w:rPr>
          <w:rFonts w:ascii="Times New Roman;Times;Serif" w:hAnsi="Times New Roman;Times;Serif"/>
          <w:b w:val="false"/>
          <w:i w:val="false"/>
          <w:caps w:val="false"/>
          <w:smallCaps w:val="false"/>
          <w:sz w:val="20"/>
        </w:rPr>
        <w:t> above shall be subject to ‎</w:t>
      </w:r>
      <w:r>
        <w:rPr>
          <w:rFonts w:ascii="Times New Roman;Times;Serif" w:hAnsi="Times New Roman;Times;Serif"/>
          <w:b/>
          <w:i w:val="false"/>
          <w:caps w:val="false"/>
          <w:smallCaps w:val="false"/>
          <w:sz w:val="20"/>
        </w:rPr>
        <w:t>Section 7.01(A)(vi)</w:t>
      </w:r>
      <w:r>
        <w:rPr>
          <w:rFonts w:ascii="Times New Roman;Times;Serif" w:hAnsi="Times New Roman;Times;Serif"/>
          <w:b w:val="false"/>
          <w:i w:val="false"/>
          <w:caps w:val="false"/>
          <w:smallCaps w:val="false"/>
          <w:sz w:val="20"/>
        </w:rPr>
        <w:t> above (including the 60-day cure period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Cause Irrelevant</w:t>
      </w:r>
      <w:r>
        <w:rPr>
          <w:rFonts w:ascii="Times New Roman;Times;Serif" w:hAnsi="Times New Roman;Times;Serif"/>
          <w:b w:val="false"/>
          <w:i w:val="false"/>
          <w:caps w:val="false"/>
          <w:smallCaps w:val="false"/>
          <w:sz w:val="20"/>
        </w:rPr>
        <w:t>. Each of the events set forth in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w:t>
      </w:r>
      <w:r>
        <w:rPr>
          <w:rFonts w:ascii="Times New Roman;Times;Serif" w:hAnsi="Times New Roman;Times;Serif"/>
          <w:b w:val="false"/>
          <w:i w:val="false"/>
          <w:smallCaps/>
          <w:sz w:val="20"/>
        </w:rPr>
        <w:t>        </w:t>
      </w:r>
      <w:r>
        <w:rPr>
          <w:rFonts w:ascii="Times New Roman;Times;Serif" w:hAnsi="Times New Roman;Times;Serif"/>
          <w:b/>
          <w:i w:val="false"/>
          <w:smallCaps/>
          <w:sz w:val="20"/>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Automatic Acceleration in Certain Circumstances</w:t>
      </w:r>
      <w:r>
        <w:rPr>
          <w:rFonts w:ascii="Times New Roman;Times;Serif" w:hAnsi="Times New Roman;Times;Serif"/>
          <w:b w:val="false"/>
          <w:i w:val="false"/>
          <w:caps w:val="false"/>
          <w:smallCaps w:val="false"/>
          <w:sz w:val="20"/>
        </w:rPr>
        <w:t xml:space="preserve">. If an Event of Default set forth in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7.01(A)(x)</w:t>
      </w:r>
      <w:r>
        <w:rPr>
          <w:rFonts w:ascii="Times New Roman;Times;Serif" w:hAnsi="Times New Roman;Times;Serif"/>
          <w:b w:val="false"/>
          <w:i w:val="false"/>
          <w:caps w:val="false"/>
          <w:smallCaps w:val="false"/>
          <w:sz w:val="20"/>
        </w:rPr>
        <w:t> occurs with respect to the Company (and not solely with respect to a Significant Subsidiary of the Company), then the principal amount of, and all accrued and unpaid interest, if any, on, all of the Notes then outstanding will immediately become due and payable without any further action or notice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Optional Acceleration</w:t>
      </w:r>
      <w:r>
        <w:rPr>
          <w:rFonts w:ascii="Times New Roman;Times;Serif" w:hAnsi="Times New Roman;Times;Serif"/>
          <w:b w:val="false"/>
          <w:i w:val="false"/>
          <w:caps w:val="false"/>
          <w:smallCaps w:val="false"/>
          <w:sz w:val="20"/>
        </w:rPr>
        <w:t>. Subject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if an Event of Default (other than an Event of Default set forth in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7.01(A)(x)</w:t>
      </w:r>
      <w:r>
        <w:rPr>
          <w:rFonts w:ascii="Times New Roman;Times;Serif" w:hAnsi="Times New Roman;Times;Serif"/>
          <w:b w:val="false"/>
          <w:i w:val="false"/>
          <w:caps w:val="false"/>
          <w:smallCaps w:val="false"/>
          <w:sz w:val="20"/>
        </w:rPr>
        <w:t>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if any,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Rescission of Acceleration</w:t>
      </w:r>
      <w:r>
        <w:rPr>
          <w:rFonts w:ascii="Times New Roman;Times;Serif" w:hAnsi="Times New Roman;Times;Serif"/>
          <w:b w:val="false"/>
          <w:i w:val="false"/>
          <w:caps w:val="false"/>
          <w:smallCaps w:val="false"/>
          <w:sz w:val="20"/>
        </w:rPr>
        <w:t>. Notwithstanding anything to the contrary in the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if any, on, the Notes that has become due solely because of such acceleration) have been cured or waived. No such rescission will affect any subsequent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w:t>
      </w:r>
      <w:r>
        <w:rPr>
          <w:rFonts w:ascii="Times New Roman;Times;Serif" w:hAnsi="Times New Roman;Times;Serif"/>
          <w:b w:val="false"/>
          <w:i w:val="false"/>
          <w:smallCaps/>
          <w:sz w:val="20"/>
        </w:rPr>
        <w:t>        </w:t>
      </w:r>
      <w:r>
        <w:rPr>
          <w:rFonts w:ascii="Times New Roman;Times;Serif" w:hAnsi="Times New Roman;Times;Serif"/>
          <w:b/>
          <w:i w:val="false"/>
          <w:smallCaps/>
          <w:sz w:val="20"/>
        </w:rPr>
        <w:t>Sole Remedy for a Failure to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Notwithstanding anything to the contrary in the Indenture or the Notes, the Company may elect that the sole remedy for any Event of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pursuant to ‎</w:t>
      </w:r>
      <w:r>
        <w:rPr>
          <w:rFonts w:ascii="Times New Roman;Times;Serif" w:hAnsi="Times New Roman;Times;Serif"/>
          <w:b/>
          <w:i w:val="false"/>
          <w:caps w:val="false"/>
          <w:smallCaps w:val="false"/>
          <w:sz w:val="20"/>
        </w:rPr>
        <w:t>Section 7.01(A)(vi)</w:t>
      </w:r>
      <w:r>
        <w:rPr>
          <w:rFonts w:ascii="Times New Roman;Times;Serif" w:hAnsi="Times New Roman;Times;Serif"/>
          <w:b w:val="false"/>
          <w:i w:val="false"/>
          <w:caps w:val="false"/>
          <w:smallCaps w:val="false"/>
          <w:sz w:val="20"/>
        </w:rPr>
        <w:t> arising from the Company’s failure to comply with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(including the Company’s obligations under Section 314(a)(1) of the Trust Indenture Act) will, for each of the first three hundred and sixty five (365) calendar days on which such Reporting Event of Default has occurred and is continuing, consist exclusively of the accrual of Special Interest on the Notes. If the Company has made such an election, then (i) the Notes will be subject to acceleration pursuant to ‎</w:t>
      </w:r>
      <w:r>
        <w:rPr>
          <w:rFonts w:ascii="Times New Roman;Times;Serif" w:hAnsi="Times New Roman;Times;Serif"/>
          <w:b/>
          <w:i w:val="false"/>
          <w:caps w:val="false"/>
          <w:smallCaps w:val="false"/>
          <w:sz w:val="20"/>
        </w:rPr>
        <w:t>Section 7.02</w:t>
      </w:r>
      <w:r>
        <w:rPr>
          <w:rFonts w:ascii="Times New Roman;Times;Serif" w:hAnsi="Times New Roman;Times;Serif"/>
          <w:b w:val="false"/>
          <w:i w:val="false"/>
          <w:caps w:val="false"/>
          <w:smallCaps w:val="false"/>
          <w:sz w:val="20"/>
        </w:rPr>
        <w:t xml:space="preserve"> on account of the relevant Reporting Event of Default from, and including, the three hundred and sixty-sixth (366th) calendar day on which such Reporting Event of Default has occurred and is continuing or if the Company fails to pay any accrued and unpaid Special Interest when due; and (ii) Special Interest will cease to accrue on any Notes from, and including, such three hundred sixty-sixth (366th) calendar day (it being understood that interest on any defaulted Special Interest will nonetheless accrue pursuant to ‎</w:t>
      </w:r>
      <w:r>
        <w:rPr>
          <w:rFonts w:ascii="Times New Roman;Times;Serif" w:hAnsi="Times New Roman;Times;Serif"/>
          <w:b/>
          <w:i w:val="false"/>
          <w:caps w:val="false"/>
          <w:smallCaps w:val="false"/>
          <w:sz w:val="20"/>
        </w:rPr>
        <w:t>Section 2.04(B)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Amount and Payment of Special Interest</w:t>
      </w:r>
      <w:r>
        <w:rPr>
          <w:rFonts w:ascii="Times New Roman;Times;Serif" w:hAnsi="Times New Roman;Times;Serif"/>
          <w:b w:val="false"/>
          <w:i w:val="false"/>
          <w:caps w:val="false"/>
          <w:smallCaps w:val="false"/>
          <w:sz w:val="20"/>
        </w:rPr>
        <w:t>. Any Special Interest that accrues on a Note pursuant to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will accrue at a rate per annum equal to one quarter of one percent (0.25%) of the principal amount thereof for the first one hundred and eighty (180) days on which such Reporting Event of Default is continuing and Special Interest accrues and, thereafter, at a rate per annum equal to one half of one percent (0.50%) of the principal amount thereof, to, and including, the three hundred and sixty-fifth (365th) calendar day on which such Reporting Event of Default is continuing and Special Interest accrues. For the avoidance of doubt, any Special Interest that accrues on a Note will be in addition to the Stated Interest that accrues 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Election</w:t>
      </w:r>
      <w:r>
        <w:rPr>
          <w:rFonts w:ascii="Times New Roman;Times;Serif" w:hAnsi="Times New Roman;Times;Serif"/>
          <w:b w:val="false"/>
          <w:i w:val="false"/>
          <w:caps w:val="false"/>
          <w:smallCaps w:val="false"/>
          <w:sz w:val="20"/>
        </w:rPr>
        <w:t>. To make the election set forth in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the Company must send to the Holders, the Trustee and the Paying Agent (if other than the Trustee),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Trustee and Paying Agent; Trustee’s Disclaimer</w:t>
      </w:r>
      <w:r>
        <w:rPr>
          <w:rFonts w:ascii="Times New Roman;Times;Serif" w:hAnsi="Times New Roman;Times;Serif"/>
          <w:b w:val="false"/>
          <w:i w:val="false"/>
          <w:caps w:val="false"/>
          <w:smallCaps w:val="false"/>
          <w:sz w:val="20"/>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Effect on Other Events of Default</w:t>
      </w:r>
      <w:r>
        <w:rPr>
          <w:rFonts w:ascii="Times New Roman;Times;Serif" w:hAnsi="Times New Roman;Times;Serif"/>
          <w:b w:val="false"/>
          <w:i w:val="false"/>
          <w:caps w:val="false"/>
          <w:smallCaps w:val="false"/>
          <w:sz w:val="20"/>
        </w:rPr>
        <w:t>. No election pursuant to this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with respect to a Reporting Event of Default will affect the rights of any Holder with respect to any other Event of Default, including with respect to any other Reporting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w:t>
      </w:r>
      <w:r>
        <w:rPr>
          <w:rFonts w:ascii="Times New Roman;Times;Serif" w:hAnsi="Times New Roman;Times;Serif"/>
          <w:b w:val="false"/>
          <w:i w:val="false"/>
          <w:smallCaps/>
          <w:sz w:val="20"/>
        </w:rPr>
        <w:t>        </w:t>
      </w:r>
      <w:r>
        <w:rPr>
          <w:rFonts w:ascii="Times New Roman;Times;Serif" w:hAnsi="Times New Roman;Times;Serif"/>
          <w:b/>
          <w:i w:val="false"/>
          <w:smallCaps/>
          <w:sz w:val="20"/>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Trustee May Pursue All Remedies</w:t>
      </w:r>
      <w:r>
        <w:rPr>
          <w:rFonts w:ascii="Times New Roman;Times;Serif" w:hAnsi="Times New Roman;Times;Serif"/>
          <w:b w:val="false"/>
          <w:i w:val="false"/>
          <w:caps w:val="false"/>
          <w:smallCaps w:val="false"/>
          <w:sz w:val="20"/>
        </w:rPr>
        <w:t>. If an Event of Default occurs and is continuing, then the Trustee may pursue any available remedy to collect the payment of any amounts due with respect to the Notes or to enforce the performance of any provision of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Procedural Matters</w:t>
      </w:r>
      <w:r>
        <w:rPr>
          <w:rFonts w:ascii="Times New Roman;Times;Serif" w:hAnsi="Times New Roman;Times;Serif"/>
          <w:b w:val="false"/>
          <w:i w:val="false"/>
          <w:caps w:val="false"/>
          <w:smallCaps w:val="false"/>
          <w:sz w:val="20"/>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w:t>
      </w:r>
      <w:r>
        <w:rPr>
          <w:rFonts w:ascii="Times New Roman;Times;Serif" w:hAnsi="Times New Roman;Times;Serif"/>
          <w:b w:val="false"/>
          <w:i w:val="false"/>
          <w:smallCaps/>
          <w:sz w:val="20"/>
        </w:rPr>
        <w:t>        </w:t>
      </w:r>
      <w:r>
        <w:rPr>
          <w:rFonts w:ascii="Times New Roman;Times;Serif" w:hAnsi="Times New Roman;Times;Serif"/>
          <w:b/>
          <w:i w:val="false"/>
          <w:smallCaps/>
          <w:sz w:val="20"/>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pursuant to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(vi</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i w:val="false"/>
          <w:caps w:val="false"/>
          <w:smallCaps w:val="false"/>
          <w:sz w:val="20"/>
        </w:rPr>
        <w:t>clause (vi</w:t>
      </w:r>
      <w:r>
        <w:rPr>
          <w:rFonts w:ascii="Times New Roman;Times;Serif" w:hAnsi="Times New Roman;Times;Serif"/>
          <w:b w:val="false"/>
          <w:i w:val="false"/>
          <w:caps w:val="false"/>
          <w:smallCaps w:val="false"/>
          <w:sz w:val="20"/>
        </w:rPr>
        <w:t>)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w:t>
      </w:r>
      <w:r>
        <w:rPr>
          <w:rFonts w:ascii="Times New Roman;Times;Serif" w:hAnsi="Times New Roman;Times;Serif"/>
          <w:b w:val="false"/>
          <w:i w:val="false"/>
          <w:smallCaps/>
          <w:sz w:val="20"/>
        </w:rPr>
        <w:t>        </w:t>
      </w:r>
      <w:r>
        <w:rPr>
          <w:rFonts w:ascii="Times New Roman;Times;Serif" w:hAnsi="Times New Roman;Times;Serif"/>
          <w:b/>
          <w:i w:val="false"/>
          <w:smallCaps/>
          <w:sz w:val="20"/>
        </w:rPr>
        <w:t>Cure of Defaults; Ability to Cure or Waive Before Event of Default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and without limiting the manner in which any Default can be cured, ‎(A) a Default or Event of Default consisting of a failure to send a notice in accordance with the Indenture will be cured upon the sending of such notice; ‎(B) a Default or Event of Default in making any payment on (or delivering any other consideration in respect of) any Note will be cured upon the delivery, in accordance with the Indenture, of such payment (or other consideration) together, if applicable, with Default Interest thereon; and ‎(C) a Default or Event of Default that is (or, after notice, passage of time or both, would be) a Reporting Event of Default will be cured upon the filing of the relevant report(s) giving rise to such Reporting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cure of any Event of Default shall not invalidate any acceleration of the Notes on account of such Event of Default that was properly effected prior to such time as such Event of Default was cured and (ii) the cure of any Reporting Event of Default shall not affect the Company’s obligation to pay any Special Interest that accrues prior to the time of such cure. In addition, for the avoidance of doubt, if a Default that is not an Event of Default is cured or waived before such Default would have constituted an Event of Default, then no Event of Default will result from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w:t>
      </w:r>
      <w:r>
        <w:rPr>
          <w:rFonts w:ascii="Times New Roman;Times;Serif" w:hAnsi="Times New Roman;Times;Serif"/>
          <w:b w:val="false"/>
          <w:i w:val="false"/>
          <w:smallCaps/>
          <w:sz w:val="20"/>
        </w:rPr>
        <w:t>        </w:t>
      </w:r>
      <w:r>
        <w:rPr>
          <w:rFonts w:ascii="Times New Roman;Times;Serif" w:hAnsi="Times New Roman;Times;Serif"/>
          <w:b/>
          <w:i w:val="false"/>
          <w:smallCaps/>
          <w:sz w:val="20"/>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‎Section 7.1 of the Base Indenture,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w:t>
      </w:r>
      <w:r>
        <w:rPr>
          <w:rFonts w:ascii="Times New Roman;Times;Serif" w:hAnsi="Times New Roman;Times;Serif"/>
          <w:b w:val="false"/>
          <w:i w:val="false"/>
          <w:smallCaps/>
          <w:sz w:val="20"/>
        </w:rPr>
        <w:t>        </w:t>
      </w:r>
      <w:r>
        <w:rPr>
          <w:rFonts w:ascii="Times New Roman;Times;Serif" w:hAnsi="Times New Roman;Times;Serif"/>
          <w:b/>
          <w:i w:val="false"/>
          <w:smallCaps/>
          <w:sz w:val="20"/>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may pursue any remedy with respect to the Indenture or the Notes (except to enforce (x) its rights to receive the principal of, or the Fundamental Change Repurchase Price or Redemption Price for, or interest on, any Notes; or (y) the Company’s obligations to Convert any Notes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delivered to the Trustee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twenty five percent (25%) in aggregate principal amount of the Notes then outstanding deliver a request to the Trustee to pursue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such request within sixty (60) calendar days after its receipt of such request and such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the Indenture to prejudice the rights of another Holder or to obtain a preference or priority over another Holder. The Trustee will have no duty to determine whether any Holder’s use of the Indenture complies with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w:t>
      </w:r>
      <w:r>
        <w:rPr>
          <w:rFonts w:ascii="Times New Roman;Times;Serif" w:hAnsi="Times New Roman;Times;Serif"/>
          <w:b w:val="false"/>
          <w:i w:val="false"/>
          <w:smallCaps/>
          <w:sz w:val="20"/>
        </w:rPr>
        <w:t>        </w:t>
      </w:r>
      <w:r>
        <w:rPr>
          <w:rFonts w:ascii="Times New Roman;Times;Serif" w:hAnsi="Times New Roman;Times;Serif"/>
          <w:b/>
          <w:i w:val="false"/>
          <w:smallCaps/>
          <w:sz w:val="20"/>
        </w:rPr>
        <w:t>Absolute Right of Holders to Institute Suit for the Enforcement of the Right to Receive Payment and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Indenture or the Notes (but without limiting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the right of each Holder of a Note to receive payment or delivery, as applicable, of the principal of, or the Fundamental Change Repurchase Price or Redemption Price for, or any interest on, or the Conversion Consideration due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Conversion of, such Note on or after the respective due dates therefor provided in the Indenture and the Notes, or to bring suit for the enforcement of any such payment or delivery on or after such respective due dates, will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w:t>
      </w:r>
      <w:r>
        <w:rPr>
          <w:rFonts w:ascii="Times New Roman;Times;Serif" w:hAnsi="Times New Roman;Times;Serif"/>
          <w:b w:val="false"/>
          <w:i w:val="false"/>
          <w:smallCaps/>
          <w:sz w:val="20"/>
        </w:rPr>
        <w:t>        </w:t>
      </w:r>
      <w:r>
        <w:rPr>
          <w:rFonts w:ascii="Times New Roman;Times;Serif" w:hAnsi="Times New Roman;Times;Serif"/>
          <w:b/>
          <w:i w:val="false"/>
          <w:smallCaps/>
          <w:sz w:val="20"/>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have the right, upon the occurrence and continuance of an Event of Default pursuant to </w:t>
      </w:r>
      <w:r>
        <w:rPr>
          <w:rFonts w:ascii="Times New Roman;Times;Serif" w:hAnsi="Times New Roman;Times;Serif"/>
          <w:b/>
          <w:i w:val="false"/>
          <w:caps w:val="false"/>
          <w:smallCaps w:val="false"/>
          <w:sz w:val="20"/>
        </w:rPr>
        <w:t>clause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Conversion of, the Notes, as applicable, and, to the extent lawful, any Default Interest on any Defaulted Amounts, and such further amounts sufficient to cover the costs and expenses of collection, including all amounts owed to it under Section 7.7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w:t>
      </w:r>
      <w:r>
        <w:rPr>
          <w:rFonts w:ascii="Times New Roman;Times;Serif" w:hAnsi="Times New Roman;Times;Serif"/>
          <w:b w:val="false"/>
          <w:i w:val="false"/>
          <w:smallCaps/>
          <w:sz w:val="20"/>
        </w:rPr>
        <w:t>        </w:t>
      </w:r>
      <w:r>
        <w:rPr>
          <w:rFonts w:ascii="Times New Roman;Times;Serif" w:hAnsi="Times New Roman;Times;Serif"/>
          <w:b/>
          <w:i w:val="false"/>
          <w:smallCaps/>
          <w:sz w:val="20"/>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‎Section 7.7 of the Base Indenture.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the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w:t>
      </w:r>
      <w:r>
        <w:rPr>
          <w:rFonts w:ascii="Times New Roman;Times;Serif" w:hAnsi="Times New Roman;Times;Serif"/>
          <w:b w:val="false"/>
          <w:i w:val="false"/>
          <w:smallCaps/>
          <w:sz w:val="20"/>
        </w:rPr>
        <w:t>        </w:t>
      </w:r>
      <w:r>
        <w:rPr>
          <w:rFonts w:ascii="Times New Roman;Times;Serif" w:hAnsi="Times New Roman;Times;Serif"/>
          <w:b/>
          <w:i w:val="false"/>
          <w:smallCaps/>
          <w:sz w:val="20"/>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pay or deliver in the following order any money or other property that it collects pursuant to this ‎‎</w:t>
      </w: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the Trustee and its agents and attorneys for amounts due hereunder, including payment of all fees and compensation of, and all expenses and liabilities incurred, and all advances made, by, the Trustee (in each of its capacities under the Indenture, including as Note Agent)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 or such other Person as a court of competent jurisdiction directs.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or delivery to the Holders pursuant to this ‎‎</w:t>
      </w:r>
      <w:r>
        <w:rPr>
          <w:rFonts w:ascii="Times New Roman;Times;Serif" w:hAnsi="Times New Roman;Times;Serif"/>
          <w:b/>
          <w:i w:val="false"/>
          <w:caps w:val="false"/>
          <w:smallCaps w:val="false"/>
          <w:sz w:val="20"/>
        </w:rPr>
        <w:t>Section 7.12</w:t>
      </w:r>
      <w:r>
        <w:rPr>
          <w:rFonts w:ascii="Times New Roman;Times;Serif" w:hAnsi="Times New Roman;Times;Serif"/>
          <w:b w:val="false"/>
          <w:i w:val="false"/>
          <w:caps w:val="false"/>
          <w:smallCaps w:val="false"/>
          <w:sz w:val="20"/>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w:t>
      </w:r>
      <w:r>
        <w:rPr>
          <w:rFonts w:ascii="Times New Roman;Times;Serif" w:hAnsi="Times New Roman;Times;Serif"/>
          <w:b w:val="false"/>
          <w:i w:val="false"/>
          <w:smallCaps/>
          <w:sz w:val="20"/>
        </w:rPr>
        <w:t>        </w:t>
      </w:r>
      <w:r>
        <w:rPr>
          <w:rFonts w:ascii="Times New Roman;Times;Serif" w:hAnsi="Times New Roman;Times;Serif"/>
          <w:b/>
          <w:i w:val="false"/>
          <w:smallCaps/>
          <w:sz w:val="20"/>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suit for the enforcement of any right or remedy under the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w:t>
      </w:r>
      <w:r>
        <w:rPr>
          <w:rFonts w:ascii="Times New Roman;Times;Serif" w:hAnsi="Times New Roman;Times;Serif"/>
          <w:b/>
          <w:i w:val="false"/>
          <w:caps w:val="false"/>
          <w:smallCaps w:val="false"/>
          <w:sz w:val="20"/>
        </w:rPr>
        <w:t>Section 7.13</w:t>
      </w:r>
      <w:r>
        <w:rPr>
          <w:rFonts w:ascii="Times New Roman;Times;Serif" w:hAnsi="Times New Roman;Times;Serif"/>
          <w:b w:val="false"/>
          <w:i w:val="false"/>
          <w:caps w:val="false"/>
          <w:smallCaps w:val="false"/>
          <w:sz w:val="20"/>
        </w:rPr>
        <w:t xml:space="preserve"> does not apply to any suit by the Trustee, any suit by a Holder pursuant to ‎</w:t>
      </w:r>
      <w:r>
        <w:rPr>
          <w:rFonts w:ascii="Times New Roman;Times;Serif" w:hAnsi="Times New Roman;Times;Serif"/>
          <w:b/>
          <w:i w:val="false"/>
          <w:caps w:val="false"/>
          <w:smallCaps w:val="false"/>
          <w:sz w:val="20"/>
        </w:rPr>
        <w:t>Section 7.09</w:t>
      </w:r>
      <w:r>
        <w:rPr>
          <w:rFonts w:ascii="Times New Roman;Times;Serif" w:hAnsi="Times New Roman;Times;Serif"/>
          <w:b w:val="false"/>
          <w:i w:val="false"/>
          <w:caps w:val="false"/>
          <w:smallCaps w:val="false"/>
          <w:sz w:val="20"/>
        </w:rPr>
        <w:t xml:space="preserve"> or any suit by one or more Holders of more than ten percent (10%) in aggregate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w:t>
      </w:r>
      <w:r>
        <w:rPr>
          <w:rFonts w:ascii="Times New Roman;Times;Serif" w:hAnsi="Times New Roman;Times;Serif"/>
          <w:b/>
          <w:i w:val="false"/>
          <w:caps/>
          <w:sz w:val="20"/>
        </w:rPr>
        <w:t>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 xml:space="preserve">Section 8.02 </w:t>
      </w:r>
      <w:r>
        <w:rPr>
          <w:rFonts w:ascii="Times New Roman;Times;Serif" w:hAnsi="Times New Roman;Times;Serif"/>
          <w:b w:val="false"/>
          <w:i w:val="false"/>
          <w:caps w:val="false"/>
          <w:smallCaps w:val="false"/>
          <w:sz w:val="20"/>
        </w:rPr>
        <w:t>will apply to the Notes in lieu of Section 8.1 and Section 8.2, respectively, of the Base Indenture, which will be deemed to be replaced with ‎</w:t>
      </w:r>
      <w:r>
        <w:rPr>
          <w:rFonts w:ascii="Times New Roman;Times;Serif" w:hAnsi="Times New Roman;Times;Serif"/>
          <w:b/>
          <w:i w:val="false"/>
          <w:caps w:val="false"/>
          <w:smallCaps w:val="false"/>
          <w:sz w:val="20"/>
        </w:rPr>
        <w:t xml:space="preserve">Section 8.01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respectively,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w:t>
      </w:r>
      <w:r>
        <w:rPr>
          <w:rFonts w:ascii="Times New Roman;Times;Serif" w:hAnsi="Times New Roman;Times;Serif"/>
          <w:b w:val="false"/>
          <w:i w:val="false"/>
          <w:smallCaps/>
          <w:sz w:val="20"/>
        </w:rPr>
        <w:t>        </w:t>
      </w:r>
      <w:r>
        <w:rPr>
          <w:rFonts w:ascii="Times New Roman;Times;Serif" w:hAnsi="Times New Roman;Times;Serif"/>
          <w:b/>
          <w:i w:val="false"/>
          <w:smallCaps/>
          <w:sz w:val="20"/>
        </w:rPr>
        <w:t>Without the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the Company and the Trustee may amend or supplement the Indenture or the Notes without the consent of any Holder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or correct any omission, defect or inconsistency in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 guarantees with respect to the Company’s obligations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the Company’s covenants or Events of Default for the benefit of the Holders or surrender any right or power conferred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for the assumption of the Company’s obligations under the Indenture and the Notes pursuant to, and in compliance with,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supplemental indentures pursuant to, and in accordance with,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in connection with a Common Stock 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irrevocably elect or eliminate any Settlement Method or Specified Dollar Amount;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election or elimination will affect any Settlement Method theretofore elected (or deemed to be elected) with respect to any Note pursuant to ‎</w:t>
      </w:r>
      <w:r>
        <w:rPr>
          <w:rFonts w:ascii="Times New Roman;Times;Serif" w:hAnsi="Times New Roman;Times;Serif"/>
          <w:b/>
          <w:i w:val="false"/>
          <w:caps w:val="false"/>
          <w:smallCaps w:val="false"/>
          <w:sz w:val="20"/>
        </w:rPr>
        <w:t>Section 5.03(A)(i)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or provide for the acceptance of the appointment, under the Indenture,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conform the provisions of the Indenture and the Notes to the “Description of Notes” section of the Company’s preliminary prospectus supplement, dated March 26, 2026, as supplemented by the related pricing term sheet, dated 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provide for or confirm the issuance of additional Notes pursuant to ‎</w:t>
      </w:r>
      <w:r>
        <w:rPr>
          <w:rFonts w:ascii="Times New Roman;Times;Serif" w:hAnsi="Times New Roman;Times;Serif"/>
          <w:b/>
          <w:i w:val="false"/>
          <w:caps w:val="false"/>
          <w:smallCaps w:val="false"/>
          <w:sz w:val="20"/>
        </w:rPr>
        <w:t>Section 2.02(B)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provide for any transfer restrictions that apply to any Notes issued under the Indenture (other than the Initial Notes) that, at the time of their original issuance, constitute “restricted securities” within the meaning of Rule 144 or that are originally issued in reliance upon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comply with any requirement of the SEC in connection with effecting or maintaining the qualification of the Indenture or any supplemental indenture under the Trust Indenture Act, as then in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other change to the Indenture or the Notes that does not, individually or in the aggregate with all other such changes, adversely affect the rights of the Holders, as such, in any material respect, as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of any Holder of a Note or owner of a beneficial interest in a Global Note, the Company will provide a copy of the “Description of Notes” section and pricing term sheet referred to in ‎‎</w:t>
      </w:r>
      <w:r>
        <w:rPr>
          <w:rFonts w:ascii="Times New Roman;Times;Serif" w:hAnsi="Times New Roman;Times;Serif"/>
          <w:b/>
          <w:i w:val="false"/>
          <w:caps w:val="false"/>
          <w:smallCaps w:val="false"/>
          <w:sz w:val="20"/>
        </w:rPr>
        <w:t>Section 8.01(I)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w:t>
      </w:r>
      <w:r>
        <w:rPr>
          <w:rFonts w:ascii="Times New Roman;Times;Serif" w:hAnsi="Times New Roman;Times;Serif"/>
          <w:b w:val="false"/>
          <w:i w:val="false"/>
          <w:smallCaps/>
          <w:sz w:val="20"/>
        </w:rPr>
        <w:t>        </w:t>
      </w:r>
      <w:r>
        <w:rPr>
          <w:rFonts w:ascii="Times New Roman;Times;Serif" w:hAnsi="Times New Roman;Times;Serif"/>
          <w:b/>
          <w:i w:val="false"/>
          <w:smallCaps/>
          <w:sz w:val="20"/>
        </w:rPr>
        <w:t>With the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‎8.01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7.05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7.09</w:t>
      </w:r>
      <w:r>
        <w:rPr>
          <w:rFonts w:ascii="Times New Roman;Times;Serif" w:hAnsi="Times New Roman;Times;Serif"/>
          <w:b w:val="false"/>
          <w:i w:val="false"/>
          <w:caps w:val="false"/>
          <w:smallCaps w:val="false"/>
          <w:sz w:val="20"/>
        </w:rPr>
        <w:t xml:space="preserve"> and the immediately following sentence, the Company and the Trustee may, with the consent of the Holders of a majority in aggregate principal amount of the Notes then outstanding, amend or supplement the Indenture or the Notes or waive compliance with any provision of the Indenture or the Notes. Notwithstanding anything to the contrary in the foregoing sentence, but subject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without the consent of each affected Holder, no amendment or supplement to the Indenture or the Notes, or waiver of any provision of the Indenture or the Notes,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reduce the principal, or change the stated maturity,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Redemption Price or Fundamental Change Repurchase Price for any Note or change the times at which, or the circumstances under which, the Notes may or will be redeemed or repurchased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rate, or extend the time for the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change that adversely affects the Conversion rights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impair the rights of any Holder set forth in ‎</w:t>
      </w:r>
      <w:r>
        <w:rPr>
          <w:rFonts w:ascii="Times New Roman;Times;Serif" w:hAnsi="Times New Roman;Times;Serif"/>
          <w:b/>
          <w:i w:val="false"/>
          <w:caps w:val="false"/>
          <w:smallCaps w:val="false"/>
          <w:sz w:val="20"/>
        </w:rPr>
        <w:t>Section 7.09</w:t>
      </w:r>
      <w:r>
        <w:rPr>
          <w:rFonts w:ascii="Times New Roman;Times;Serif" w:hAnsi="Times New Roman;Times;Serif"/>
          <w:b w:val="false"/>
          <w:i w:val="false"/>
          <w:caps w:val="false"/>
          <w:smallCaps w:val="false"/>
          <w:sz w:val="20"/>
        </w:rPr>
        <w:t xml:space="preserve"> (as such section is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Note payable in money, or at a place of payment, other than that stated in the Indenture or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reduce the amount of Notes whose Holders must consent to any amendment, supplement, waiver or other modification;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any direct or indirect change to any amendment, supplement, waiver or modification provision of the Indenture or the Notes that requires the consent of each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pursuant to clauses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of this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no amendment or supplement to the Indenture or the Notes, or waiver of any provision of the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Holders Need Not Approve the Particular Form of any Amendment</w:t>
      </w:r>
      <w:r>
        <w:rPr>
          <w:rFonts w:ascii="Times New Roman;Times;Serif" w:hAnsi="Times New Roman;Times;Serif"/>
          <w:b w:val="false"/>
          <w:i w:val="false"/>
          <w:caps w:val="false"/>
          <w:smallCaps w:val="false"/>
          <w:sz w:val="20"/>
        </w:rPr>
        <w:t>. A consent of any Holder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need approve only the substance, and not necessarily the particular form, of the proposed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w:t>
      </w:r>
      <w:r>
        <w:rPr>
          <w:rFonts w:ascii="Times New Roman;Times;Serif" w:hAnsi="Times New Roman;Times;Serif"/>
          <w:b w:val="false"/>
          <w:i w:val="false"/>
          <w:smallCaps/>
          <w:sz w:val="20"/>
        </w:rPr>
        <w:t>        </w:t>
      </w:r>
      <w:r>
        <w:rPr>
          <w:rFonts w:ascii="Times New Roman;Times;Serif" w:hAnsi="Times New Roman;Times;Serif"/>
          <w:b/>
          <w:i w:val="false"/>
          <w:smallCaps/>
          <w:sz w:val="20"/>
        </w:rPr>
        <w:t>Notice of 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reasonably practicable after any amendment, supplement or waiver pursuant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8.02</w:t>
      </w:r>
      <w:r>
        <w:rPr>
          <w:rFonts w:ascii="Times New Roman;Times;Serif" w:hAnsi="Times New Roman;Times;Serif"/>
          <w:b w:val="false"/>
          <w:i w:val="false"/>
          <w:caps w:val="false"/>
          <w:smallCaps w:val="false"/>
          <w:sz w:val="20"/>
        </w:rPr>
        <w:t xml:space="preserve"> becomes effective, the Company will send to the Holders and the Trustee notice that ‎(A) describes the substance of such amendment, supplement or waiver in reasonable detail and ‎(B) states the effective date thereof. The failure to send, or the existence of any defect in, such notice will not impair or affect the validity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w:t>
      </w:r>
      <w:r>
        <w:rPr>
          <w:rFonts w:ascii="Times New Roman;Times;Serif" w:hAnsi="Times New Roman;Times;Serif"/>
          <w:b w:val="false"/>
          <w:i w:val="false"/>
          <w:smallCaps/>
          <w:sz w:val="20"/>
        </w:rPr>
        <w:t>        </w:t>
      </w:r>
      <w:r>
        <w:rPr>
          <w:rFonts w:ascii="Times New Roman;Times;Serif" w:hAnsi="Times New Roman;Times;Serif"/>
          <w:b/>
          <w:i w:val="false"/>
          <w:smallCaps/>
          <w:sz w:val="20"/>
        </w:rPr>
        <w:t>Revocation, Effect and Solicitation of Consents; Special Record Dates;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Revocation and Effect of Consents</w:t>
      </w:r>
      <w:r>
        <w:rPr>
          <w:rFonts w:ascii="Times New Roman;Times;Serif" w:hAnsi="Times New Roman;Times;Serif"/>
          <w:b w:val="false"/>
          <w:i w:val="false"/>
          <w:caps w:val="false"/>
          <w:smallCaps w:val="false"/>
          <w:sz w:val="20"/>
        </w:rPr>
        <w:t>.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Times;Serif" w:hAnsi="Times New Roman;Times;Serif"/>
          <w:b/>
          <w:i w:val="false"/>
          <w:caps w:val="false"/>
          <w:smallCaps w:val="false"/>
          <w:sz w:val="20"/>
        </w:rPr>
        <w:t>Section 8.04(B)</w:t>
      </w:r>
      <w:r>
        <w:rPr>
          <w:rFonts w:ascii="Times New Roman;Times;Serif" w:hAnsi="Times New Roman;Times;Serif"/>
          <w:b w:val="false"/>
          <w:i w:val="false"/>
          <w:caps w:val="false"/>
          <w:smallCaps w:val="false"/>
          <w:sz w:val="20"/>
        </w:rPr>
        <w:t>) any such consent with respect to such Note by delivering notice of revocation to the Trustee before the time such amendment, supplement or waiver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Special Record Dates</w:t>
      </w:r>
      <w:r>
        <w:rPr>
          <w:rFonts w:ascii="Times New Roman;Times;Serif" w:hAnsi="Times New Roman;Times;Serif"/>
          <w:b w:val="false"/>
          <w:i w:val="false"/>
          <w:caps w:val="false"/>
          <w:smallCaps w:val="false"/>
          <w:sz w:val="20"/>
        </w:rPr>
        <w:t>. The Company may, but is not required to, fix a record date for the purpose of determining the Holders entitled to consent or take any other action in connection with any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If a record date is fixed, then, notwithstanding anything to the contrary in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consent will be valid or effective for more than one hundred and twenty (120) calendar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Solicitation of Consents</w:t>
      </w:r>
      <w:r>
        <w:rPr>
          <w:rFonts w:ascii="Times New Roman;Times;Serif" w:hAnsi="Times New Roman;Times;Serif"/>
          <w:b w:val="false"/>
          <w:i w:val="false"/>
          <w:caps w:val="false"/>
          <w:smallCaps w:val="false"/>
          <w:sz w:val="20"/>
        </w:rPr>
        <w:t>. For the avoidance of doubt, each reference in the Indenture or the Notes to the consent of a Holder will be deemed to include any such consent obtained in connection with a repurchase of, or tender or exchange offer for,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Effectiveness and Binding Effect</w:t>
      </w:r>
      <w:r>
        <w:rPr>
          <w:rFonts w:ascii="Times New Roman;Times;Serif" w:hAnsi="Times New Roman;Times;Serif"/>
          <w:b w:val="false"/>
          <w:i w:val="false"/>
          <w:caps w:val="false"/>
          <w:smallCaps w:val="false"/>
          <w:sz w:val="20"/>
        </w:rPr>
        <w:t>. Each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w:t>
      </w:r>
      <w:r>
        <w:rPr>
          <w:rFonts w:ascii="Times New Roman;Times;Serif" w:hAnsi="Times New Roman;Times;Serif"/>
          <w:b w:val="false"/>
          <w:i w:val="false"/>
          <w:smallCaps/>
          <w:sz w:val="20"/>
        </w:rPr>
        <w:t>        </w:t>
      </w:r>
      <w:r>
        <w:rPr>
          <w:rFonts w:ascii="Times New Roman;Times;Serif" w:hAnsi="Times New Roman;Times;Serif"/>
          <w:b/>
          <w:i w:val="false"/>
          <w:smallCaps/>
          <w:sz w:val="20"/>
        </w:rPr>
        <w:t>Notations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‎Section 2.3 of the Base Indenture, a new Note that reflects the changed terms. The failure to make any appropriate notation or issue a new Note pursuant to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will not impair or affect the validity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w:t>
      </w:r>
      <w:r>
        <w:rPr>
          <w:rFonts w:ascii="Times New Roman;Times;Serif" w:hAnsi="Times New Roman;Times;Serif"/>
          <w:b w:val="false"/>
          <w:i w:val="false"/>
          <w:smallCaps/>
          <w:sz w:val="20"/>
        </w:rPr>
        <w:t>        </w:t>
      </w:r>
      <w:r>
        <w:rPr>
          <w:rFonts w:ascii="Times New Roman;Times;Serif" w:hAnsi="Times New Roman;Times;Serif"/>
          <w:b/>
          <w:i w:val="false"/>
          <w:smallCaps/>
          <w:sz w:val="20"/>
        </w:rPr>
        <w:t>Trustee to Execute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execute and deliver any amendment or supplemental indenture authorized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will be fully protected in relying on, an Officer’s Certificate and an Opinion of Counsel stating that (A) the execution and delivery of such amendment or supplemental indenture is authorized or permitted by the Indenture; and (B) in the case of the Opinion of Counsel, such amendment or supplemental indenture is valid, binding and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w:t>
      </w:r>
      <w:r>
        <w:rPr>
          <w:rFonts w:ascii="Times New Roman;Times;Serif" w:hAnsi="Times New Roman;Times;Serif"/>
          <w:b/>
          <w:i w:val="false"/>
          <w:caps/>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 xml:space="preserve">Article 9 </w:t>
      </w:r>
      <w:r>
        <w:rPr>
          <w:rFonts w:ascii="Times New Roman;Times;Serif" w:hAnsi="Times New Roman;Times;Serif"/>
          <w:b w:val="false"/>
          <w:i w:val="false"/>
          <w:caps w:val="false"/>
          <w:smallCaps w:val="false"/>
          <w:sz w:val="20"/>
        </w:rPr>
        <w:t>will apply to the Notes in lieu of Article 9 of the Base Indenture, which will be deemed to be replaced with this ‎</w:t>
      </w:r>
      <w:r>
        <w:rPr>
          <w:rFonts w:ascii="Times New Roman;Times;Serif" w:hAnsi="Times New Roman;Times;Serif"/>
          <w:b/>
          <w:i w:val="false"/>
          <w:caps w:val="false"/>
          <w:smallCaps w:val="false"/>
          <w:sz w:val="20"/>
        </w:rPr>
        <w:t>Article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w:t>
      </w:r>
      <w:r>
        <w:rPr>
          <w:rFonts w:ascii="Times New Roman;Times;Serif" w:hAnsi="Times New Roman;Times;Serif"/>
          <w:b w:val="false"/>
          <w:i w:val="false"/>
          <w:smallCaps/>
          <w:sz w:val="20"/>
        </w:rPr>
        <w:t>        </w:t>
      </w:r>
      <w:r>
        <w:rPr>
          <w:rFonts w:ascii="Times New Roman;Times;Serif" w:hAnsi="Times New Roman;Times;Serif"/>
          <w:b/>
          <w:i w:val="false"/>
          <w:smallCaps/>
          <w:sz w:val="20"/>
        </w:rPr>
        <w:t>Termination of Company’s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with respect to the Notes under the Indenture will be discharged, and the Indenture will cease to be of further effect as to all Notes issued under the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Notes then outstanding (other than Notes replaced pursuant to Section 2.8 of the Base Indenture)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Section 2.8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paid all other amounts payable by it under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to the Trustee an Officer’s Certificate and an Opinion of Counsel, each stating that the conditions precedent to the discharge of the Indenture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‎Article 7 of the Base Indenture and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will survive such discharge and, until no Notes remain outstanding, ‎Section 2.12 of the Base Indenture and the obligations of the Trustee, the Paying Agent and the Conversion Agent with respect to money or other property deposited with them will survive such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will acknowledge the satisfaction and discharge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w:t>
      </w:r>
      <w:r>
        <w:rPr>
          <w:rFonts w:ascii="Times New Roman;Times;Serif" w:hAnsi="Times New Roman;Times;Serif"/>
          <w:b w:val="false"/>
          <w:i w:val="false"/>
          <w:smallCaps/>
          <w:sz w:val="20"/>
        </w:rPr>
        <w:t>        </w:t>
      </w:r>
      <w:r>
        <w:rPr>
          <w:rFonts w:ascii="Times New Roman;Times;Serif" w:hAnsi="Times New Roman;Times;Serif"/>
          <w:b/>
          <w:i w:val="false"/>
          <w:smallCaps/>
          <w:sz w:val="20"/>
        </w:rPr>
        <w:t>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w:t>
      </w:r>
      <w:r>
        <w:rPr>
          <w:rFonts w:ascii="Times New Roman;Times;Serif" w:hAnsi="Times New Roman;Times;Serif"/>
          <w:b w:val="false"/>
          <w:i w:val="false"/>
          <w:smallCaps/>
          <w:sz w:val="20"/>
        </w:rPr>
        <w:t>        </w:t>
      </w:r>
      <w:r>
        <w:rPr>
          <w:rFonts w:ascii="Times New Roman;Times;Serif" w:hAnsi="Times New Roman;Times;Serif"/>
          <w:b/>
          <w:i w:val="false"/>
          <w:smallCaps/>
          <w:sz w:val="20"/>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the Paying Agent or the Conversion Agent is unable to apply any cash or other property deposited with it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because of any legal proceeding or any order or judgment of any court or other governmental authority that enjoins, restrains or otherwise prohibits such application, then the discharge of the Indenture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will be rescinded;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w:t>
      </w: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w:t>
      </w:r>
      <w:r>
        <w:rPr>
          <w:rFonts w:ascii="Times New Roman;Times;Serif" w:hAnsi="Times New Roman;Times;Serif"/>
          <w:b w:val="false"/>
          <w:i w:val="false"/>
          <w:smallCaps/>
          <w:sz w:val="20"/>
        </w:rPr>
        <w:t>        </w:t>
      </w:r>
      <w:r>
        <w:rPr>
          <w:rFonts w:ascii="Times New Roman;Times;Serif" w:hAnsi="Times New Roman;Times;Serif"/>
          <w:b/>
          <w:i w:val="false"/>
          <w:small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Winter Street, Suite 250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Massachusetts 02451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(857) 271-2954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02199</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951-7000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Thomas Danielski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Federal Street, Boston, MA 02110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J. Gomes (Zenas BioPharma, Inc. Administrator)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steven.gomes@usbank.com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Anderson Aquino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Lewis Wharf</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Anderson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danderson@andersonaquino.com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preceding paragraph, notices to the Trustee or any Note Agent must be in writing and will be deemed to have been given upon actual receipt by the Trustee or such Note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(including facsimile numbers and electronic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or communications required to be made to a Holder pursuant to the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or communication to a Holder of a Global Note will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sent in the manner provided above within the time prescribed, it will be deemed to have been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Indenture or the Notes, ‎(A) whenever any provision of the Indenture requires a party to send notice to another party, no such notice need be sent if the sending party and the recipient are the same Person acting in different capacities (and, for purposes of the interpretation of the Indenture, such notice will be deemed to have been duly sent at the time otherwise required by the Indenture); and ‎(B) whenever any provision of the Indenture requires a party to send notice to more than one receiving party, and each receiving party is the same Person acting in different capacities, then only one such notice need be sent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w:t>
      </w:r>
      <w:r>
        <w:rPr>
          <w:rFonts w:ascii="Times New Roman;Times;Serif" w:hAnsi="Times New Roman;Times;Serif"/>
          <w:b w:val="false"/>
          <w:i w:val="false"/>
          <w:smallCaps/>
          <w:sz w:val="20"/>
        </w:rPr>
        <w:t>        </w:t>
      </w:r>
      <w:r>
        <w:rPr>
          <w:rFonts w:ascii="Times New Roman;Times;Serif" w:hAnsi="Times New Roman;Times;Serif"/>
          <w:b/>
          <w:i w:val="false"/>
          <w:smallCaps/>
          <w:sz w:val="20"/>
        </w:rPr>
        <w:t>Rules by the Trustee, the Registrar, the Paying Agent and the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Each of the Registrar, the Paying Agent and the Conversion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10.03</w:t>
      </w:r>
      <w:r>
        <w:rPr>
          <w:rFonts w:ascii="Times New Roman;Times;Serif" w:hAnsi="Times New Roman;Times;Serif"/>
          <w:b w:val="false"/>
          <w:i w:val="false"/>
          <w:smallCaps/>
          <w:sz w:val="20"/>
        </w:rPr>
        <w:t>        </w:t>
      </w:r>
      <w:r>
        <w:rPr>
          <w:rFonts w:ascii="Times New Roman;Times;Serif" w:hAnsi="Times New Roman;Times;Serif"/>
          <w:b/>
          <w:i w:val="false"/>
          <w:smallCaps/>
          <w:sz w:val="20"/>
        </w:rPr>
        <w:t>No Personal Liability of Directors, Officers, Employees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10.04</w:t>
      </w:r>
      <w:r>
        <w:rPr>
          <w:rFonts w:ascii="Times New Roman;Times;Serif" w:hAnsi="Times New Roman;Times;Serif"/>
          <w:b w:val="false"/>
          <w:i w:val="false"/>
          <w:smallCaps/>
          <w:sz w:val="20"/>
        </w:rPr>
        <w:t>        </w:t>
      </w:r>
      <w:r>
        <w:rPr>
          <w:rFonts w:ascii="Times New Roman;Times;Serif" w:hAnsi="Times New Roman;Times;Serif"/>
          <w:b/>
          <w:i w:val="false"/>
          <w:smallCaps/>
          <w:sz w:val="20"/>
        </w:rPr>
        <w:t>Governing Law;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Section 10.04</w:t>
      </w:r>
      <w:r>
        <w:rPr>
          <w:rFonts w:ascii="Times New Roman;Times;Serif" w:hAnsi="Times New Roman;Times;Serif"/>
          <w:b w:val="false"/>
          <w:i w:val="false"/>
          <w:caps w:val="false"/>
          <w:smallCaps w:val="false"/>
          <w:sz w:val="20"/>
        </w:rPr>
        <w:t xml:space="preserve"> will, with respect to the Notes, supersede Sections 10.8 and 10.17 of the Base Indenture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NOTES, AND ANY CLAIM, CONTROVERSY OR DISPUTE ARISING UNDER OR RELATED TO THE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THE INDENTURE, THE NOTES OR THE TRANSACTIONS CONTEMPLATED BY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10.05</w:t>
      </w:r>
      <w:r>
        <w:rPr>
          <w:rFonts w:ascii="Times New Roman;Times;Serif" w:hAnsi="Times New Roman;Times;Serif"/>
          <w:b w:val="false"/>
          <w:i w:val="false"/>
          <w:smallCaps/>
          <w:sz w:val="20"/>
        </w:rPr>
        <w:t>        </w:t>
      </w:r>
      <w:r>
        <w:rPr>
          <w:rFonts w:ascii="Times New Roman;Times;Serif" w:hAnsi="Times New Roman;Times;Serif"/>
          <w:b/>
          <w:i w:val="false"/>
          <w:smallCaps/>
          <w:sz w:val="20"/>
        </w:rPr>
        <w:t>Submission to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10.06</w:t>
      </w:r>
      <w:r>
        <w:rPr>
          <w:rFonts w:ascii="Times New Roman;Times;Serif" w:hAnsi="Times New Roman;Times;Serif"/>
          <w:b w:val="false"/>
          <w:i w:val="false"/>
          <w:smallCaps/>
          <w:sz w:val="20"/>
        </w:rPr>
        <w:t>        </w:t>
      </w:r>
      <w:r>
        <w:rPr>
          <w:rFonts w:ascii="Times New Roman;Times;Serif" w:hAnsi="Times New Roman;Times;Serif"/>
          <w:b/>
          <w:i w:val="false"/>
          <w:smallCaps/>
          <w:sz w:val="20"/>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Indenture nor the Notes may be used to interpret any other indenture, note, loan or debt agreement of the Company or its Subsidiaries or of any other Person, and no such indenture, note, loan or debt agreement may be used to interpret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10.07</w:t>
      </w:r>
      <w:r>
        <w:rPr>
          <w:rFonts w:ascii="Times New Roman;Times;Serif" w:hAnsi="Times New Roman;Times;Serif"/>
          <w:b w:val="false"/>
          <w:i w:val="false"/>
          <w:smallCaps/>
          <w:sz w:val="20"/>
        </w:rPr>
        <w:t>        </w:t>
      </w:r>
      <w:r>
        <w:rPr>
          <w:rFonts w:ascii="Times New Roman;Times;Serif" w:hAnsi="Times New Roman;Times;Serif"/>
          <w:b/>
          <w:i w:val="false"/>
          <w:smallCaps/>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the Indenture and the Notes will bind its successors. All agreements of the Trustee in the Indenture will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organization or entity into which the Trustee may be merged or converted or with which it may be consolidated, or any organization or entity resulting from any merger, conversion or consolidation to which the Trustee is a party, or any organization or entity succeeding to all or substantially all of the corporate trust business of the Trustee, will be the successor of the Trustee under the Indenture, without the need for the execution or filing of any paper or any further act on the part of any of the parties hereto, provided that such organization or entity is otherwise qualified and eligible under Section 7.10 of the Base Indenture and Section 310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10.08</w:t>
      </w:r>
      <w:r>
        <w:rPr>
          <w:rFonts w:ascii="Times New Roman;Times;Serif" w:hAnsi="Times New Roman;Times;Serif"/>
          <w:b w:val="false"/>
          <w:i w:val="false"/>
          <w:smallCaps/>
          <w:sz w:val="20"/>
        </w:rPr>
        <w:t>        </w:t>
      </w:r>
      <w:r>
        <w:rPr>
          <w:rFonts w:ascii="Times New Roman;Times;Serif" w:hAnsi="Times New Roman;Times;Serif"/>
          <w:b/>
          <w:i w:val="false"/>
          <w:smallCaps/>
          <w:sz w:val="20"/>
        </w:rPr>
        <w:t>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Section 10.08</w:t>
      </w:r>
      <w:r>
        <w:rPr>
          <w:rFonts w:ascii="Times New Roman;Times;Serif" w:hAnsi="Times New Roman;Times;Serif"/>
          <w:b w:val="false"/>
          <w:i w:val="false"/>
          <w:caps w:val="false"/>
          <w:smallCaps w:val="false"/>
          <w:sz w:val="20"/>
        </w:rPr>
        <w:t xml:space="preserve"> will, with respect to the Notes, supersede Section 10.16 of the Base Indenture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each Note Agent will not incur any liability for not performing any act or fulfilling any duty, obligation or responsibility under the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10.09</w:t>
      </w:r>
      <w:r>
        <w:rPr>
          <w:rFonts w:ascii="Times New Roman;Times;Serif" w:hAnsi="Times New Roman;Times;Serif"/>
          <w:b w:val="false"/>
          <w:i w:val="false"/>
          <w:smallCaps/>
          <w:sz w:val="20"/>
        </w:rPr>
        <w:t>        </w:t>
      </w:r>
      <w:r>
        <w:rPr>
          <w:rFonts w:ascii="Times New Roman;Times;Serif" w:hAnsi="Times New Roman;Times;Serif"/>
          <w:b/>
          <w:i w:val="false"/>
          <w:smallCaps/>
          <w:sz w:val="20"/>
        </w:rPr>
        <w:t>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10.10</w:t>
      </w:r>
      <w:r>
        <w:rPr>
          <w:rFonts w:ascii="Times New Roman;Times;Serif" w:hAnsi="Times New Roman;Times;Serif"/>
          <w:b w:val="false"/>
          <w:i w:val="false"/>
          <w:smallCaps/>
          <w:sz w:val="20"/>
        </w:rPr>
        <w:t>        </w:t>
      </w:r>
      <w:r>
        <w:rPr>
          <w:rFonts w:ascii="Times New Roman;Times;Serif" w:hAnsi="Times New Roman;Times;Serif"/>
          <w:b/>
          <w:i w:val="false"/>
          <w:smallCaps/>
          <w:sz w:val="20"/>
        </w:rPr>
        <w:t>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the Company will be responsible for making all calculations called for under the Indenture or the Notes, including determinations of the Last Reported Sale Price, the Daily Conversion Value, the Daily Cash Amount, the Daily Share Amount, the Daily VWAP, the Trading Price, accrued interest on the Notes, including any Special Interest, the Redemption Price, the Fundamental Change Repurchase Price and the Conversion Rate (including adjustments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10.11</w:t>
      </w:r>
      <w:r>
        <w:rPr>
          <w:rFonts w:ascii="Times New Roman;Times;Serif" w:hAnsi="Times New Roman;Times;Serif"/>
          <w:b w:val="false"/>
          <w:i w:val="false"/>
          <w:smallCaps/>
          <w:sz w:val="20"/>
        </w:rPr>
        <w:t>        </w:t>
      </w:r>
      <w:r>
        <w:rPr>
          <w:rFonts w:ascii="Times New Roman;Times;Serif" w:hAnsi="Times New Roman;Times;Serif"/>
          <w:b/>
          <w:i w:val="false"/>
          <w:smallCaps/>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the Indenture or the Notes is invalid, illegal or unenforceable, then the validity, legality and enforceability of the remaining provisions of the Indenture or the Notes will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10.12</w:t>
      </w:r>
      <w:r>
        <w:rPr>
          <w:rFonts w:ascii="Times New Roman;Times;Serif" w:hAnsi="Times New Roman;Times;Serif"/>
          <w:b w:val="false"/>
          <w:i w:val="false"/>
          <w:smallCaps/>
          <w:sz w:val="20"/>
        </w:rPr>
        <w:t>        </w:t>
      </w:r>
      <w:r>
        <w:rPr>
          <w:rFonts w:ascii="Times New Roman;Times;Serif" w:hAnsi="Times New Roman;Times;Serif"/>
          <w:b/>
          <w:i w:val="false"/>
          <w:smallCaps/>
          <w:sz w:val="20"/>
        </w:rPr>
        <w:t>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Supplemental Indenture. Each signed copy will be an original, and all of them together represent the same agreement. Delivery of an executed counterpart of this Supplemental Indenture by facsimile, electronically in portable document format or in any other format will be effective as delivery of a manually or electronically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10.13</w:t>
      </w:r>
      <w:r>
        <w:rPr>
          <w:rFonts w:ascii="Times New Roman;Times;Serif" w:hAnsi="Times New Roman;Times;Serif"/>
          <w:b w:val="false"/>
          <w:i w:val="false"/>
          <w:smallCaps/>
          <w:sz w:val="20"/>
        </w:rPr>
        <w:t>        </w:t>
      </w:r>
      <w:r>
        <w:rPr>
          <w:rFonts w:ascii="Times New Roman;Times;Serif" w:hAnsi="Times New Roman;Times;Serif"/>
          <w:b/>
          <w:i w:val="false"/>
          <w:smallCaps/>
          <w:sz w:val="20"/>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headings of the Articles and Sections of this Supplemental Indenture have been inserted for convenience of reference only, are not to be considered a part of the Indenture and will in no way modify or restrict any of the terms or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10.14</w:t>
      </w:r>
      <w:r>
        <w:rPr>
          <w:rFonts w:ascii="Times New Roman;Times;Serif" w:hAnsi="Times New Roman;Times;Serif"/>
          <w:b w:val="false"/>
          <w:i w:val="false"/>
          <w:smallCaps/>
          <w:sz w:val="20"/>
        </w:rPr>
        <w:t>        </w:t>
      </w:r>
      <w:r>
        <w:rPr>
          <w:rFonts w:ascii="Times New Roman;Times;Serif" w:hAnsi="Times New Roman;Times;Serif"/>
          <w:b/>
          <w:i w:val="false"/>
          <w:smallCaps/>
          <w:sz w:val="20"/>
        </w:rPr>
        <w:t>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agrees, and each beneficial owner of an interest in a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10.15</w:t>
      </w:r>
      <w:r>
        <w:rPr>
          <w:rFonts w:ascii="Times New Roman;Times;Serif" w:hAnsi="Times New Roman;Times;Serif"/>
          <w:b w:val="false"/>
          <w:i w:val="false"/>
          <w:smallCaps/>
          <w:sz w:val="20"/>
        </w:rPr>
        <w:t>        </w:t>
      </w:r>
      <w:r>
        <w:rPr>
          <w:rFonts w:ascii="Times New Roman;Times;Serif" w:hAnsi="Times New Roman;Times;Serif"/>
          <w:b/>
          <w:i w:val="false"/>
          <w:smallCaps/>
          <w:sz w:val="20"/>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the Indenture limits, qualifies or conflicts with another provision that is required or deemed to be included in the Indenture by the Trust Indenture Act, such required or deemed provision of the Trust Indenture Act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to this Supplemental Indenture have caused this Supplemental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704" w:type="dxa"/>
        <w:jc w:val="left"/>
        <w:tblInd w:w="0" w:type="dxa"/>
        <w:tblLayout w:type="fixed"/>
        <w:tblCellMar>
          <w:top w:w="0" w:type="dxa"/>
          <w:left w:w="0" w:type="dxa"/>
          <w:bottom w:w="0" w:type="dxa"/>
          <w:right w:w="0" w:type="dxa"/>
        </w:tblCellMar>
      </w:tblPr>
      <w:tblGrid>
        <w:gridCol w:w="75"/>
        <w:gridCol w:w="795"/>
        <w:gridCol w:w="4834"/>
      </w:tblGrid>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Zenas BioPharma, Inc.</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Leon O. Moulder, Jr.</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Leon O. Moulder, Jr.</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J. Gomes</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Steven J. Gomes</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First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Global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Non-Affiliate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Convertible Senior Note due 2032</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895"/>
        <w:gridCol w:w="2360"/>
      </w:tblGrid>
      <w:tr>
        <w:trPr/>
        <w:tc>
          <w:tcPr>
            <w:tcW w:w="1895" w:type="dxa"/>
            <w:tcBorders/>
            <w:vAlign w:val="center"/>
          </w:tcPr>
          <w:p>
            <w:pPr>
              <w:pStyle w:val="TableContents"/>
              <w:bidi w:val="0"/>
              <w:spacing w:before="0" w:after="283"/>
              <w:ind w:left="0" w:right="0" w:hanging="200"/>
              <w:jc w:val="both"/>
              <w:rPr/>
            </w:pPr>
            <w:r>
              <w:rPr/>
              <w:t>CUSIP No.:    [___]</w:t>
            </w:r>
          </w:p>
        </w:tc>
        <w:tc>
          <w:tcPr>
            <w:tcW w:w="2360" w:type="dxa"/>
            <w:tcBorders/>
            <w:vAlign w:val="center"/>
          </w:tcPr>
          <w:p>
            <w:pPr>
              <w:pStyle w:val="TableContents"/>
              <w:bidi w:val="0"/>
              <w:spacing w:before="0" w:after="283"/>
              <w:jc w:val="right"/>
              <w:rPr/>
            </w:pPr>
            <w:r>
              <w:rPr/>
              <w:t>        </w:t>
            </w:r>
            <w:r>
              <w:rPr/>
              <w:t>Certificate No. [___]</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 a Delaware corporation, for value received, promises to pay to [Cede &amp; Co.], or its registered assigns, the principal sum of [___] dollars ($[___]) [(as revised by the attached Schedule of Exchanges of Interests in the Global Note)]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on April 1, 2032 and to pay interest thereon, as provided in the Indenture referred to below, until the principal and all accrued and unpaid interest are paid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April 1 and October 1 of each year, commencing on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Dates:        March 15 and September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Insert bracketed language for Global Notes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Zenas BioPharma, Inc. has caused this instrument to be duly executed as of the date set forth below.</w:t>
      </w:r>
    </w:p>
    <w:p>
      <w:pPr>
        <w:pStyle w:val="TextBody"/>
        <w:bidi w:val="0"/>
        <w:spacing w:before="0" w:after="0"/>
        <w:ind w:left="0" w:right="0" w:firstLine="720"/>
        <w:jc w:val="both"/>
        <w:rPr>
          <w:caps w:val="false"/>
          <w:smallCaps w:val="false"/>
        </w:rPr>
      </w:pPr>
      <w:r>
        <w:rPr>
          <w:caps w:val="false"/>
          <w:smallCaps w:val="false"/>
        </w:rPr>
        <w:t> </w:t>
      </w:r>
    </w:p>
    <w:tbl>
      <w:tblPr>
        <w:tblW w:w="2709" w:type="dxa"/>
        <w:jc w:val="left"/>
        <w:tblInd w:w="0" w:type="dxa"/>
        <w:tblLayout w:type="fixed"/>
        <w:tblCellMar>
          <w:top w:w="0" w:type="dxa"/>
          <w:left w:w="0" w:type="dxa"/>
          <w:bottom w:w="0" w:type="dxa"/>
          <w:right w:w="0" w:type="dxa"/>
        </w:tblCellMar>
      </w:tblPr>
      <w:tblGrid>
        <w:gridCol w:w="515"/>
        <w:gridCol w:w="60"/>
        <w:gridCol w:w="60"/>
        <w:gridCol w:w="709"/>
        <w:gridCol w:w="1365"/>
      </w:tblGrid>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Zenas Biopharma, Inc.</w:t>
            </w:r>
          </w:p>
        </w:tc>
      </w:tr>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sz w:val="20"/>
              </w:rPr>
            </w:pPr>
            <w:r>
              <w:rPr>
                <w:sz w:val="20"/>
              </w:rPr>
              <w:t>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sz w:val="20"/>
              </w:rPr>
            </w:pPr>
            <w:r>
              <w:rPr>
                <w:sz w:val="20"/>
              </w:rPr>
              <w:t>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5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caps w:val="false"/>
                <w:smallCaps w:val="false"/>
              </w:rPr>
            </w:pPr>
            <w:r>
              <w:rPr>
                <w:caps w:val="false"/>
                <w:smallCaps w:val="false"/>
              </w:rPr>
              <w:t> </w:t>
            </w:r>
          </w:p>
        </w:tc>
        <w:tc>
          <w:tcPr>
            <w:tcW w:w="1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515"/>
        <w:gridCol w:w="60"/>
        <w:gridCol w:w="60"/>
        <w:gridCol w:w="320"/>
        <w:gridCol w:w="1790"/>
      </w:tblGrid>
      <w:tr>
        <w:trPr/>
        <w:tc>
          <w:tcPr>
            <w:tcW w:w="515" w:type="dxa"/>
            <w:tcBorders/>
            <w:vAlign w:val="center"/>
          </w:tcPr>
          <w:p>
            <w:pPr>
              <w:pStyle w:val="TableContents"/>
              <w:bidi w:val="0"/>
              <w:spacing w:before="0" w:after="283"/>
              <w:jc w:val="left"/>
              <w:rPr>
                <w:sz w:val="20"/>
              </w:rPr>
            </w:pPr>
            <w:r>
              <w:rPr>
                <w:sz w:val="20"/>
              </w:rPr>
              <w:t>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Zenas biopharma,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Convertible Senior Note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Zenas BioPharma,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its 2.50%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dated as of March 31, 2026, and a first supplemental indenture (as the same may be amended from time to time,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the Base Indenture, as amended and supplemented by the Supplemental Indenture, and as the same may be further amended or supplemented from time to time with respect to the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March 31, 2026, each between the Company and U.S. Bank Trust Company, National Association, as trustee. Capitalized terms used in this Note without definition have the respective meanings ascribed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This Note will accrue interest at a rate and in the manner set forth in Section 2.04 of the Supplemental Indenture. Stated Interest on this Note will begin to accrue from, and including,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Times New Roman;Times;Serif" w:hAnsi="Times New Roman;Times;Serif"/>
          <w:b/>
          <w:i w:val="false"/>
          <w:caps w:val="false"/>
          <w:smallCaps w:val="false"/>
          <w:sz w:val="20"/>
        </w:rPr>
        <w:t>.            Maturity</w:t>
      </w:r>
      <w:r>
        <w:rPr>
          <w:rFonts w:ascii="Times New Roman;Times;Serif" w:hAnsi="Times New Roman;Times;Serif"/>
          <w:b w:val="false"/>
          <w:i w:val="false"/>
          <w:caps w:val="false"/>
          <w:smallCaps w:val="false"/>
          <w:sz w:val="20"/>
        </w:rPr>
        <w:t>. This Note will mature on April 1, 2032, unless earlier repurchased, redeemed or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Cash amounts due on this Note will be paid in the manner set forth in ‎Section 2.03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Persons Deemed Owners</w:t>
      </w:r>
      <w:r>
        <w:rPr>
          <w:rFonts w:ascii="Times New Roman;Times;Serif" w:hAnsi="Times New Roman;Times;Serif"/>
          <w:b w:val="false"/>
          <w:i w:val="false"/>
          <w:caps w:val="false"/>
          <w:smallCaps w:val="false"/>
          <w:sz w:val="20"/>
        </w:rPr>
        <w:t>. The Holder of this Note will be treated as the owner of this Note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Denominations; Transfers and Exchanges</w:t>
      </w:r>
      <w:r>
        <w:rPr>
          <w:rFonts w:ascii="Times New Roman;Times;Serif" w:hAnsi="Times New Roman;Times;Serif"/>
          <w:b w:val="false"/>
          <w:i w:val="false"/>
          <w:caps w:val="false"/>
          <w:smallCaps w:val="false"/>
          <w:sz w:val="20"/>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Right of the Company to Redeem the Notes</w:t>
      </w:r>
      <w:r>
        <w:rPr>
          <w:rFonts w:ascii="Times New Roman;Times;Serif" w:hAnsi="Times New Roman;Times;Serif"/>
          <w:b w:val="false"/>
          <w:i w:val="false"/>
          <w:caps w:val="false"/>
          <w:smallCaps w:val="false"/>
          <w:sz w:val="20"/>
        </w:rPr>
        <w:t>. The Company will have the right to redeem the Notes for cash in the manner, and subject to the terms, set forth in ‎Section 4.03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Holder of this Note may Convert this Note into Conversion Consideration in the manner, and subject to the terms, set forth in ‎Article 5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r>
        <w:rPr>
          <w:rFonts w:ascii="Times New Roman;Times;Serif" w:hAnsi="Times New Roman;Times;Serif"/>
          <w:b/>
          <w:i w:val="false"/>
          <w:caps w:val="false"/>
          <w:smallCaps w:val="false"/>
          <w:sz w:val="20"/>
        </w:rPr>
        <w:t>.            When the Company May Merge, Etc</w:t>
      </w:r>
      <w:r>
        <w:rPr>
          <w:rFonts w:ascii="Times New Roman;Times;Serif" w:hAnsi="Times New Roman;Times;Serif"/>
          <w:b w:val="false"/>
          <w:i w:val="false"/>
          <w:caps w:val="false"/>
          <w:smallCaps w:val="false"/>
          <w:sz w:val="20"/>
        </w:rPr>
        <w:t>. ‎Article 6 of the Supplemental Indenture places limited restrictions on the Company’s ability to be a party to a Business Combination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Defaults and Remedies</w:t>
      </w:r>
      <w:r>
        <w:rPr>
          <w:rFonts w:ascii="Times New Roman;Times;Serif" w:hAnsi="Times New Roman;Times;Serif"/>
          <w:b w:val="false"/>
          <w:i w:val="false"/>
          <w:caps w:val="false"/>
          <w:smallCaps w:val="false"/>
          <w:sz w:val="20"/>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Amendments, Supplements and Waivers</w:t>
      </w:r>
      <w:r>
        <w:rPr>
          <w:rFonts w:ascii="Times New Roman;Times;Serif" w:hAnsi="Times New Roman;Times;Serif"/>
          <w:b w:val="false"/>
          <w:i w:val="false"/>
          <w:caps w:val="false"/>
          <w:smallCaps w:val="false"/>
          <w:sz w:val="20"/>
        </w:rPr>
        <w:t>. The Company and the Trustee may amend or supplement the Indenture or the Notes or waive compliance with any provision of the Indenture or the Notes in the manner, and subject to the terms, set forth in ‎‎Article 8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Authentication</w:t>
      </w:r>
      <w:r>
        <w:rPr>
          <w:rFonts w:ascii="Times New Roman;Times;Serif" w:hAnsi="Times New Roman;Times;Serif"/>
          <w:b w:val="false"/>
          <w:i w:val="false"/>
          <w:caps w:val="false"/>
          <w:smallCaps w:val="false"/>
          <w:sz w:val="20"/>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NOTE, AND ANY CLAIM, CONTROVERSY OR DISPUTE ARISING UNDER OR RELATED TO THIS NOTE, WILL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 Winter Street, Suite 250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Massachusetts 02451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425"/>
        <w:gridCol w:w="60"/>
        <w:gridCol w:w="1790"/>
        <w:gridCol w:w="60"/>
        <w:gridCol w:w="1910"/>
        <w:gridCol w:w="60"/>
        <w:gridCol w:w="1865"/>
      </w:tblGrid>
      <w:tr>
        <w:trPr/>
        <w:tc>
          <w:tcPr>
            <w:tcW w:w="4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Increase </w:t>
              <w:br/>
              <w:t xml:space="preserve">(Decrease) in </w:t>
              <w:br/>
              <w:t xml:space="preserve">Principal Amount of </w:t>
              <w:br/>
              <w:t>this Global Note</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br/>
              <w:t xml:space="preserve">this Global Note After </w:t>
              <w:br/>
              <w:t xml:space="preserve">Such Increase </w:t>
              <w:br/>
              <w:t>(Decrease)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 Signatory</w:t>
              <w:br/>
              <w:t>of Trustee</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Insert for Global Notes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Convertible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the Company to Convert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 *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pStyle w:val="TextBody"/>
        <w:bidi w:val="0"/>
        <w:spacing w:before="0" w:after="0"/>
        <w:ind w:left="0" w:right="0" w:hanging="0"/>
        <w:jc w:val="both"/>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470"/>
        <w:gridCol w:w="60"/>
        <w:gridCol w:w="60"/>
        <w:gridCol w:w="1130"/>
        <w:gridCol w:w="1979"/>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1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1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Convertible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 *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470"/>
        <w:gridCol w:w="60"/>
        <w:gridCol w:w="60"/>
        <w:gridCol w:w="1130"/>
        <w:gridCol w:w="1979"/>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1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1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Convertible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 identified below assigns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entire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 * aggregate principal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and Certificate No.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and all rights thereunder, to:</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2210"/>
        <w:gridCol w:w="75"/>
      </w:tblGrid>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tax id.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the Company. The agent may substitute another to act for him/her.</w:t>
      </w:r>
    </w:p>
    <w:p>
      <w:pPr>
        <w:pStyle w:val="TextBody"/>
        <w:bidi w:val="0"/>
        <w:spacing w:before="0" w:after="0"/>
        <w:ind w:left="0" w:right="0" w:hanging="0"/>
        <w:jc w:val="both"/>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470"/>
        <w:gridCol w:w="60"/>
        <w:gridCol w:w="60"/>
        <w:gridCol w:w="1130"/>
        <w:gridCol w:w="1979"/>
      </w:tblGrid>
      <w:tr>
        <w:trPr/>
        <w:tc>
          <w:tcPr>
            <w:tcW w:w="470" w:type="dxa"/>
            <w:tcBorders/>
            <w:vAlign w:val="center"/>
          </w:tcPr>
          <w:p>
            <w:pPr>
              <w:pStyle w:val="TableContents"/>
              <w:bidi w:val="0"/>
              <w:spacing w:before="0" w:after="283"/>
              <w:jc w:val="left"/>
              <w:rPr>
                <w:sz w:val="20"/>
              </w:rPr>
            </w:pPr>
            <w:r>
              <w:rPr>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1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1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Must be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A-10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GLOBAL NOTE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SUPPLEMENTAL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B1-1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NON-AFFILIATE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1933, AS AMENDED) OF THE COMPANY OR PERSON OR ENTITY THAT WAS AN AFFILIATE (AS DEFINED UNDER RULE 144 UNDER THE SECURITIES ACT OF 1933, AS AMENDED) OF THE COMPANY WITHIN THE THREE MONTHS IMMEDIATELY PRECEDING, MAY PURCHASE OR OTHERWISE ACQUIRE THIS NOTE OR ANY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B2-1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10711d1_ex5-1.htm"/>
      <w:bookmarkStart w:id="33" w:name="kstm2610711d1_ex51"/>
      <w:bookmarkEnd w:id="32"/>
      <w:bookmarkEnd w:id="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tbl>
      <w:tblPr>
        <w:tblW w:w="2901" w:type="dxa"/>
        <w:jc w:val="left"/>
        <w:tblInd w:w="0" w:type="dxa"/>
        <w:tblLayout w:type="fixed"/>
        <w:tblCellMar>
          <w:top w:w="0" w:type="dxa"/>
          <w:left w:w="0" w:type="dxa"/>
          <w:bottom w:w="0" w:type="dxa"/>
          <w:right w:w="0" w:type="dxa"/>
        </w:tblCellMar>
      </w:tblPr>
      <w:tblGrid>
        <w:gridCol w:w="586"/>
        <w:gridCol w:w="2315"/>
      </w:tblGrid>
      <w:tr>
        <w:trPr/>
        <w:tc>
          <w:tcPr>
            <w:tcW w:w="586" w:type="dxa"/>
            <w:tcBorders/>
            <w:vAlign w:val="center"/>
          </w:tcPr>
          <w:p>
            <w:pPr>
              <w:pStyle w:val="TableContents"/>
              <w:bidi w:val="0"/>
              <w:spacing w:before="0" w:after="283"/>
              <w:jc w:val="left"/>
              <w:rPr>
                <w:caps w:val="false"/>
                <w:smallCaps w:val="false"/>
              </w:rPr>
            </w:pPr>
            <w:r>
              <w:rPr>
                <w:caps w:val="false"/>
                <w:smallCaps w:val="false"/>
              </w:rPr>
              <w:t> </w:t>
            </w:r>
          </w:p>
        </w:tc>
        <w:tc>
          <w:tcPr>
            <w:tcW w:w="231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324485" cy="4070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4485" cy="407035"/>
                          </a:xfrm>
                          <a:prstGeom prst="rect">
                            <a:avLst/>
                          </a:prstGeom>
                        </pic:spPr>
                      </pic:pic>
                    </a:graphicData>
                  </a:graphic>
                </wp:inline>
              </w:drawing>
            </w:r>
            <w:r>
              <w:rPr>
                <w:caps w:val="false"/>
                <w:smallCaps w:val="false"/>
              </w:rPr>
              <w:t> </w:t>
            </w:r>
          </w:p>
        </w:tc>
        <w:tc>
          <w:tcPr>
            <w:tcW w:w="2315" w:type="dxa"/>
            <w:tcBorders/>
            <w:vAlign w:val="center"/>
          </w:tcPr>
          <w:p>
            <w:pPr>
              <w:pStyle w:val="TableContents"/>
              <w:bidi w:val="0"/>
              <w:jc w:val="left"/>
              <w:rPr>
                <w:sz w:val="20"/>
              </w:rPr>
            </w:pPr>
            <w:r>
              <w:rPr>
                <w:sz w:val="20"/>
              </w:rPr>
              <w:t>ROPES &amp; GRAY LLP</w:t>
            </w:r>
          </w:p>
          <w:p>
            <w:pPr>
              <w:pStyle w:val="TableContents"/>
              <w:bidi w:val="0"/>
              <w:jc w:val="left"/>
              <w:rPr>
                <w:sz w:val="20"/>
              </w:rPr>
            </w:pPr>
            <w:r>
              <w:rPr>
                <w:sz w:val="20"/>
              </w:rPr>
              <w:t>800 Boylston Street</w:t>
            </w:r>
          </w:p>
          <w:p>
            <w:pPr>
              <w:pStyle w:val="TableContents"/>
              <w:bidi w:val="0"/>
              <w:jc w:val="left"/>
              <w:rPr>
                <w:sz w:val="20"/>
              </w:rPr>
            </w:pPr>
            <w:r>
              <w:rPr>
                <w:sz w:val="20"/>
              </w:rPr>
              <w:t>Boston, MA 02199</w:t>
            </w:r>
          </w:p>
          <w:p>
            <w:pPr>
              <w:pStyle w:val="TableContents"/>
              <w:bidi w:val="0"/>
              <w:spacing w:before="0" w:after="283"/>
              <w:jc w:val="left"/>
              <w:rPr/>
            </w:pPr>
            <w:r>
              <w:rPr>
                <w:sz w:val="20"/>
              </w:rPr>
              <w:t>WWW.ROPESGRAY.COM</w:t>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Winter Street, Suite 250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Registration Statement on Form S-3 (File No. 333-290777)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Zenas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issuance and sale of up to $230,000,000 aggregate principal amount of 2.50% Convertible Senior Notes due 2032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and shares of the Company’s common stock, $0.0001 par value per share, issuable upon conversion of the Notes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pursuant to the above-referenced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Notes are being issued under an Indenture dated March 31,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as supplemented by a First Supplemental Indenture dated March 31, 2026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by and between the Company and U.S. Bank Trust Company, National Association,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Registration Statement and the Indenture. We have also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matters governed by the laws of the State of New York and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qualifications and limitations set forth below,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665" w:type="dxa"/>
        <w:jc w:val="left"/>
        <w:tblInd w:w="0" w:type="dxa"/>
        <w:tblLayout w:type="fixed"/>
        <w:tblCellMar>
          <w:top w:w="0" w:type="dxa"/>
          <w:left w:w="0" w:type="dxa"/>
          <w:bottom w:w="0" w:type="dxa"/>
          <w:right w:w="0" w:type="dxa"/>
        </w:tblCellMar>
      </w:tblPr>
      <w:tblGrid>
        <w:gridCol w:w="2195"/>
        <w:gridCol w:w="410"/>
        <w:gridCol w:w="60"/>
      </w:tblGrid>
      <w:tr>
        <w:trPr/>
        <w:tc>
          <w:tcPr>
            <w:tcW w:w="2195" w:type="dxa"/>
            <w:tcBorders/>
            <w:vAlign w:val="center"/>
          </w:tcPr>
          <w:p>
            <w:pPr>
              <w:pStyle w:val="TableContents"/>
              <w:bidi w:val="0"/>
              <w:spacing w:before="0" w:after="283"/>
              <w:ind w:left="0" w:right="0" w:hanging="200"/>
              <w:jc w:val="left"/>
              <w:rPr/>
            </w:pPr>
            <w:r>
              <w:rPr/>
              <w:t>Zenas BioPharma, Inc.</w:t>
            </w:r>
          </w:p>
        </w:tc>
        <w:tc>
          <w:tcPr>
            <w:tcW w:w="410" w:type="dxa"/>
            <w:tcBorders/>
            <w:vAlign w:val="center"/>
          </w:tcPr>
          <w:p>
            <w:pPr>
              <w:pStyle w:val="TableContents"/>
              <w:bidi w:val="0"/>
              <w:spacing w:before="0" w:after="283"/>
              <w:ind w:left="0" w:right="0" w:hanging="200"/>
              <w:jc w:val="center"/>
              <w:rPr/>
            </w:pPr>
            <w:r>
              <w:rPr/>
              <w:t>- 2 -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the Notes have been duly executed and authenticated in accordance with the provisions of the Indenture and have been delivered against receipt of payment therefor, the Notes will constitute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issued upon conversion of the Notes as provided in the Indenture and assuming a sufficient number of Shares are at the time available for issuance, the Shares will have been duly authorized and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above are subject to (i) bankruptcy, insolvency, reorganization, moratorium, fraudulent conveyance and similar laws affecting the rights and remedies of creditors generally and (ii) general principles of equity. Our opinions are also subject to the qualification that the enforceability of provisions in the Indenture providing for indemnification or contribution, broadly worded waivers, waivers of rights to damages or defenses, waivers of unknown or future claims, and waivers of statutory, regulatory or constitutional rights may be limited on public policy or statutory grounds.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of this opinion letter as an exhibit to the Registration Statement and to the use of our name under the caption “Legal Matters” in the Prospectus. By giving the foregoing consent, we do not admit that we come within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Ropes &amp; Gray LLP</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34" w:name="tm2610711d1_ex5-2.htm"/>
      <w:bookmarkStart w:id="35" w:name="kstm2610711d1_ex52"/>
      <w:bookmarkEnd w:id="34"/>
      <w:bookmarkEnd w:id="3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tbl>
      <w:tblPr>
        <w:tblW w:w="3515" w:type="dxa"/>
        <w:jc w:val="left"/>
        <w:tblInd w:w="0" w:type="dxa"/>
        <w:tblLayout w:type="fixed"/>
        <w:tblCellMar>
          <w:top w:w="0" w:type="dxa"/>
          <w:left w:w="0" w:type="dxa"/>
          <w:bottom w:w="0" w:type="dxa"/>
          <w:right w:w="0" w:type="dxa"/>
        </w:tblCellMar>
      </w:tblPr>
      <w:tblGrid>
        <w:gridCol w:w="1260"/>
        <w:gridCol w:w="2255"/>
      </w:tblGrid>
      <w:tr>
        <w:trPr/>
        <w:tc>
          <w:tcPr>
            <w:tcW w:w="126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790575" cy="1000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90575" cy="1000125"/>
                          </a:xfrm>
                          <a:prstGeom prst="rect">
                            <a:avLst/>
                          </a:prstGeom>
                        </pic:spPr>
                      </pic:pic>
                    </a:graphicData>
                  </a:graphic>
                </wp:inline>
              </w:drawing>
            </w:r>
          </w:p>
        </w:tc>
        <w:tc>
          <w:tcPr>
            <w:tcW w:w="22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PRUDENTIAL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BOYLSTON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02199-3600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WWW.ROPESGRAY.COM</w:t>
            </w:r>
          </w:p>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Zenas BioPharma, Inc.</w:t>
      </w:r>
    </w:p>
    <w:p>
      <w:pPr>
        <w:pStyle w:val="TextBody"/>
        <w:bidi w:val="0"/>
        <w:spacing w:before="0" w:after="283"/>
        <w:jc w:val="left"/>
        <w:rPr/>
      </w:pPr>
      <w:r>
        <w:rPr/>
        <w:t>852 Winter Street, Suite 250</w:t>
      </w:r>
    </w:p>
    <w:p>
      <w:pPr>
        <w:pStyle w:val="TextBody"/>
        <w:bidi w:val="0"/>
        <w:spacing w:before="0" w:after="283"/>
        <w:jc w:val="left"/>
        <w:rPr/>
      </w:pPr>
      <w:r>
        <w:rPr/>
        <w:t>Waltham, MA 02451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3"/>
        <w:gridCol w:w="9548"/>
      </w:tblGrid>
      <w:tr>
        <w:trPr/>
        <w:tc>
          <w:tcPr>
            <w:tcW w:w="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pPr>
            <w:r>
              <w:rPr/>
              <w:t>Re:</w:t>
            </w:r>
          </w:p>
        </w:tc>
        <w:tc>
          <w:tcPr>
            <w:tcW w:w="9548" w:type="dxa"/>
            <w:tcBorders/>
            <w:vAlign w:val="center"/>
          </w:tcPr>
          <w:p>
            <w:pPr>
              <w:pStyle w:val="TableContents"/>
              <w:bidi w:val="0"/>
              <w:spacing w:before="0" w:after="283"/>
              <w:jc w:val="left"/>
              <w:rPr/>
            </w:pPr>
            <w:r>
              <w:rPr/>
              <w:t>Registration Statement on Form S-3 (File No. 333-290777)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Zenas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issuance and sale of up to 5,750,000 shares of the common stock, $0.0001 par value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 pursuant to the above-referenced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Shares are being sold pursuant to an underwriting agreement, dated the date hereof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among the Company and the underwriters named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below are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and, when issued and delivered pursuant to the Underwriting Agreement against payment of the consideration set forth therein,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290" w:type="dxa"/>
        <w:jc w:val="left"/>
        <w:tblInd w:w="0" w:type="dxa"/>
        <w:tblLayout w:type="fixed"/>
        <w:tblCellMar>
          <w:top w:w="0" w:type="dxa"/>
          <w:left w:w="0" w:type="dxa"/>
          <w:bottom w:w="0" w:type="dxa"/>
          <w:right w:w="0" w:type="dxa"/>
        </w:tblCellMar>
      </w:tblPr>
      <w:tblGrid>
        <w:gridCol w:w="1835"/>
        <w:gridCol w:w="395"/>
        <w:gridCol w:w="60"/>
      </w:tblGrid>
      <w:tr>
        <w:trPr/>
        <w:tc>
          <w:tcPr>
            <w:tcW w:w="1835" w:type="dxa"/>
            <w:tcBorders/>
            <w:vAlign w:val="center"/>
          </w:tcPr>
          <w:p>
            <w:pPr>
              <w:pStyle w:val="TableContents"/>
              <w:bidi w:val="0"/>
              <w:spacing w:before="0" w:after="283"/>
              <w:ind w:left="0" w:right="0" w:hanging="200"/>
              <w:jc w:val="left"/>
              <w:rPr>
                <w:sz w:val="20"/>
              </w:rPr>
            </w:pPr>
            <w:r>
              <w:rPr>
                <w:sz w:val="20"/>
              </w:rPr>
              <w:t>Zenas BioPharma, Inc.</w:t>
            </w:r>
          </w:p>
        </w:tc>
        <w:tc>
          <w:tcPr>
            <w:tcW w:w="395" w:type="dxa"/>
            <w:tcBorders/>
            <w:vAlign w:val="center"/>
          </w:tcPr>
          <w:p>
            <w:pPr>
              <w:pStyle w:val="TableContents"/>
              <w:bidi w:val="0"/>
              <w:spacing w:before="0" w:after="283"/>
              <w:jc w:val="center"/>
              <w:rPr/>
            </w:pPr>
            <w:r>
              <w:rPr/>
              <w:t> </w:t>
            </w:r>
            <w:r>
              <w:rPr>
                <w:sz w:val="20"/>
              </w:rPr>
              <w:t>- 2 -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Ropes &amp; Gray LLP</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117039</Words>
  <Characters>606213</Characters>
  <CharactersWithSpaces>729980</CharactersWithSpaces>
  <Paragraphs>6825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