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12,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9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ZENAS BIOPHARMA, INC.</w:t>
      </w:r>
    </w:p>
    <w:p>
      <w:pPr>
        <w:spacing w:after="0" w:line="40" w:lineRule="exact"/>
        <w:rPr>
          <w:sz w:val="24"/>
          <w:szCs w:val="24"/>
          <w:color w:val="auto"/>
        </w:rPr>
      </w:pPr>
    </w:p>
    <w:tbl>
      <w:tblPr>
        <w:tblLayout w:type="fixed"/>
        <w:tblInd w:w="64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47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260" w:type="dxa"/>
            <w:vAlign w:val="bottom"/>
          </w:tcPr>
          <w:p>
            <w:pPr>
              <w:spacing w:after="0"/>
              <w:rPr>
                <w:sz w:val="20"/>
                <w:szCs w:val="20"/>
                <w:color w:val="auto"/>
              </w:rPr>
            </w:pPr>
          </w:p>
        </w:tc>
      </w:tr>
      <w:tr>
        <w:trPr>
          <w:trHeight w:val="386"/>
        </w:trPr>
        <w:tc>
          <w:tcPr>
            <w:tcW w:w="26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7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2834</w:t>
            </w:r>
          </w:p>
        </w:tc>
        <w:tc>
          <w:tcPr>
            <w:tcW w:w="226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93-2749244</w:t>
            </w:r>
          </w:p>
        </w:tc>
      </w:tr>
      <w:tr>
        <w:trPr>
          <w:trHeight w:val="216"/>
        </w:trPr>
        <w:tc>
          <w:tcPr>
            <w:tcW w:w="26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47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(Primary Standard Industrial</w:t>
            </w:r>
          </w:p>
        </w:tc>
        <w:tc>
          <w:tcPr>
            <w:tcW w:w="22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6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47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Classification Code Number)</w:t>
            </w:r>
          </w:p>
        </w:tc>
        <w:tc>
          <w:tcPr>
            <w:tcW w:w="226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2680" w:type="dxa"/>
            <w:vAlign w:val="bottom"/>
          </w:tcPr>
          <w:p>
            <w:pPr>
              <w:spacing w:after="0"/>
              <w:rPr>
                <w:sz w:val="24"/>
                <w:szCs w:val="24"/>
                <w:color w:val="auto"/>
              </w:rPr>
            </w:pPr>
          </w:p>
        </w:tc>
        <w:tc>
          <w:tcPr>
            <w:tcW w:w="47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1000 Winter Street, Suite 1200</w:t>
            </w:r>
          </w:p>
        </w:tc>
        <w:tc>
          <w:tcPr>
            <w:tcW w:w="2260" w:type="dxa"/>
            <w:vAlign w:val="bottom"/>
          </w:tcPr>
          <w:p>
            <w:pPr>
              <w:spacing w:after="0"/>
              <w:rPr>
                <w:sz w:val="24"/>
                <w:szCs w:val="24"/>
                <w:color w:val="auto"/>
              </w:rPr>
            </w:pPr>
          </w:p>
        </w:tc>
      </w:tr>
      <w:tr>
        <w:trPr>
          <w:trHeight w:val="216"/>
        </w:trPr>
        <w:tc>
          <w:tcPr>
            <w:tcW w:w="2680" w:type="dxa"/>
            <w:vAlign w:val="bottom"/>
          </w:tcPr>
          <w:p>
            <w:pPr>
              <w:spacing w:after="0"/>
              <w:rPr>
                <w:sz w:val="18"/>
                <w:szCs w:val="18"/>
                <w:color w:val="auto"/>
              </w:rPr>
            </w:pPr>
          </w:p>
        </w:tc>
        <w:tc>
          <w:tcPr>
            <w:tcW w:w="47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Waltham, MA 02451</w:t>
            </w:r>
          </w:p>
        </w:tc>
        <w:tc>
          <w:tcPr>
            <w:tcW w:w="2260" w:type="dxa"/>
            <w:vAlign w:val="bottom"/>
          </w:tcPr>
          <w:p>
            <w:pPr>
              <w:spacing w:after="0"/>
              <w:rPr>
                <w:sz w:val="18"/>
                <w:szCs w:val="18"/>
                <w:color w:val="auto"/>
              </w:rPr>
            </w:pPr>
          </w:p>
        </w:tc>
      </w:tr>
      <w:tr>
        <w:trPr>
          <w:trHeight w:val="238"/>
        </w:trPr>
        <w:tc>
          <w:tcPr>
            <w:tcW w:w="2680" w:type="dxa"/>
            <w:vAlign w:val="bottom"/>
          </w:tcPr>
          <w:p>
            <w:pPr>
              <w:spacing w:after="0"/>
              <w:rPr>
                <w:sz w:val="20"/>
                <w:szCs w:val="20"/>
                <w:color w:val="auto"/>
              </w:rPr>
            </w:pPr>
          </w:p>
        </w:tc>
        <w:tc>
          <w:tcPr>
            <w:tcW w:w="47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(857) 271-2954</w:t>
            </w:r>
          </w:p>
        </w:tc>
        <w:tc>
          <w:tcPr>
            <w:tcW w:w="2260" w:type="dxa"/>
            <w:vAlign w:val="bottom"/>
          </w:tcPr>
          <w:p>
            <w:pPr>
              <w:spacing w:after="0"/>
              <w:rPr>
                <w:sz w:val="20"/>
                <w:szCs w:val="20"/>
                <w:color w:val="auto"/>
              </w:rPr>
            </w:pP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Leon O. Moulder, Jr.</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1000 Winter Street, Suite 1200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Waltham, MA 02451</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(857) 271-2954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3" w:lineRule="exact"/>
        <w:rPr>
          <w:sz w:val="24"/>
          <w:szCs w:val="24"/>
          <w:color w:val="auto"/>
        </w:rPr>
      </w:pPr>
    </w:p>
    <w:tbl>
      <w:tblPr>
        <w:tblLayout w:type="fixed"/>
        <w:tblInd w:w="1280" w:type="dxa"/>
        <w:tblCellMar>
          <w:top w:w="0" w:type="dxa"/>
          <w:left w:w="0" w:type="dxa"/>
          <w:bottom w:w="0" w:type="dxa"/>
          <w:right w:w="0" w:type="dxa"/>
        </w:tblCellMar>
      </w:tblPr>
      <w:tr>
        <w:trPr>
          <w:trHeight w:val="238"/>
        </w:trPr>
        <w:tc>
          <w:tcPr>
            <w:tcW w:w="1620" w:type="dxa"/>
            <w:vAlign w:val="bottom"/>
          </w:tcPr>
          <w:p>
            <w:pPr>
              <w:spacing w:after="0"/>
              <w:rPr>
                <w:sz w:val="20"/>
                <w:szCs w:val="20"/>
                <w:color w:val="auto"/>
              </w:rPr>
            </w:pPr>
          </w:p>
        </w:tc>
        <w:tc>
          <w:tcPr>
            <w:tcW w:w="740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i w:val="1"/>
                <w:iCs w:val="1"/>
                <w:color w:val="auto"/>
                <w:w w:val="99"/>
              </w:rPr>
              <w:t>Copies to:</w:t>
            </w:r>
          </w:p>
        </w:tc>
      </w:tr>
      <w:tr>
        <w:trPr>
          <w:trHeight w:val="410"/>
        </w:trPr>
        <w:tc>
          <w:tcPr>
            <w:tcW w:w="16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Thomas Danielski</w:t>
            </w:r>
          </w:p>
        </w:tc>
        <w:tc>
          <w:tcPr>
            <w:tcW w:w="7400" w:type="dxa"/>
            <w:vAlign w:val="bottom"/>
          </w:tcPr>
          <w:p>
            <w:pPr>
              <w:jc w:val="center"/>
              <w:ind w:left="5710"/>
              <w:spacing w:after="0"/>
              <w:rPr>
                <w:sz w:val="20"/>
                <w:szCs w:val="20"/>
                <w:color w:val="auto"/>
              </w:rPr>
            </w:pPr>
            <w:r>
              <w:rPr>
                <w:rFonts w:ascii="Times New Roman" w:cs="Times New Roman" w:eastAsia="Times New Roman" w:hAnsi="Times New Roman"/>
                <w:sz w:val="18"/>
                <w:szCs w:val="18"/>
                <w:b w:val="1"/>
                <w:bCs w:val="1"/>
                <w:color w:val="auto"/>
                <w:w w:val="99"/>
              </w:rPr>
              <w:t>Richard Segal</w:t>
            </w:r>
          </w:p>
        </w:tc>
      </w:tr>
      <w:tr>
        <w:trPr>
          <w:trHeight w:val="216"/>
        </w:trPr>
        <w:tc>
          <w:tcPr>
            <w:tcW w:w="16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Paul Kinsella</w:t>
            </w:r>
          </w:p>
        </w:tc>
        <w:tc>
          <w:tcPr>
            <w:tcW w:w="7400" w:type="dxa"/>
            <w:vAlign w:val="bottom"/>
          </w:tcPr>
          <w:p>
            <w:pPr>
              <w:jc w:val="center"/>
              <w:ind w:left="5730"/>
              <w:spacing w:after="0"/>
              <w:rPr>
                <w:sz w:val="20"/>
                <w:szCs w:val="20"/>
                <w:color w:val="auto"/>
              </w:rPr>
            </w:pPr>
            <w:r>
              <w:rPr>
                <w:rFonts w:ascii="Times New Roman" w:cs="Times New Roman" w:eastAsia="Times New Roman" w:hAnsi="Times New Roman"/>
                <w:sz w:val="18"/>
                <w:szCs w:val="18"/>
                <w:b w:val="1"/>
                <w:bCs w:val="1"/>
                <w:color w:val="auto"/>
                <w:w w:val="98"/>
              </w:rPr>
              <w:t>Denny Won</w:t>
            </w:r>
          </w:p>
        </w:tc>
      </w:tr>
      <w:tr>
        <w:trPr>
          <w:trHeight w:val="216"/>
        </w:trPr>
        <w:tc>
          <w:tcPr>
            <w:tcW w:w="16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Nicholas Roper</w:t>
            </w:r>
          </w:p>
        </w:tc>
        <w:tc>
          <w:tcPr>
            <w:tcW w:w="7400" w:type="dxa"/>
            <w:vAlign w:val="bottom"/>
          </w:tcPr>
          <w:p>
            <w:pPr>
              <w:jc w:val="center"/>
              <w:ind w:left="5710"/>
              <w:spacing w:after="0"/>
              <w:rPr>
                <w:sz w:val="20"/>
                <w:szCs w:val="20"/>
                <w:color w:val="auto"/>
              </w:rPr>
            </w:pPr>
            <w:r>
              <w:rPr>
                <w:rFonts w:ascii="Times New Roman" w:cs="Times New Roman" w:eastAsia="Times New Roman" w:hAnsi="Times New Roman"/>
                <w:sz w:val="18"/>
                <w:szCs w:val="18"/>
                <w:b w:val="1"/>
                <w:bCs w:val="1"/>
                <w:color w:val="auto"/>
                <w:w w:val="99"/>
              </w:rPr>
              <w:t>Divakar Gupta</w:t>
            </w:r>
          </w:p>
        </w:tc>
      </w:tr>
      <w:tr>
        <w:trPr>
          <w:trHeight w:val="216"/>
        </w:trPr>
        <w:tc>
          <w:tcPr>
            <w:tcW w:w="16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Ropes &amp; Gray LLP</w:t>
            </w:r>
          </w:p>
        </w:tc>
        <w:tc>
          <w:tcPr>
            <w:tcW w:w="7400" w:type="dxa"/>
            <w:vAlign w:val="bottom"/>
          </w:tcPr>
          <w:p>
            <w:pPr>
              <w:jc w:val="center"/>
              <w:ind w:left="5730"/>
              <w:spacing w:after="0"/>
              <w:rPr>
                <w:sz w:val="20"/>
                <w:szCs w:val="20"/>
                <w:color w:val="auto"/>
              </w:rPr>
            </w:pPr>
            <w:r>
              <w:rPr>
                <w:rFonts w:ascii="Times New Roman" w:cs="Times New Roman" w:eastAsia="Times New Roman" w:hAnsi="Times New Roman"/>
                <w:sz w:val="18"/>
                <w:szCs w:val="18"/>
                <w:b w:val="1"/>
                <w:bCs w:val="1"/>
                <w:color w:val="auto"/>
              </w:rPr>
              <w:t>Evan Leitner</w:t>
            </w:r>
          </w:p>
        </w:tc>
      </w:tr>
      <w:tr>
        <w:trPr>
          <w:trHeight w:val="216"/>
        </w:trPr>
        <w:tc>
          <w:tcPr>
            <w:tcW w:w="16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Prudential Tower</w:t>
            </w:r>
          </w:p>
        </w:tc>
        <w:tc>
          <w:tcPr>
            <w:tcW w:w="7400" w:type="dxa"/>
            <w:vAlign w:val="bottom"/>
          </w:tcPr>
          <w:p>
            <w:pPr>
              <w:jc w:val="center"/>
              <w:ind w:left="5710"/>
              <w:spacing w:after="0"/>
              <w:rPr>
                <w:sz w:val="20"/>
                <w:szCs w:val="20"/>
                <w:color w:val="auto"/>
              </w:rPr>
            </w:pPr>
            <w:r>
              <w:rPr>
                <w:rFonts w:ascii="Times New Roman" w:cs="Times New Roman" w:eastAsia="Times New Roman" w:hAnsi="Times New Roman"/>
                <w:sz w:val="18"/>
                <w:szCs w:val="18"/>
                <w:b w:val="1"/>
                <w:bCs w:val="1"/>
                <w:color w:val="auto"/>
                <w:w w:val="99"/>
              </w:rPr>
              <w:t>Cooley LLP</w:t>
            </w:r>
          </w:p>
        </w:tc>
      </w:tr>
      <w:tr>
        <w:trPr>
          <w:trHeight w:val="216"/>
        </w:trPr>
        <w:tc>
          <w:tcPr>
            <w:tcW w:w="16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800 Boylston Street</w:t>
            </w:r>
          </w:p>
        </w:tc>
        <w:tc>
          <w:tcPr>
            <w:tcW w:w="7400" w:type="dxa"/>
            <w:vAlign w:val="bottom"/>
          </w:tcPr>
          <w:p>
            <w:pPr>
              <w:jc w:val="center"/>
              <w:ind w:left="5710"/>
              <w:spacing w:after="0"/>
              <w:rPr>
                <w:sz w:val="20"/>
                <w:szCs w:val="20"/>
                <w:color w:val="auto"/>
              </w:rPr>
            </w:pPr>
            <w:r>
              <w:rPr>
                <w:rFonts w:ascii="Times New Roman" w:cs="Times New Roman" w:eastAsia="Times New Roman" w:hAnsi="Times New Roman"/>
                <w:sz w:val="18"/>
                <w:szCs w:val="18"/>
                <w:b w:val="1"/>
                <w:bCs w:val="1"/>
                <w:color w:val="auto"/>
                <w:w w:val="98"/>
              </w:rPr>
              <w:t>55 Hudson Yards</w:t>
            </w:r>
          </w:p>
        </w:tc>
      </w:tr>
      <w:tr>
        <w:trPr>
          <w:trHeight w:val="216"/>
        </w:trPr>
        <w:tc>
          <w:tcPr>
            <w:tcW w:w="16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Boston, MA 02199</w:t>
            </w:r>
          </w:p>
        </w:tc>
        <w:tc>
          <w:tcPr>
            <w:tcW w:w="7400" w:type="dxa"/>
            <w:vAlign w:val="bottom"/>
          </w:tcPr>
          <w:p>
            <w:pPr>
              <w:jc w:val="center"/>
              <w:ind w:left="5710"/>
              <w:spacing w:after="0"/>
              <w:rPr>
                <w:sz w:val="20"/>
                <w:szCs w:val="20"/>
                <w:color w:val="auto"/>
              </w:rPr>
            </w:pPr>
            <w:r>
              <w:rPr>
                <w:rFonts w:ascii="Times New Roman" w:cs="Times New Roman" w:eastAsia="Times New Roman" w:hAnsi="Times New Roman"/>
                <w:sz w:val="18"/>
                <w:szCs w:val="18"/>
                <w:b w:val="1"/>
                <w:bCs w:val="1"/>
                <w:color w:val="auto"/>
                <w:w w:val="98"/>
              </w:rPr>
              <w:t>New York, NY 10001</w:t>
            </w:r>
          </w:p>
        </w:tc>
      </w:tr>
      <w:tr>
        <w:trPr>
          <w:trHeight w:val="216"/>
        </w:trPr>
        <w:tc>
          <w:tcPr>
            <w:tcW w:w="16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(617) 951-7000</w:t>
            </w:r>
          </w:p>
        </w:tc>
        <w:tc>
          <w:tcPr>
            <w:tcW w:w="7400" w:type="dxa"/>
            <w:vAlign w:val="bottom"/>
          </w:tcPr>
          <w:p>
            <w:pPr>
              <w:jc w:val="center"/>
              <w:ind w:left="5710"/>
              <w:spacing w:after="0"/>
              <w:rPr>
                <w:sz w:val="20"/>
                <w:szCs w:val="20"/>
                <w:color w:val="auto"/>
              </w:rPr>
            </w:pPr>
            <w:r>
              <w:rPr>
                <w:rFonts w:ascii="Times New Roman" w:cs="Times New Roman" w:eastAsia="Times New Roman" w:hAnsi="Times New Roman"/>
                <w:sz w:val="18"/>
                <w:szCs w:val="18"/>
                <w:b w:val="1"/>
                <w:bCs w:val="1"/>
                <w:color w:val="auto"/>
                <w:w w:val="99"/>
              </w:rPr>
              <w:t>(232) 479-6000</w:t>
            </w:r>
          </w:p>
        </w:tc>
      </w:tr>
      <w:tr>
        <w:trPr>
          <w:trHeight w:val="238"/>
        </w:trPr>
        <w:tc>
          <w:tcPr>
            <w:tcW w:w="1620" w:type="dxa"/>
            <w:vAlign w:val="bottom"/>
          </w:tcPr>
          <w:p>
            <w:pPr>
              <w:spacing w:after="0"/>
              <w:rPr>
                <w:sz w:val="20"/>
                <w:szCs w:val="20"/>
                <w:color w:val="auto"/>
              </w:rPr>
            </w:pPr>
          </w:p>
        </w:tc>
        <w:tc>
          <w:tcPr>
            <w:tcW w:w="740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9"/>
              </w:rPr>
              <w:t>Approximate date of commencement of proposed sale to the public:</w:t>
            </w:r>
          </w:p>
        </w:tc>
      </w:tr>
    </w:tbl>
    <w:p>
      <w:pPr>
        <w:spacing w:after="0" w:line="198" w:lineRule="exact"/>
        <w:rPr>
          <w:sz w:val="24"/>
          <w:szCs w:val="24"/>
          <w:color w:val="auto"/>
        </w:rPr>
      </w:pPr>
    </w:p>
    <w:p>
      <w:pPr>
        <w:ind w:right="320"/>
        <w:spacing w:after="0" w:line="226"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ind w:right="40"/>
        <w:spacing w:after="0" w:line="216"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333- 281713</w:t>
      </w:r>
    </w:p>
    <w:p>
      <w:pPr>
        <w:spacing w:after="0" w:line="1" w:lineRule="exact"/>
        <w:rPr>
          <w:sz w:val="24"/>
          <w:szCs w:val="24"/>
          <w:color w:val="auto"/>
        </w:rPr>
      </w:pPr>
    </w:p>
    <w:p>
      <w:pPr>
        <w:ind w:right="540"/>
        <w:spacing w:after="0" w:line="216"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520"/>
        <w:spacing w:after="0" w:line="216"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440"/>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1150" w:gutter="0" w:footer="0" w:header="0"/>
        </w:sectPr>
      </w:pPr>
    </w:p>
    <w:p>
      <w:pPr>
        <w:spacing w:after="0" w:line="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89"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1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47" w:lineRule="exact"/>
        <w:rPr>
          <w:sz w:val="24"/>
          <w:szCs w:val="24"/>
          <w:color w:val="auto"/>
        </w:rPr>
      </w:pPr>
    </w:p>
    <w:p>
      <w:pPr>
        <w:sectPr>
          <w:pgSz w:w="11900" w:h="16838" w:orient="portrait"/>
          <w:cols w:equalWidth="0" w:num="2">
            <w:col w:w="7720" w:space="720"/>
            <w:col w:w="2800"/>
          </w:cols>
          <w:pgMar w:left="320" w:top="225" w:right="339" w:bottom="1150" w:gutter="0" w:footer="0" w:header="0"/>
          <w:type w:val="continuous"/>
        </w:sectPr>
      </w:pPr>
    </w:p>
    <w:p>
      <w:pPr>
        <w:ind w:right="160"/>
        <w:spacing w:after="0" w:line="21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4"/>
          <w:szCs w:val="24"/>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The Registration Statement shall become effective upon filing in accordance with Rule 462(b) promulgated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481330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150" w:gutter="0" w:footer="0" w:header="0"/>
          <w:type w:val="continuous"/>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 and Incorporation By Reference</w:t>
      </w:r>
    </w:p>
    <w:p>
      <w:pPr>
        <w:spacing w:after="0" w:line="229" w:lineRule="exact"/>
        <w:rPr>
          <w:sz w:val="20"/>
          <w:szCs w:val="20"/>
          <w:color w:val="auto"/>
        </w:rPr>
      </w:pPr>
    </w:p>
    <w:p>
      <w:pPr>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Registration Statement on Form S-1 (this “Registration Statement”) is being filed pursuant to Rule 462(b) under the Securities Act of 1933, as amended (the “Securities Act”). This Registration Statement relates to the public offering of common stock, par value $0.0001 per share (“Common Stock”), of Zenas BioPharma, Inc. (the “Registrant”), contemplated by the Registration Statement on </w:t>
      </w:r>
      <w:hyperlink r:id="rId13">
        <w:r>
          <w:rPr>
            <w:rFonts w:ascii="Times New Roman" w:cs="Times New Roman" w:eastAsia="Times New Roman" w:hAnsi="Times New Roman"/>
            <w:sz w:val="18"/>
            <w:szCs w:val="18"/>
            <w:u w:val="single" w:color="auto"/>
            <w:color w:val="0000EE"/>
          </w:rPr>
          <w:t>Form S-1, as amended (File No. 333-281713)</w:t>
        </w:r>
      </w:hyperlink>
      <w:r>
        <w:rPr>
          <w:rFonts w:ascii="Times New Roman" w:cs="Times New Roman" w:eastAsia="Times New Roman" w:hAnsi="Times New Roman"/>
          <w:sz w:val="18"/>
          <w:szCs w:val="18"/>
          <w:color w:val="auto"/>
        </w:rPr>
        <w:t>, initially filed by the Registrant with the Securities and Exchange Commission (the “Commission”) on August 22, 2024 (as amended, the “Prior Registration Statement”) pursuant to the Securities Act, which was declared effective by the Commission on September 12, 2024. The contents of the Prior Registration Statement, including all amendments and exhibits thereto, are incorporated by reference into this Registration Statement.</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Registrant is filing this Registration Statement for the sole purpose of increasing the aggregate offering price of shares to be offered in the public offering by $28,841,996, which includes additional shares that the underwriters have the option to purchase. The additional shares of Common Stock that are being registered for issuance and sale are in an amount and at a price that together represent no more than 20% of the maximum aggregate offering price set forth in Exhibit 107 to the Prior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required opinion and consents are listed in Part II, Item 16 hereto and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ectPr>
          <w:pgSz w:w="11900" w:h="16838" w:orient="portrait"/>
          <w:cols w:equalWidth="0" w:num="1">
            <w:col w:w="11180"/>
          </w:cols>
          <w:pgMar w:left="340" w:top="900" w:right="379" w:bottom="1440" w:gutter="0" w:footer="0" w:header="0"/>
        </w:sectPr>
      </w:pP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Item 16.</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List</w:t>
      </w:r>
    </w:p>
    <w:p>
      <w:pPr>
        <w:spacing w:after="0" w:line="200" w:lineRule="exact"/>
        <w:rPr>
          <w:sz w:val="20"/>
          <w:szCs w:val="20"/>
          <w:color w:val="auto"/>
        </w:rPr>
      </w:pPr>
    </w:p>
    <w:p>
      <w:pPr>
        <w:sectPr>
          <w:pgSz w:w="11900" w:h="16838" w:orient="portrait"/>
          <w:cols w:equalWidth="0" w:num="2">
            <w:col w:w="940" w:space="660"/>
            <w:col w:w="9580"/>
          </w:cols>
          <w:pgMar w:left="340" w:top="900" w:right="3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788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6197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740" w:space="720"/>
            <w:col w:w="9720"/>
          </w:cols>
          <w:pgMar w:left="340" w:top="900" w:right="379" w:bottom="1440" w:gutter="0" w:footer="0" w:header="0"/>
          <w:type w:val="continuous"/>
        </w:sectPr>
      </w:pPr>
    </w:p>
    <w:p>
      <w:pPr>
        <w:ind w:left="1000"/>
        <w:spacing w:after="0"/>
        <w:tabs>
          <w:tab w:leader="none" w:pos="1440" w:val="left"/>
        </w:tabs>
        <w:rPr>
          <w:sz w:val="20"/>
          <w:szCs w:val="20"/>
          <w:color w:val="auto"/>
        </w:rPr>
      </w:pPr>
      <w:r>
        <w:rPr>
          <w:rFonts w:ascii="Times New Roman" w:cs="Times New Roman" w:eastAsia="Times New Roman" w:hAnsi="Times New Roman"/>
          <w:sz w:val="18"/>
          <w:szCs w:val="18"/>
          <w:u w:val="single" w:color="auto"/>
          <w:color w:val="0000EE"/>
        </w:rPr>
        <w:t>5.1</w:t>
        <w:tab/>
        <w:t>Opinion of Ropes &amp; Gray LLP</w:t>
      </w:r>
    </w:p>
    <w:p>
      <w:pPr>
        <w:spacing w:after="0" w:line="23"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7"/>
          <w:szCs w:val="17"/>
          <w:u w:val="single" w:color="auto"/>
          <w:color w:val="0000EE"/>
        </w:rPr>
        <w:t>Consent of Ernst &amp; Young LLP, independent registered public accounting firm.</w:t>
      </w:r>
    </w:p>
    <w:p>
      <w:pPr>
        <w:spacing w:after="0" w:line="9"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18"/>
          <w:szCs w:val="18"/>
          <w:u w:val="single" w:color="auto"/>
          <w:color w:val="0000EE"/>
        </w:rPr>
        <w:t>23.2</w:t>
        <w:tab/>
        <w:t>Consent of Ropes &amp; Gray LLP (included in Exhibit 5.1)</w:t>
      </w:r>
    </w:p>
    <w:p>
      <w:pPr>
        <w:spacing w:after="0" w:line="9" w:lineRule="exact"/>
        <w:rPr>
          <w:sz w:val="20"/>
          <w:szCs w:val="20"/>
          <w:color w:val="auto"/>
        </w:rPr>
      </w:pPr>
    </w:p>
    <w:p>
      <w:pPr>
        <w:ind w:left="920"/>
        <w:spacing w:after="0"/>
        <w:rPr>
          <w:rFonts w:ascii="Times New Roman" w:cs="Times New Roman" w:eastAsia="Times New Roman" w:hAnsi="Times New Roman"/>
          <w:sz w:val="18"/>
          <w:szCs w:val="18"/>
          <w:u w:val="single" w:color="auto"/>
          <w:color w:val="0000EE"/>
        </w:rPr>
      </w:pPr>
      <w:hyperlink r:id="rId17">
        <w:r>
          <w:rPr>
            <w:rFonts w:ascii="Times New Roman" w:cs="Times New Roman" w:eastAsia="Times New Roman" w:hAnsi="Times New Roman"/>
            <w:sz w:val="18"/>
            <w:szCs w:val="18"/>
            <w:u w:val="single" w:color="auto"/>
            <w:color w:val="0000EE"/>
          </w:rPr>
          <w:t>24.1*  Power of Attorney</w:t>
        </w:r>
      </w:hyperlink>
    </w:p>
    <w:p>
      <w:pPr>
        <w:spacing w:after="0" w:line="9" w:lineRule="exact"/>
        <w:rPr>
          <w:sz w:val="20"/>
          <w:szCs w:val="20"/>
          <w:color w:val="auto"/>
        </w:rPr>
      </w:pPr>
    </w:p>
    <w:p>
      <w:pPr>
        <w:ind w:left="1460" w:hanging="504"/>
        <w:spacing w:after="0"/>
        <w:tabs>
          <w:tab w:leader="none" w:pos="1460" w:val="left"/>
        </w:tabs>
        <w:numPr>
          <w:ilvl w:val="1"/>
          <w:numId w:val="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Filing Fee Table</w:t>
      </w:r>
    </w:p>
    <w:p>
      <w:pPr>
        <w:spacing w:after="0" w:line="9" w:lineRule="exact"/>
        <w:rPr>
          <w:rFonts w:ascii="Times New Roman" w:cs="Times New Roman" w:eastAsia="Times New Roman" w:hAnsi="Times New Roman"/>
          <w:sz w:val="18"/>
          <w:szCs w:val="18"/>
          <w:u w:val="single" w:color="auto"/>
          <w:color w:val="0000EE"/>
        </w:rPr>
      </w:pPr>
    </w:p>
    <w:p>
      <w:pPr>
        <w:ind w:left="320" w:hanging="324"/>
        <w:spacing w:after="0" w:line="260"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Previously filed on the signature page to the Registrant’s Registration Statement on Form S-1, as amended (File No. 333-281713), originally filed with the Securities and Exchange Commission on August 22, 2024 and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418465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40" w:top="900" w:right="37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spacing w:after="0" w:line="29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on Form S-1 to be signed on its behalf by the undersigned, thereunto duly authorized, in the City of Waltham, Massachusetts, on the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September, 2024.</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Leon O. Moulder,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Leon O. Moulder, Jr.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on Form S-1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38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2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10"/>
        </w:trPr>
        <w:tc>
          <w:tcPr>
            <w:tcW w:w="360" w:type="dxa"/>
            <w:vAlign w:val="bottom"/>
            <w:tcBorders>
              <w:top w:val="single" w:sz="8" w:color="auto"/>
              <w:bottom w:val="single" w:sz="8" w:color="auto"/>
            </w:tcBorders>
          </w:tcPr>
          <w:p>
            <w:pPr>
              <w:spacing w:after="0"/>
              <w:rPr>
                <w:sz w:val="18"/>
                <w:szCs w:val="18"/>
                <w:color w:val="auto"/>
              </w:rPr>
            </w:pPr>
          </w:p>
        </w:tc>
        <w:tc>
          <w:tcPr>
            <w:tcW w:w="3800" w:type="dxa"/>
            <w:vAlign w:val="bottom"/>
            <w:tcBorders>
              <w:top w:val="single" w:sz="8" w:color="auto"/>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/s/ Leon O. Moulder, Jr.</w:t>
            </w: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720" w:type="dxa"/>
            <w:vAlign w:val="bottom"/>
            <w:tcBorders>
              <w:top w:val="single" w:sz="8" w:color="auto"/>
            </w:tcBorders>
          </w:tcPr>
          <w:p>
            <w:pPr>
              <w:jc w:val="center"/>
              <w:ind w:right="1250"/>
              <w:spacing w:after="0"/>
              <w:rPr>
                <w:sz w:val="20"/>
                <w:szCs w:val="20"/>
                <w:color w:val="auto"/>
              </w:rPr>
            </w:pPr>
            <w:r>
              <w:rPr>
                <w:rFonts w:ascii="Times New Roman" w:cs="Times New Roman" w:eastAsia="Times New Roman" w:hAnsi="Times New Roman"/>
                <w:sz w:val="18"/>
                <w:szCs w:val="18"/>
                <w:color w:val="auto"/>
              </w:rPr>
              <w:t>Chief Executive Officer</w:t>
            </w:r>
          </w:p>
        </w:tc>
        <w:tc>
          <w:tcPr>
            <w:tcW w:w="100" w:type="dxa"/>
            <w:vAlign w:val="bottom"/>
          </w:tcPr>
          <w:p>
            <w:pPr>
              <w:spacing w:after="0"/>
              <w:rPr>
                <w:sz w:val="18"/>
                <w:szCs w:val="18"/>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September 12,</w:t>
            </w:r>
          </w:p>
        </w:tc>
      </w:tr>
      <w:tr>
        <w:trPr>
          <w:trHeight w:val="191"/>
        </w:trPr>
        <w:tc>
          <w:tcPr>
            <w:tcW w:w="360" w:type="dxa"/>
            <w:vAlign w:val="bottom"/>
          </w:tcPr>
          <w:p>
            <w:pPr>
              <w:spacing w:after="0"/>
              <w:rPr>
                <w:sz w:val="16"/>
                <w:szCs w:val="16"/>
                <w:color w:val="auto"/>
              </w:rPr>
            </w:pPr>
          </w:p>
        </w:tc>
        <w:tc>
          <w:tcPr>
            <w:tcW w:w="3800" w:type="dxa"/>
            <w:vAlign w:val="bottom"/>
          </w:tcPr>
          <w:p>
            <w:pPr>
              <w:jc w:val="center"/>
              <w:ind w:right="250"/>
              <w:spacing w:after="0" w:line="191" w:lineRule="exact"/>
              <w:rPr>
                <w:sz w:val="20"/>
                <w:szCs w:val="20"/>
                <w:color w:val="auto"/>
              </w:rPr>
            </w:pPr>
            <w:r>
              <w:rPr>
                <w:rFonts w:ascii="Times New Roman" w:cs="Times New Roman" w:eastAsia="Times New Roman" w:hAnsi="Times New Roman"/>
                <w:sz w:val="18"/>
                <w:szCs w:val="18"/>
                <w:color w:val="auto"/>
                <w:w w:val="98"/>
              </w:rPr>
              <w:t>Leon O. Moulder, Jr.</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2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(Principal Executive Officer)</w:t>
            </w:r>
          </w:p>
        </w:tc>
        <w:tc>
          <w:tcPr>
            <w:tcW w:w="1800" w:type="dxa"/>
            <w:vAlign w:val="bottom"/>
          </w:tcPr>
          <w:p>
            <w:pPr>
              <w:jc w:val="right"/>
              <w:ind w:right="690"/>
              <w:spacing w:after="0" w:line="191" w:lineRule="exact"/>
              <w:rPr>
                <w:sz w:val="20"/>
                <w:szCs w:val="20"/>
                <w:color w:val="auto"/>
              </w:rPr>
            </w:pPr>
            <w:r>
              <w:rPr>
                <w:rFonts w:ascii="Times New Roman" w:cs="Times New Roman" w:eastAsia="Times New Roman" w:hAnsi="Times New Roman"/>
                <w:sz w:val="18"/>
                <w:szCs w:val="18"/>
                <w:color w:val="auto"/>
              </w:rPr>
              <w:t>2024</w:t>
            </w:r>
          </w:p>
        </w:tc>
      </w:tr>
      <w:tr>
        <w:trPr>
          <w:trHeight w:val="234"/>
        </w:trPr>
        <w:tc>
          <w:tcPr>
            <w:tcW w:w="4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1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Chief Business Officer, Chief Financial Officer</w:t>
            </w:r>
          </w:p>
        </w:tc>
        <w:tc>
          <w:tcPr>
            <w:tcW w:w="1800" w:type="dxa"/>
            <w:vAlign w:val="bottom"/>
          </w:tcPr>
          <w:p>
            <w:pPr>
              <w:spacing w:after="0"/>
              <w:rPr>
                <w:sz w:val="20"/>
                <w:szCs w:val="20"/>
                <w:color w:val="auto"/>
              </w:rPr>
            </w:pPr>
          </w:p>
        </w:tc>
      </w:tr>
      <w:tr>
        <w:trPr>
          <w:trHeight w:val="191"/>
        </w:trPr>
        <w:tc>
          <w:tcPr>
            <w:tcW w:w="360" w:type="dxa"/>
            <w:vAlign w:val="bottom"/>
          </w:tcPr>
          <w:p>
            <w:pPr>
              <w:spacing w:after="0"/>
              <w:rPr>
                <w:sz w:val="16"/>
                <w:szCs w:val="16"/>
                <w:color w:val="auto"/>
              </w:rPr>
            </w:pPr>
          </w:p>
        </w:tc>
        <w:tc>
          <w:tcPr>
            <w:tcW w:w="3800" w:type="dxa"/>
            <w:vAlign w:val="bottom"/>
          </w:tcPr>
          <w:p>
            <w:pPr>
              <w:jc w:val="center"/>
              <w:ind w:right="250"/>
              <w:spacing w:after="0" w:line="191" w:lineRule="exact"/>
              <w:rPr>
                <w:sz w:val="20"/>
                <w:szCs w:val="20"/>
                <w:color w:val="auto"/>
              </w:rPr>
            </w:pPr>
            <w:r>
              <w:rPr>
                <w:rFonts w:ascii="Times New Roman" w:cs="Times New Roman" w:eastAsia="Times New Roman" w:hAnsi="Times New Roman"/>
                <w:sz w:val="18"/>
                <w:szCs w:val="18"/>
                <w:color w:val="auto"/>
                <w:w w:val="99"/>
              </w:rPr>
              <w:t>Jennifer Fox</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20" w:type="dxa"/>
            <w:vAlign w:val="bottom"/>
            <w:gridSpan w:val="2"/>
          </w:tcPr>
          <w:p>
            <w:pPr>
              <w:jc w:val="center"/>
              <w:ind w:right="1440"/>
              <w:spacing w:after="0" w:line="191" w:lineRule="exact"/>
              <w:rPr>
                <w:sz w:val="20"/>
                <w:szCs w:val="20"/>
                <w:color w:val="auto"/>
              </w:rPr>
            </w:pPr>
            <w:r>
              <w:rPr>
                <w:rFonts w:ascii="Times New Roman" w:cs="Times New Roman" w:eastAsia="Times New Roman" w:hAnsi="Times New Roman"/>
                <w:sz w:val="18"/>
                <w:szCs w:val="18"/>
                <w:color w:val="auto"/>
                <w:w w:val="98"/>
              </w:rPr>
              <w:t>and Treasurer</w:t>
            </w:r>
          </w:p>
        </w:tc>
        <w:tc>
          <w:tcPr>
            <w:tcW w:w="18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September 12,</w:t>
            </w:r>
          </w:p>
        </w:tc>
      </w:tr>
      <w:tr>
        <w:trPr>
          <w:trHeight w:val="216"/>
        </w:trPr>
        <w:tc>
          <w:tcPr>
            <w:tcW w:w="3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Financial Officer and Principal</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16"/>
        </w:trPr>
        <w:tc>
          <w:tcPr>
            <w:tcW w:w="3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2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1800" w:type="dxa"/>
            <w:vAlign w:val="bottom"/>
          </w:tcPr>
          <w:p>
            <w:pPr>
              <w:spacing w:after="0"/>
              <w:rPr>
                <w:sz w:val="18"/>
                <w:szCs w:val="18"/>
                <w:color w:val="auto"/>
              </w:rPr>
            </w:pPr>
          </w:p>
        </w:tc>
      </w:tr>
      <w:tr>
        <w:trPr>
          <w:trHeight w:val="234"/>
        </w:trPr>
        <w:tc>
          <w:tcPr>
            <w:tcW w:w="4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2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12,</w:t>
            </w:r>
          </w:p>
        </w:tc>
      </w:tr>
      <w:tr>
        <w:trPr>
          <w:trHeight w:val="191"/>
        </w:trPr>
        <w:tc>
          <w:tcPr>
            <w:tcW w:w="360" w:type="dxa"/>
            <w:vAlign w:val="bottom"/>
          </w:tcPr>
          <w:p>
            <w:pPr>
              <w:spacing w:after="0"/>
              <w:rPr>
                <w:sz w:val="16"/>
                <w:szCs w:val="16"/>
                <w:color w:val="auto"/>
              </w:rPr>
            </w:pPr>
          </w:p>
        </w:tc>
        <w:tc>
          <w:tcPr>
            <w:tcW w:w="3800" w:type="dxa"/>
            <w:vAlign w:val="bottom"/>
          </w:tcPr>
          <w:p>
            <w:pPr>
              <w:jc w:val="center"/>
              <w:ind w:right="270"/>
              <w:spacing w:after="0" w:line="191" w:lineRule="exact"/>
              <w:rPr>
                <w:sz w:val="20"/>
                <w:szCs w:val="20"/>
                <w:color w:val="auto"/>
              </w:rPr>
            </w:pPr>
            <w:r>
              <w:rPr>
                <w:rFonts w:ascii="Times New Roman" w:cs="Times New Roman" w:eastAsia="Times New Roman" w:hAnsi="Times New Roman"/>
                <w:sz w:val="18"/>
                <w:szCs w:val="18"/>
                <w:color w:val="auto"/>
              </w:rPr>
              <w:t>Patricia Allen</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2024</w:t>
            </w:r>
          </w:p>
        </w:tc>
      </w:tr>
      <w:tr>
        <w:trPr>
          <w:trHeight w:val="234"/>
        </w:trPr>
        <w:tc>
          <w:tcPr>
            <w:tcW w:w="4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2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12,</w:t>
            </w:r>
          </w:p>
        </w:tc>
      </w:tr>
      <w:tr>
        <w:trPr>
          <w:trHeight w:val="191"/>
        </w:trPr>
        <w:tc>
          <w:tcPr>
            <w:tcW w:w="360" w:type="dxa"/>
            <w:vAlign w:val="bottom"/>
          </w:tcPr>
          <w:p>
            <w:pPr>
              <w:spacing w:after="0"/>
              <w:rPr>
                <w:sz w:val="16"/>
                <w:szCs w:val="16"/>
                <w:color w:val="auto"/>
              </w:rPr>
            </w:pPr>
          </w:p>
        </w:tc>
        <w:tc>
          <w:tcPr>
            <w:tcW w:w="3800" w:type="dxa"/>
            <w:vAlign w:val="bottom"/>
          </w:tcPr>
          <w:p>
            <w:pPr>
              <w:jc w:val="center"/>
              <w:ind w:right="270"/>
              <w:spacing w:after="0" w:line="191" w:lineRule="exact"/>
              <w:rPr>
                <w:sz w:val="20"/>
                <w:szCs w:val="20"/>
                <w:color w:val="auto"/>
              </w:rPr>
            </w:pPr>
            <w:r>
              <w:rPr>
                <w:rFonts w:ascii="Times New Roman" w:cs="Times New Roman" w:eastAsia="Times New Roman" w:hAnsi="Times New Roman"/>
                <w:sz w:val="18"/>
                <w:szCs w:val="18"/>
                <w:color w:val="auto"/>
                <w:w w:val="99"/>
              </w:rPr>
              <w:t>James Boylan</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jc w:val="right"/>
              <w:ind w:right="690"/>
              <w:spacing w:after="0" w:line="191" w:lineRule="exact"/>
              <w:rPr>
                <w:sz w:val="20"/>
                <w:szCs w:val="20"/>
                <w:color w:val="auto"/>
              </w:rPr>
            </w:pPr>
            <w:r>
              <w:rPr>
                <w:rFonts w:ascii="Times New Roman" w:cs="Times New Roman" w:eastAsia="Times New Roman" w:hAnsi="Times New Roman"/>
                <w:sz w:val="18"/>
                <w:szCs w:val="18"/>
                <w:color w:val="auto"/>
              </w:rPr>
              <w:t>2024</w:t>
            </w:r>
          </w:p>
        </w:tc>
      </w:tr>
      <w:tr>
        <w:trPr>
          <w:trHeight w:val="234"/>
        </w:trPr>
        <w:tc>
          <w:tcPr>
            <w:tcW w:w="4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2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12,</w:t>
            </w:r>
          </w:p>
        </w:tc>
      </w:tr>
      <w:tr>
        <w:trPr>
          <w:trHeight w:val="191"/>
        </w:trPr>
        <w:tc>
          <w:tcPr>
            <w:tcW w:w="360" w:type="dxa"/>
            <w:vAlign w:val="bottom"/>
          </w:tcPr>
          <w:p>
            <w:pPr>
              <w:spacing w:after="0"/>
              <w:rPr>
                <w:sz w:val="16"/>
                <w:szCs w:val="16"/>
                <w:color w:val="auto"/>
              </w:rPr>
            </w:pPr>
          </w:p>
        </w:tc>
        <w:tc>
          <w:tcPr>
            <w:tcW w:w="3800" w:type="dxa"/>
            <w:vAlign w:val="bottom"/>
          </w:tcPr>
          <w:p>
            <w:pPr>
              <w:jc w:val="center"/>
              <w:ind w:right="250"/>
              <w:spacing w:after="0" w:line="191" w:lineRule="exact"/>
              <w:rPr>
                <w:sz w:val="20"/>
                <w:szCs w:val="20"/>
                <w:color w:val="auto"/>
              </w:rPr>
            </w:pPr>
            <w:r>
              <w:rPr>
                <w:rFonts w:ascii="Times New Roman" w:cs="Times New Roman" w:eastAsia="Times New Roman" w:hAnsi="Times New Roman"/>
                <w:sz w:val="18"/>
                <w:szCs w:val="18"/>
                <w:color w:val="auto"/>
              </w:rPr>
              <w:t>Patrick Enright</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jc w:val="right"/>
              <w:ind w:right="690"/>
              <w:spacing w:after="0" w:line="191" w:lineRule="exact"/>
              <w:rPr>
                <w:sz w:val="20"/>
                <w:szCs w:val="20"/>
                <w:color w:val="auto"/>
              </w:rPr>
            </w:pPr>
            <w:r>
              <w:rPr>
                <w:rFonts w:ascii="Times New Roman" w:cs="Times New Roman" w:eastAsia="Times New Roman" w:hAnsi="Times New Roman"/>
                <w:sz w:val="18"/>
                <w:szCs w:val="18"/>
                <w:color w:val="auto"/>
              </w:rPr>
              <w:t>2024</w:t>
            </w:r>
          </w:p>
        </w:tc>
      </w:tr>
      <w:tr>
        <w:trPr>
          <w:trHeight w:val="234"/>
        </w:trPr>
        <w:tc>
          <w:tcPr>
            <w:tcW w:w="4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2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12,</w:t>
            </w:r>
          </w:p>
        </w:tc>
      </w:tr>
      <w:tr>
        <w:trPr>
          <w:trHeight w:val="191"/>
        </w:trPr>
        <w:tc>
          <w:tcPr>
            <w:tcW w:w="360" w:type="dxa"/>
            <w:vAlign w:val="bottom"/>
          </w:tcPr>
          <w:p>
            <w:pPr>
              <w:spacing w:after="0"/>
              <w:rPr>
                <w:sz w:val="16"/>
                <w:szCs w:val="16"/>
                <w:color w:val="auto"/>
              </w:rPr>
            </w:pPr>
          </w:p>
        </w:tc>
        <w:tc>
          <w:tcPr>
            <w:tcW w:w="3800" w:type="dxa"/>
            <w:vAlign w:val="bottom"/>
          </w:tcPr>
          <w:p>
            <w:pPr>
              <w:jc w:val="center"/>
              <w:ind w:right="250"/>
              <w:spacing w:after="0" w:line="191" w:lineRule="exact"/>
              <w:rPr>
                <w:sz w:val="20"/>
                <w:szCs w:val="20"/>
                <w:color w:val="auto"/>
              </w:rPr>
            </w:pPr>
            <w:r>
              <w:rPr>
                <w:rFonts w:ascii="Times New Roman" w:cs="Times New Roman" w:eastAsia="Times New Roman" w:hAnsi="Times New Roman"/>
                <w:sz w:val="18"/>
                <w:szCs w:val="18"/>
                <w:color w:val="auto"/>
                <w:w w:val="97"/>
              </w:rPr>
              <w:t>Tomas Kiselak</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jc w:val="right"/>
              <w:ind w:right="690"/>
              <w:spacing w:after="0" w:line="191" w:lineRule="exact"/>
              <w:rPr>
                <w:sz w:val="20"/>
                <w:szCs w:val="20"/>
                <w:color w:val="auto"/>
              </w:rPr>
            </w:pPr>
            <w:r>
              <w:rPr>
                <w:rFonts w:ascii="Times New Roman" w:cs="Times New Roman" w:eastAsia="Times New Roman" w:hAnsi="Times New Roman"/>
                <w:sz w:val="18"/>
                <w:szCs w:val="18"/>
                <w:color w:val="auto"/>
              </w:rPr>
              <w:t>2024</w:t>
            </w:r>
          </w:p>
        </w:tc>
      </w:tr>
      <w:tr>
        <w:trPr>
          <w:trHeight w:val="234"/>
        </w:trPr>
        <w:tc>
          <w:tcPr>
            <w:tcW w:w="4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2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12,</w:t>
            </w:r>
          </w:p>
        </w:tc>
      </w:tr>
      <w:tr>
        <w:trPr>
          <w:trHeight w:val="191"/>
        </w:trPr>
        <w:tc>
          <w:tcPr>
            <w:tcW w:w="360" w:type="dxa"/>
            <w:vAlign w:val="bottom"/>
          </w:tcPr>
          <w:p>
            <w:pPr>
              <w:spacing w:after="0"/>
              <w:rPr>
                <w:sz w:val="16"/>
                <w:szCs w:val="16"/>
                <w:color w:val="auto"/>
              </w:rPr>
            </w:pPr>
          </w:p>
        </w:tc>
        <w:tc>
          <w:tcPr>
            <w:tcW w:w="3800" w:type="dxa"/>
            <w:vAlign w:val="bottom"/>
          </w:tcPr>
          <w:p>
            <w:pPr>
              <w:jc w:val="center"/>
              <w:ind w:right="270"/>
              <w:spacing w:after="0" w:line="191" w:lineRule="exact"/>
              <w:rPr>
                <w:sz w:val="20"/>
                <w:szCs w:val="20"/>
                <w:color w:val="auto"/>
              </w:rPr>
            </w:pPr>
            <w:r>
              <w:rPr>
                <w:rFonts w:ascii="Times New Roman" w:cs="Times New Roman" w:eastAsia="Times New Roman" w:hAnsi="Times New Roman"/>
                <w:sz w:val="18"/>
                <w:szCs w:val="18"/>
                <w:color w:val="auto"/>
                <w:w w:val="99"/>
              </w:rPr>
              <w:t>Hongbo Lu, Ph.D.</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jc w:val="right"/>
              <w:ind w:right="690"/>
              <w:spacing w:after="0" w:line="191" w:lineRule="exact"/>
              <w:rPr>
                <w:sz w:val="20"/>
                <w:szCs w:val="20"/>
                <w:color w:val="auto"/>
              </w:rPr>
            </w:pPr>
            <w:r>
              <w:rPr>
                <w:rFonts w:ascii="Times New Roman" w:cs="Times New Roman" w:eastAsia="Times New Roman" w:hAnsi="Times New Roman"/>
                <w:sz w:val="18"/>
                <w:szCs w:val="18"/>
                <w:color w:val="auto"/>
              </w:rPr>
              <w:t>2024</w:t>
            </w:r>
          </w:p>
        </w:tc>
      </w:tr>
      <w:tr>
        <w:trPr>
          <w:trHeight w:val="234"/>
        </w:trPr>
        <w:tc>
          <w:tcPr>
            <w:tcW w:w="4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2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12,</w:t>
            </w:r>
          </w:p>
        </w:tc>
      </w:tr>
      <w:tr>
        <w:trPr>
          <w:trHeight w:val="191"/>
        </w:trPr>
        <w:tc>
          <w:tcPr>
            <w:tcW w:w="360" w:type="dxa"/>
            <w:vAlign w:val="bottom"/>
          </w:tcPr>
          <w:p>
            <w:pPr>
              <w:spacing w:after="0"/>
              <w:rPr>
                <w:sz w:val="16"/>
                <w:szCs w:val="16"/>
                <w:color w:val="auto"/>
              </w:rPr>
            </w:pPr>
          </w:p>
        </w:tc>
        <w:tc>
          <w:tcPr>
            <w:tcW w:w="3800" w:type="dxa"/>
            <w:vAlign w:val="bottom"/>
          </w:tcPr>
          <w:p>
            <w:pPr>
              <w:jc w:val="center"/>
              <w:ind w:right="270"/>
              <w:spacing w:after="0" w:line="191" w:lineRule="exact"/>
              <w:rPr>
                <w:sz w:val="20"/>
                <w:szCs w:val="20"/>
                <w:color w:val="auto"/>
              </w:rPr>
            </w:pPr>
            <w:r>
              <w:rPr>
                <w:rFonts w:ascii="Times New Roman" w:cs="Times New Roman" w:eastAsia="Times New Roman" w:hAnsi="Times New Roman"/>
                <w:sz w:val="18"/>
                <w:szCs w:val="18"/>
                <w:color w:val="auto"/>
                <w:w w:val="99"/>
              </w:rPr>
              <w:t>Jake Nunn</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jc w:val="right"/>
              <w:ind w:right="690"/>
              <w:spacing w:after="0" w:line="191" w:lineRule="exact"/>
              <w:rPr>
                <w:sz w:val="20"/>
                <w:szCs w:val="20"/>
                <w:color w:val="auto"/>
              </w:rPr>
            </w:pPr>
            <w:r>
              <w:rPr>
                <w:rFonts w:ascii="Times New Roman" w:cs="Times New Roman" w:eastAsia="Times New Roman" w:hAnsi="Times New Roman"/>
                <w:sz w:val="18"/>
                <w:szCs w:val="18"/>
                <w:color w:val="auto"/>
              </w:rPr>
              <w:t>2024</w:t>
            </w:r>
          </w:p>
        </w:tc>
      </w:tr>
      <w:tr>
        <w:trPr>
          <w:trHeight w:val="234"/>
        </w:trPr>
        <w:tc>
          <w:tcPr>
            <w:tcW w:w="4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2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12,</w:t>
            </w:r>
          </w:p>
        </w:tc>
      </w:tr>
      <w:tr>
        <w:trPr>
          <w:trHeight w:val="191"/>
        </w:trPr>
        <w:tc>
          <w:tcPr>
            <w:tcW w:w="360" w:type="dxa"/>
            <w:vAlign w:val="bottom"/>
          </w:tcPr>
          <w:p>
            <w:pPr>
              <w:spacing w:after="0"/>
              <w:rPr>
                <w:sz w:val="16"/>
                <w:szCs w:val="16"/>
                <w:color w:val="auto"/>
              </w:rPr>
            </w:pPr>
          </w:p>
        </w:tc>
        <w:tc>
          <w:tcPr>
            <w:tcW w:w="3800" w:type="dxa"/>
            <w:vAlign w:val="bottom"/>
          </w:tcPr>
          <w:p>
            <w:pPr>
              <w:jc w:val="center"/>
              <w:ind w:right="250"/>
              <w:spacing w:after="0" w:line="191" w:lineRule="exact"/>
              <w:rPr>
                <w:sz w:val="20"/>
                <w:szCs w:val="20"/>
                <w:color w:val="auto"/>
              </w:rPr>
            </w:pPr>
            <w:r>
              <w:rPr>
                <w:rFonts w:ascii="Times New Roman" w:cs="Times New Roman" w:eastAsia="Times New Roman" w:hAnsi="Times New Roman"/>
                <w:sz w:val="18"/>
                <w:szCs w:val="18"/>
                <w:color w:val="auto"/>
                <w:w w:val="99"/>
              </w:rPr>
              <w:t>John Orloff, M.D.</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jc w:val="right"/>
              <w:ind w:right="690"/>
              <w:spacing w:after="0" w:line="191" w:lineRule="exact"/>
              <w:rPr>
                <w:sz w:val="20"/>
                <w:szCs w:val="20"/>
                <w:color w:val="auto"/>
              </w:rPr>
            </w:pPr>
            <w:r>
              <w:rPr>
                <w:rFonts w:ascii="Times New Roman" w:cs="Times New Roman" w:eastAsia="Times New Roman" w:hAnsi="Times New Roman"/>
                <w:sz w:val="18"/>
                <w:szCs w:val="18"/>
                <w:color w:val="auto"/>
              </w:rPr>
              <w:t>2024</w:t>
            </w:r>
          </w:p>
        </w:tc>
      </w:tr>
      <w:tr>
        <w:trPr>
          <w:trHeight w:val="234"/>
        </w:trPr>
        <w:tc>
          <w:tcPr>
            <w:tcW w:w="4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2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12,</w:t>
            </w:r>
          </w:p>
        </w:tc>
      </w:tr>
      <w:tr>
        <w:trPr>
          <w:trHeight w:val="228"/>
        </w:trPr>
        <w:tc>
          <w:tcPr>
            <w:tcW w:w="360" w:type="dxa"/>
            <w:vAlign w:val="bottom"/>
          </w:tcPr>
          <w:p>
            <w:pPr>
              <w:spacing w:after="0"/>
              <w:rPr>
                <w:sz w:val="19"/>
                <w:szCs w:val="19"/>
                <w:color w:val="auto"/>
              </w:rPr>
            </w:pPr>
          </w:p>
        </w:tc>
        <w:tc>
          <w:tcPr>
            <w:tcW w:w="38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Ting Xiao</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r>
      <w:tr>
        <w:trPr>
          <w:trHeight w:val="414"/>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*By:/s/ Leon O. Moulder, Jr.</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91"/>
        </w:trPr>
        <w:tc>
          <w:tcPr>
            <w:tcW w:w="360" w:type="dxa"/>
            <w:vAlign w:val="bottom"/>
          </w:tcPr>
          <w:p>
            <w:pPr>
              <w:spacing w:after="0"/>
              <w:rPr>
                <w:sz w:val="16"/>
                <w:szCs w:val="16"/>
                <w:color w:val="auto"/>
              </w:rPr>
            </w:pPr>
          </w:p>
        </w:tc>
        <w:tc>
          <w:tcPr>
            <w:tcW w:w="3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Leon O. Moulder, Jr.</w:t>
            </w: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34"/>
        </w:trPr>
        <w:tc>
          <w:tcPr>
            <w:tcW w:w="36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702"/>
        </w:trPr>
        <w:tc>
          <w:tcPr>
            <w:tcW w:w="3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685800" cy="8229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85800" cy="822960"/>
                    </a:xfrm>
                    <a:prstGeom prst="rect">
                      <a:avLst/>
                    </a:prstGeom>
                    <a:noFill/>
                  </pic:spPr>
                </pic:pic>
              </a:graphicData>
            </a:graphic>
          </wp:anchor>
        </w:drawing>
      </w:r>
    </w:p>
    <w:p>
      <w:pPr>
        <w:spacing w:after="0" w:line="3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PRUDENTIAL TOWER</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800 BOYLSTON STREET</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BOSTON, MA 02199-3600</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WWW.ROPESGRAY.COM</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12,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Zenas BioPharma,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Winter Street, Suite 1200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Waltham, MA 02451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acted as counsel to Zenas BioPharma,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(i) the Registration Statement on Form S-1 (File No. 333-281713) (as amended through the date hereof, the “</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filed by the Company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(ii) the second Registration Statement on Form S-1 filed by the Company pursuant to Rule 462(b) under the Securities Act (the “</w:t>
      </w:r>
      <w:r>
        <w:rPr>
          <w:rFonts w:ascii="Times New Roman" w:cs="Times New Roman" w:eastAsia="Times New Roman" w:hAnsi="Times New Roman"/>
          <w:sz w:val="18"/>
          <w:szCs w:val="18"/>
          <w:u w:val="single" w:color="auto"/>
          <w:color w:val="auto"/>
        </w:rPr>
        <w:t>462(b) Registration Statement</w:t>
      </w:r>
      <w:r>
        <w:rPr>
          <w:rFonts w:ascii="Times New Roman" w:cs="Times New Roman" w:eastAsia="Times New Roman" w:hAnsi="Times New Roman"/>
          <w:sz w:val="18"/>
          <w:szCs w:val="18"/>
          <w:color w:val="auto"/>
        </w:rPr>
        <w:t>,” and together with the Initial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This opinion letter is furnished to you in connection with the filing of the 462(b) Registration Statement, relating to the registration of up to 1,696,588 shares of the common stock, $0.0001 par value per share, of the Company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which includes shares issuable upon the exercise of the underwriters’ option to purchase additional shares, if any. The Securities are proposed to be sold pursuant to an underwriting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by and among the Company and Morgan Stanley &amp; Co. LLC and Jefferies LLC, as representatives of the underwriters named therein.</w:t>
      </w:r>
    </w:p>
    <w:p>
      <w:pPr>
        <w:spacing w:after="0" w:line="18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this opinion letter, we have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expressed below are limited to the Delaware General Corporation Law.</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the Securities have been duly authorized and, when issued and delivered pursuant to the Underwriting Agreement and against payment of the consideration set forth therein, will be, validly issued, fully paid and non-assessable.</w:t>
      </w:r>
    </w:p>
    <w:p>
      <w:pPr>
        <w:spacing w:after="0" w:line="16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hereby consent to your filing this opinion as an exhibit to the 462(b) Registration Statement and to the use of our name therein and in the related prospectus under the caption “Legal Matters.” In giving such consent, we do not thereby admit that we are in the category of persons whose consent is required under Section 7 of the Securities Act or the rules and regulations of the Commission thereunder.</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Ropes &amp; Gray LLP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S-1 filed pursuant to Rule 462(b) of the Securities Act of 1933 of the reference to our firm under the caption “Experts” and to the incorporation by reference of our report dated May 15, 2024 (except for Note 18(C), as to which the date is September 6, 2024) with respect to the consolidated financial statements of Zenas BioPharma, Inc. included in Amendment No. 1 to the Registration Statement (Form S-1 No. 333-281713) and the related Prospectus of Zenas BioPharma, Inc. for the registration of its common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Ernst &amp; Young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t>Table 1: New</w:t>
      </w:r>
      <w:r>
        <w:rPr>
          <w:rFonts w:ascii="Times New Roman" w:cs="Times New Roman" w:eastAsia="Times New Roman" w:hAnsi="Times New Roman"/>
          <w:sz w:val="18"/>
          <w:szCs w:val="18"/>
          <w:color w:val="auto"/>
        </w:rPr>
        <w:t xml:space="preserve">ly </w:t>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gi</w:t>
      </w:r>
      <w:r>
        <w:rPr>
          <w:rFonts w:ascii="Times New Roman" w:cs="Times New Roman" w:eastAsia="Times New Roman" w:hAnsi="Times New Roman"/>
          <w:sz w:val="18"/>
          <w:szCs w:val="18"/>
          <w:u w:val="single" w:color="auto"/>
          <w:color w:val="auto"/>
        </w:rPr>
        <w:t>stered Securities</w:t>
      </w:r>
    </w:p>
    <w:p>
      <w:pPr>
        <w:spacing w:after="0" w:line="223" w:lineRule="exact"/>
        <w:rPr>
          <w:sz w:val="20"/>
          <w:szCs w:val="20"/>
          <w:color w:val="auto"/>
        </w:rPr>
      </w:pPr>
    </w:p>
    <w:tbl>
      <w:tblPr>
        <w:tblLayout w:type="fixed"/>
        <w:tblInd w:w="590" w:type="dxa"/>
        <w:tblCellMar>
          <w:top w:w="0" w:type="dxa"/>
          <w:left w:w="0" w:type="dxa"/>
          <w:bottom w:w="0" w:type="dxa"/>
          <w:right w:w="0" w:type="dxa"/>
        </w:tblCellMar>
      </w:tblPr>
      <w:tr>
        <w:trPr>
          <w:trHeight w:val="207"/>
        </w:trPr>
        <w:tc>
          <w:tcPr>
            <w:tcW w:w="1020" w:type="dxa"/>
            <w:vAlign w:val="bottom"/>
            <w:tcBorders>
              <w:top w:val="single" w:sz="8" w:color="auto"/>
              <w:left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200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1040" w:type="dxa"/>
            <w:vAlign w:val="bottom"/>
            <w:tcBorders>
              <w:top w:val="single" w:sz="8" w:color="auto"/>
              <w:right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20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000" w:type="dxa"/>
            <w:vAlign w:val="bottom"/>
            <w:tcBorders>
              <w:top w:val="single" w:sz="8" w:color="auto"/>
              <w:right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0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0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right w:val="single" w:sz="8" w:color="auto"/>
            </w:tcBorders>
          </w:tcPr>
          <w:p>
            <w:pPr>
              <w:spacing w:after="0"/>
              <w:rPr>
                <w:sz w:val="9"/>
                <w:szCs w:val="9"/>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00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92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0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right w:val="single" w:sz="8" w:color="auto"/>
            </w:tcBorders>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 Class Title</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Carry</w:t>
            </w:r>
          </w:p>
        </w:tc>
        <w:tc>
          <w:tcPr>
            <w:tcW w:w="104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right w:val="single" w:sz="8" w:color="auto"/>
            </w:tcBorders>
          </w:tcPr>
          <w:p>
            <w:pPr>
              <w:spacing w:after="0"/>
              <w:rPr>
                <w:sz w:val="9"/>
                <w:szCs w:val="9"/>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Type</w:t>
            </w:r>
          </w:p>
        </w:tc>
        <w:tc>
          <w:tcPr>
            <w:tcW w:w="200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Registered(1)</w:t>
            </w:r>
          </w:p>
        </w:tc>
        <w:tc>
          <w:tcPr>
            <w:tcW w:w="92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Offering Price</w:t>
            </w:r>
          </w:p>
        </w:tc>
        <w:tc>
          <w:tcPr>
            <w:tcW w:w="100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1020" w:type="dxa"/>
            <w:vAlign w:val="bottom"/>
            <w:tcBorders>
              <w:left w:val="single" w:sz="8" w:color="auto"/>
              <w:right w:val="single" w:sz="8" w:color="auto"/>
            </w:tcBorders>
          </w:tcPr>
          <w:p>
            <w:pPr>
              <w:spacing w:after="0"/>
              <w:rPr>
                <w:sz w:val="16"/>
                <w:szCs w:val="16"/>
                <w:color w:val="auto"/>
              </w:rPr>
            </w:pPr>
          </w:p>
        </w:tc>
        <w:tc>
          <w:tcPr>
            <w:tcW w:w="820" w:type="dxa"/>
            <w:vAlign w:val="bottom"/>
            <w:tcBorders>
              <w:right w:val="single" w:sz="8" w:color="auto"/>
            </w:tcBorders>
            <w:vMerge w:val="continue"/>
          </w:tcPr>
          <w:p>
            <w:pPr>
              <w:spacing w:after="0"/>
              <w:rPr>
                <w:sz w:val="16"/>
                <w:szCs w:val="16"/>
                <w:color w:val="auto"/>
              </w:rPr>
            </w:pPr>
          </w:p>
        </w:tc>
        <w:tc>
          <w:tcPr>
            <w:tcW w:w="20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Forward</w:t>
            </w:r>
          </w:p>
        </w:tc>
        <w:tc>
          <w:tcPr>
            <w:tcW w:w="1040" w:type="dxa"/>
            <w:vAlign w:val="bottom"/>
            <w:tcBorders>
              <w:right w:val="single" w:sz="8" w:color="auto"/>
            </w:tcBorders>
            <w:vMerge w:val="continue"/>
          </w:tcPr>
          <w:p>
            <w:pPr>
              <w:spacing w:after="0"/>
              <w:rPr>
                <w:sz w:val="16"/>
                <w:szCs w:val="16"/>
                <w:color w:val="auto"/>
              </w:rPr>
            </w:pPr>
          </w:p>
        </w:tc>
        <w:tc>
          <w:tcPr>
            <w:tcW w:w="92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Price Per</w:t>
            </w:r>
          </w:p>
        </w:tc>
        <w:tc>
          <w:tcPr>
            <w:tcW w:w="1200" w:type="dxa"/>
            <w:vAlign w:val="bottom"/>
            <w:tcBorders>
              <w:right w:val="single" w:sz="8" w:color="auto"/>
            </w:tcBorders>
            <w:vMerge w:val="continue"/>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Fee (3)</w:t>
            </w: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0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Unit(2)</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020" w:type="dxa"/>
            <w:vAlign w:val="bottom"/>
            <w:tcBorders>
              <w:left w:val="single" w:sz="8" w:color="auto"/>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vMerge w:val="continue"/>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vMerge w:val="continue"/>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0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Fees to Be</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Common Stock, par value</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457(a)</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1,696,588</w:t>
            </w:r>
          </w:p>
        </w:tc>
        <w:tc>
          <w:tcPr>
            <w:tcW w:w="920" w:type="dxa"/>
            <w:vAlign w:val="bottom"/>
            <w:tcBorders>
              <w:right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$17.00</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$28,841,996</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0.00014760</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$4,257.08</w:t>
            </w:r>
          </w:p>
        </w:tc>
        <w:tc>
          <w:tcPr>
            <w:tcW w:w="0" w:type="dxa"/>
            <w:vAlign w:val="bottom"/>
          </w:tcPr>
          <w:p>
            <w:pPr>
              <w:spacing w:after="0"/>
              <w:rPr>
                <w:sz w:val="1"/>
                <w:szCs w:val="1"/>
                <w:color w:val="auto"/>
              </w:rPr>
            </w:pPr>
          </w:p>
        </w:tc>
      </w:tr>
      <w:tr>
        <w:trPr>
          <w:trHeight w:val="126"/>
        </w:trPr>
        <w:tc>
          <w:tcPr>
            <w:tcW w:w="10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820" w:type="dxa"/>
            <w:vAlign w:val="bottom"/>
            <w:tcBorders>
              <w:right w:val="single" w:sz="8" w:color="auto"/>
            </w:tcBorders>
            <w:vMerge w:val="continue"/>
          </w:tcPr>
          <w:p>
            <w:pPr>
              <w:spacing w:after="0"/>
              <w:rPr>
                <w:sz w:val="10"/>
                <w:szCs w:val="10"/>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$0.0001 per share</w:t>
            </w:r>
          </w:p>
        </w:tc>
        <w:tc>
          <w:tcPr>
            <w:tcW w:w="1000" w:type="dxa"/>
            <w:vAlign w:val="bottom"/>
            <w:tcBorders>
              <w:right w:val="single" w:sz="8" w:color="auto"/>
            </w:tcBorders>
            <w:vMerge w:val="continue"/>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2000" w:type="dxa"/>
            <w:vAlign w:val="bottom"/>
            <w:tcBorders>
              <w:bottom w:val="single" w:sz="8" w:color="auto"/>
              <w:right w:val="single" w:sz="8" w:color="auto"/>
            </w:tcBorders>
            <w:vMerge w:val="continue"/>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104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$28,841,996</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$4,257.08</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Total Fees Previously Paid</w:t>
            </w:r>
          </w:p>
        </w:tc>
        <w:tc>
          <w:tcPr>
            <w:tcW w:w="104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104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04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$4,257.08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0" w:right="120" w:hanging="392"/>
        <w:spacing w:after="0" w:line="266" w:lineRule="auto"/>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only the additional number of shares being registered and includes 221,294 shares of common stock that may be sold if the underwriters exercise their option to purchase additional shares of common stock. Does not include the securities that the registrant previously registered on the Registration Statement on Form S-1, as amended (File No. 333-281713).</w:t>
      </w:r>
    </w:p>
    <w:p>
      <w:pPr>
        <w:spacing w:after="0" w:line="175" w:lineRule="exact"/>
        <w:rPr>
          <w:rFonts w:ascii="Times New Roman" w:cs="Times New Roman" w:eastAsia="Times New Roman" w:hAnsi="Times New Roman"/>
          <w:sz w:val="18"/>
          <w:szCs w:val="18"/>
          <w:color w:val="auto"/>
        </w:rPr>
      </w:pPr>
    </w:p>
    <w:p>
      <w:pPr>
        <w:ind w:left="400" w:right="300" w:hanging="392"/>
        <w:spacing w:after="0" w:line="282" w:lineRule="auto"/>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 is calculated in accordance with Rule 457(a) under the Securities Act of 1933, as amended, based on the proposed maximum aggregate offering price.</w:t>
      </w:r>
    </w:p>
    <w:p>
      <w:pPr>
        <w:spacing w:after="0" w:line="161" w:lineRule="exact"/>
        <w:rPr>
          <w:rFonts w:ascii="Times New Roman" w:cs="Times New Roman" w:eastAsia="Times New Roman" w:hAnsi="Times New Roman"/>
          <w:sz w:val="18"/>
          <w:szCs w:val="18"/>
          <w:color w:val="auto"/>
        </w:rPr>
      </w:pPr>
    </w:p>
    <w:p>
      <w:pPr>
        <w:ind w:left="400" w:right="20" w:hanging="392"/>
        <w:spacing w:after="0" w:line="258" w:lineRule="auto"/>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previously registered securities having a proposed maximum aggregate offering price of $243,432,000 on a Registration Statement on Form S-1 (File No. 333-281713), which was declared effective by the Securities and Exchange Commission on September 12, 2024. In accordance with Rule 462(b) under the Securities Act, an additional amount of securities having a proposed maximum aggregate offering price of $28,841,996 is hereby registered, which includes shares of common stock that may be sold if the underwriters exercise their option to purchase additional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33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2"/>
      <w:numFmt w:val="decimal"/>
      <w:start w:val="107"/>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jpe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13" Type="http://schemas.openxmlformats.org/officeDocument/2006/relationships/hyperlink" Target="https://www.sec.gov/Archives/edgar/data/1953926/000110465924091950/tm2332800-11_s1.htm" TargetMode="External"/><Relationship Id="rId17" Type="http://schemas.openxmlformats.org/officeDocument/2006/relationships/hyperlink" Target="https://www.sec.gov/Archives/edgar/data/1953926/000110465924091950/tm2332800-11_s1.htm#t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2024-09-12T20:26:56Z</dcterms:created>
  <dcterms:modified xsi:type="dcterms:W3CDTF">2024-09-12T20:26:56Z</dcterms:modified>
</cp:coreProperties>
</file>