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sz w:val="20"/>
          <w:szCs w:val="20"/>
          <w:color w:val="auto"/>
        </w:rPr>
      </w:pPr>
      <w:r>
        <w:rPr>
          <w:rFonts w:ascii="Calibri" w:cs="Calibri" w:eastAsia="Calibri" w:hAnsi="Calibri"/>
          <w:sz w:val="12"/>
          <w:szCs w:val="12"/>
          <w:color w:val="003366"/>
        </w:rPr>
        <w:t>TABLE OF CONTENTS</w:t>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confidentially submitted with the Securities and Exchange Commission on May 15, 2024, as Amendment No. 1 to the draft</w:t>
      </w:r>
    </w:p>
    <w:p>
      <w:pPr>
        <w:jc w:val="center"/>
        <w:ind w:right="39"/>
        <w:spacing w:after="0" w:line="212" w:lineRule="auto"/>
        <w:rPr>
          <w:sz w:val="20"/>
          <w:szCs w:val="20"/>
          <w:color w:val="auto"/>
        </w:rPr>
      </w:pPr>
      <w:r>
        <w:rPr>
          <w:rFonts w:ascii="Times New Roman" w:cs="Times New Roman" w:eastAsia="Times New Roman" w:hAnsi="Times New Roman"/>
          <w:sz w:val="14"/>
          <w:szCs w:val="14"/>
          <w:b w:val="1"/>
          <w:bCs w:val="1"/>
          <w:color w:val="auto"/>
        </w:rPr>
        <w:t>registration statement confidentially submitted on January 25,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This draft registration statement has not been filed publicly with the Securities and Exchange Commission and all information contained</w:t>
      </w:r>
    </w:p>
    <w:p>
      <w:pPr>
        <w:jc w:val="center"/>
        <w:ind w:right="19"/>
        <w:spacing w:after="0" w:line="235" w:lineRule="auto"/>
        <w:rPr>
          <w:sz w:val="20"/>
          <w:szCs w:val="20"/>
          <w:color w:val="auto"/>
        </w:rPr>
      </w:pPr>
      <w:r>
        <w:rPr>
          <w:rFonts w:ascii="Times New Roman" w:cs="Times New Roman" w:eastAsia="Times New Roman" w:hAnsi="Times New Roman"/>
          <w:sz w:val="14"/>
          <w:szCs w:val="14"/>
          <w:b w:val="1"/>
          <w:bCs w:val="1"/>
          <w:color w:val="auto"/>
        </w:rPr>
        <w:t>herein remains strictly confidential.</w:t>
      </w:r>
    </w:p>
    <w:p>
      <w:pPr>
        <w:jc w:val="right"/>
        <w:ind w:right="519"/>
        <w:spacing w:after="0" w:line="216" w:lineRule="auto"/>
        <w:rPr>
          <w:sz w:val="20"/>
          <w:szCs w:val="20"/>
          <w:color w:val="auto"/>
        </w:rPr>
      </w:pPr>
      <w:r>
        <w:rPr>
          <w:rFonts w:ascii="Times New Roman" w:cs="Times New Roman" w:eastAsia="Times New Roman" w:hAnsi="Times New Roman"/>
          <w:sz w:val="14"/>
          <w:szCs w:val="14"/>
          <w:b w:val="1"/>
          <w:bCs w:val="1"/>
          <w:color w:val="auto"/>
        </w:rPr>
        <w:t>Registration No. 333-        ​</w:t>
      </w:r>
    </w:p>
    <w:p>
      <w:pPr>
        <w:ind w:left="5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1905</wp:posOffset>
            </wp:positionV>
            <wp:extent cx="503682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6820" cy="1397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36830</wp:posOffset>
            </wp:positionV>
            <wp:extent cx="5036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UNITED STATES</w:t>
      </w:r>
    </w:p>
    <w:p>
      <w:pPr>
        <w:jc w:val="center"/>
        <w:ind w:right="19"/>
        <w:spacing w:after="0" w:line="219" w:lineRule="auto"/>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40640</wp:posOffset>
            </wp:positionV>
            <wp:extent cx="8928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S-1</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26670</wp:posOffset>
            </wp:positionV>
            <wp:extent cx="8928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ZENAS BIOPHARMA, INC.</w:t>
      </w:r>
    </w:p>
    <w:tbl>
      <w:tblPr>
        <w:tblLayout w:type="fixed"/>
        <w:tblInd w:w="540" w:type="dxa"/>
        <w:tblCellMar>
          <w:top w:w="0" w:type="dxa"/>
          <w:left w:w="0" w:type="dxa"/>
          <w:bottom w:w="0" w:type="dxa"/>
          <w:right w:w="0" w:type="dxa"/>
        </w:tblCellMar>
      </w:tblPr>
      <w:tr>
        <w:trPr>
          <w:trHeight w:val="194"/>
        </w:trPr>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25"/>
        </w:trPr>
        <w:tc>
          <w:tcPr>
            <w:tcW w:w="2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w:t>
            </w:r>
          </w:p>
        </w:tc>
        <w:tc>
          <w:tcPr>
            <w:tcW w:w="2240" w:type="dxa"/>
            <w:vAlign w:val="bottom"/>
          </w:tcPr>
          <w:p>
            <w:pPr>
              <w:jc w:val="center"/>
              <w:ind w:right="193"/>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Delaware</w:t>
            </w:r>
          </w:p>
        </w:tc>
        <w:tc>
          <w:tcPr>
            <w:tcW w:w="160" w:type="dxa"/>
            <w:vAlign w:val="bottom"/>
          </w:tcPr>
          <w:p>
            <w:pPr>
              <w:ind w:left="60"/>
              <w:spacing w:after="0" w:line="126"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tcPr>
          <w:p>
            <w:pPr>
              <w:spacing w:after="0"/>
              <w:rPr>
                <w:sz w:val="10"/>
                <w:szCs w:val="10"/>
                <w:color w:val="auto"/>
              </w:rPr>
            </w:pPr>
          </w:p>
        </w:tc>
        <w:tc>
          <w:tcPr>
            <w:tcW w:w="14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2834</w:t>
            </w:r>
          </w:p>
        </w:tc>
        <w:tc>
          <w:tcPr>
            <w:tcW w:w="320" w:type="dxa"/>
            <w:vAlign w:val="bottom"/>
          </w:tcPr>
          <w:p>
            <w:pPr>
              <w:spacing w:after="0"/>
              <w:rPr>
                <w:sz w:val="10"/>
                <w:szCs w:val="10"/>
                <w:color w:val="auto"/>
              </w:rPr>
            </w:pPr>
          </w:p>
        </w:tc>
        <w:tc>
          <w:tcPr>
            <w:tcW w:w="340" w:type="dxa"/>
            <w:vAlign w:val="bottom"/>
          </w:tcPr>
          <w:p>
            <w:pPr>
              <w:ind w:left="2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100" w:type="dxa"/>
            <w:vAlign w:val="bottom"/>
          </w:tcPr>
          <w:p>
            <w:pPr>
              <w:jc w:val="center"/>
              <w:ind w:left="291"/>
              <w:spacing w:after="0" w:line="125" w:lineRule="exact"/>
              <w:rPr>
                <w:sz w:val="20"/>
                <w:szCs w:val="20"/>
                <w:color w:val="auto"/>
              </w:rPr>
            </w:pPr>
            <w:r>
              <w:rPr>
                <w:rFonts w:ascii="Times New Roman" w:cs="Times New Roman" w:eastAsia="Times New Roman" w:hAnsi="Times New Roman"/>
                <w:sz w:val="14"/>
                <w:szCs w:val="14"/>
                <w:b w:val="1"/>
                <w:bCs w:val="1"/>
                <w:color w:val="auto"/>
                <w:w w:val="97"/>
              </w:rPr>
              <w:t>93-2749244</w:t>
            </w:r>
          </w:p>
        </w:tc>
        <w:tc>
          <w:tcPr>
            <w:tcW w:w="440" w:type="dxa"/>
            <w:vAlign w:val="bottom"/>
          </w:tcPr>
          <w:p>
            <w:pPr>
              <w:ind w:left="40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17"/>
        </w:trPr>
        <w:tc>
          <w:tcPr>
            <w:tcW w:w="280" w:type="dxa"/>
            <w:vAlign w:val="bottom"/>
          </w:tcPr>
          <w:p>
            <w:pPr>
              <w:spacing w:after="0"/>
              <w:rPr>
                <w:sz w:val="10"/>
                <w:szCs w:val="10"/>
                <w:color w:val="auto"/>
              </w:rPr>
            </w:pPr>
          </w:p>
        </w:tc>
        <w:tc>
          <w:tcPr>
            <w:tcW w:w="2240" w:type="dxa"/>
            <w:vAlign w:val="bottom"/>
          </w:tcPr>
          <w:p>
            <w:pPr>
              <w:jc w:val="center"/>
              <w:ind w:right="233"/>
              <w:spacing w:after="0" w:line="117"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160" w:type="dxa"/>
            <w:vAlign w:val="bottom"/>
          </w:tcPr>
          <w:p>
            <w:pPr>
              <w:spacing w:after="0"/>
              <w:rPr>
                <w:sz w:val="10"/>
                <w:szCs w:val="10"/>
                <w:color w:val="auto"/>
              </w:rPr>
            </w:pPr>
          </w:p>
        </w:tc>
        <w:tc>
          <w:tcPr>
            <w:tcW w:w="2300" w:type="dxa"/>
            <w:vAlign w:val="bottom"/>
            <w:gridSpan w:val="3"/>
          </w:tcPr>
          <w:p>
            <w:pPr>
              <w:ind w:left="560"/>
              <w:spacing w:after="0" w:line="117" w:lineRule="exact"/>
              <w:rPr>
                <w:sz w:val="20"/>
                <w:szCs w:val="20"/>
                <w:color w:val="auto"/>
              </w:rPr>
            </w:pPr>
            <w:r>
              <w:rPr>
                <w:rFonts w:ascii="Times New Roman" w:cs="Times New Roman" w:eastAsia="Times New Roman" w:hAnsi="Times New Roman"/>
                <w:sz w:val="12"/>
                <w:szCs w:val="12"/>
                <w:color w:val="auto"/>
              </w:rPr>
              <w:t>(Primary Standard Industrial</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tcPr>
          <w:p>
            <w:pPr>
              <w:jc w:val="center"/>
              <w:ind w:left="271"/>
              <w:spacing w:after="0" w:line="117" w:lineRule="exact"/>
              <w:rPr>
                <w:sz w:val="20"/>
                <w:szCs w:val="20"/>
                <w:color w:val="auto"/>
              </w:rPr>
            </w:pPr>
            <w:r>
              <w:rPr>
                <w:rFonts w:ascii="Times New Roman" w:cs="Times New Roman" w:eastAsia="Times New Roman" w:hAnsi="Times New Roman"/>
                <w:sz w:val="12"/>
                <w:szCs w:val="12"/>
                <w:color w:val="auto"/>
              </w:rPr>
              <w:t>(I.R.S. Employer</w:t>
            </w:r>
          </w:p>
        </w:tc>
        <w:tc>
          <w:tcPr>
            <w:tcW w:w="440" w:type="dxa"/>
            <w:vAlign w:val="bottom"/>
          </w:tcPr>
          <w:p>
            <w:pPr>
              <w:spacing w:after="0"/>
              <w:rPr>
                <w:sz w:val="10"/>
                <w:szCs w:val="10"/>
                <w:color w:val="auto"/>
              </w:rPr>
            </w:pPr>
          </w:p>
        </w:tc>
      </w:tr>
      <w:tr>
        <w:trPr>
          <w:trHeight w:val="185"/>
        </w:trPr>
        <w:tc>
          <w:tcPr>
            <w:tcW w:w="280" w:type="dxa"/>
            <w:vAlign w:val="bottom"/>
          </w:tcPr>
          <w:p>
            <w:pPr>
              <w:spacing w:after="0"/>
              <w:rPr>
                <w:sz w:val="16"/>
                <w:szCs w:val="16"/>
                <w:color w:val="auto"/>
              </w:rPr>
            </w:pPr>
          </w:p>
        </w:tc>
        <w:tc>
          <w:tcPr>
            <w:tcW w:w="2240" w:type="dxa"/>
            <w:vAlign w:val="bottom"/>
          </w:tcPr>
          <w:p>
            <w:pPr>
              <w:jc w:val="center"/>
              <w:ind w:right="173"/>
              <w:spacing w:after="0"/>
              <w:rPr>
                <w:sz w:val="20"/>
                <w:szCs w:val="20"/>
                <w:color w:val="auto"/>
              </w:rPr>
            </w:pPr>
            <w:r>
              <w:rPr>
                <w:rFonts w:ascii="Times New Roman" w:cs="Times New Roman" w:eastAsia="Times New Roman" w:hAnsi="Times New Roman"/>
                <w:sz w:val="12"/>
                <w:szCs w:val="12"/>
                <w:color w:val="auto"/>
              </w:rPr>
              <w:t>incorporation or organization)</w:t>
            </w: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300" w:type="dxa"/>
            <w:vAlign w:val="bottom"/>
            <w:gridSpan w:val="3"/>
          </w:tcPr>
          <w:p>
            <w:pPr>
              <w:jc w:val="center"/>
              <w:ind w:left="236"/>
              <w:spacing w:after="0"/>
              <w:rPr>
                <w:sz w:val="20"/>
                <w:szCs w:val="20"/>
                <w:color w:val="auto"/>
              </w:rPr>
            </w:pPr>
            <w:r>
              <w:rPr>
                <w:rFonts w:ascii="Times New Roman" w:cs="Times New Roman" w:eastAsia="Times New Roman" w:hAnsi="Times New Roman"/>
                <w:sz w:val="12"/>
                <w:szCs w:val="12"/>
                <w:color w:val="auto"/>
              </w:rPr>
              <w:t>Classification Code Number)</w:t>
            </w: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ind w:left="291"/>
              <w:spacing w:after="0"/>
              <w:rPr>
                <w:sz w:val="20"/>
                <w:szCs w:val="20"/>
                <w:color w:val="auto"/>
              </w:rPr>
            </w:pPr>
            <w:r>
              <w:rPr>
                <w:rFonts w:ascii="Times New Roman" w:cs="Times New Roman" w:eastAsia="Times New Roman" w:hAnsi="Times New Roman"/>
                <w:sz w:val="12"/>
                <w:szCs w:val="12"/>
                <w:color w:val="auto"/>
              </w:rPr>
              <w:t>Identification No.)</w:t>
            </w:r>
          </w:p>
        </w:tc>
        <w:tc>
          <w:tcPr>
            <w:tcW w:w="440" w:type="dxa"/>
            <w:vAlign w:val="bottom"/>
          </w:tcPr>
          <w:p>
            <w:pPr>
              <w:spacing w:after="0"/>
              <w:rPr>
                <w:sz w:val="16"/>
                <w:szCs w:val="16"/>
                <w:color w:val="auto"/>
              </w:rPr>
            </w:pPr>
          </w:p>
        </w:tc>
      </w:tr>
      <w:tr>
        <w:trPr>
          <w:trHeight w:val="264"/>
        </w:trPr>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1000 Winter Street, North Building, Suite 1200</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145"/>
        </w:trPr>
        <w:tc>
          <w:tcPr>
            <w:tcW w:w="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Waltham, MA 02451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9"/>
        </w:trPr>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8"/>
              </w:rPr>
              <w:t>(857) 271-2954</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50"/>
        </w:trPr>
        <w:tc>
          <w:tcPr>
            <w:tcW w:w="280" w:type="dxa"/>
            <w:vAlign w:val="bottom"/>
          </w:tcPr>
          <w:p>
            <w:pPr>
              <w:spacing w:after="0"/>
              <w:rPr>
                <w:sz w:val="13"/>
                <w:szCs w:val="13"/>
                <w:color w:val="auto"/>
              </w:rPr>
            </w:pPr>
          </w:p>
        </w:tc>
        <w:tc>
          <w:tcPr>
            <w:tcW w:w="7240" w:type="dxa"/>
            <w:vAlign w:val="bottom"/>
            <w:gridSpan w:val="8"/>
          </w:tcPr>
          <w:p>
            <w:pPr>
              <w:jc w:val="center"/>
              <w:ind w:left="73"/>
              <w:spacing w:after="0"/>
              <w:rPr>
                <w:sz w:val="20"/>
                <w:szCs w:val="20"/>
                <w:color w:val="auto"/>
              </w:rPr>
            </w:pPr>
            <w:r>
              <w:rPr>
                <w:rFonts w:ascii="Times New Roman" w:cs="Times New Roman" w:eastAsia="Times New Roman" w:hAnsi="Times New Roman"/>
                <w:sz w:val="12"/>
                <w:szCs w:val="12"/>
                <w:color w:val="auto"/>
              </w:rPr>
              <w:t>(Address, including zip code, and telephone number, including area code, of registrant’s principal executive offices)</w:t>
            </w:r>
          </w:p>
        </w:tc>
        <w:tc>
          <w:tcPr>
            <w:tcW w:w="440" w:type="dxa"/>
            <w:vAlign w:val="bottom"/>
          </w:tcPr>
          <w:p>
            <w:pPr>
              <w:spacing w:after="0"/>
              <w:rPr>
                <w:sz w:val="13"/>
                <w:szCs w:val="13"/>
                <w:color w:val="auto"/>
              </w:rPr>
            </w:pPr>
          </w:p>
        </w:tc>
      </w:tr>
      <w:tr>
        <w:trPr>
          <w:trHeight w:val="32"/>
        </w:trPr>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7"/>
        </w:trPr>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Leon O. Moulder, Jr.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3"/>
        </w:trPr>
        <w:tc>
          <w:tcPr>
            <w:tcW w:w="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Chief Executive Officer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52"/>
        </w:trPr>
        <w:tc>
          <w:tcPr>
            <w:tcW w:w="2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0" w:type="dxa"/>
            <w:vAlign w:val="bottom"/>
            <w:gridSpan w:val="5"/>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1000 Winter Street, North Building, Suite 1200</w:t>
            </w: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5"/>
        </w:trPr>
        <w:tc>
          <w:tcPr>
            <w:tcW w:w="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Waltham, MA 02451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9"/>
        </w:trPr>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8"/>
              </w:rPr>
              <w:t>(857) 271-2954</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50"/>
        </w:trPr>
        <w:tc>
          <w:tcPr>
            <w:tcW w:w="280" w:type="dxa"/>
            <w:vAlign w:val="bottom"/>
          </w:tcPr>
          <w:p>
            <w:pPr>
              <w:spacing w:after="0"/>
              <w:rPr>
                <w:sz w:val="13"/>
                <w:szCs w:val="13"/>
                <w:color w:val="auto"/>
              </w:rPr>
            </w:pPr>
          </w:p>
        </w:tc>
        <w:tc>
          <w:tcPr>
            <w:tcW w:w="7240" w:type="dxa"/>
            <w:vAlign w:val="bottom"/>
            <w:gridSpan w:val="8"/>
          </w:tcPr>
          <w:p>
            <w:pPr>
              <w:jc w:val="center"/>
              <w:ind w:left="53"/>
              <w:spacing w:after="0"/>
              <w:rPr>
                <w:sz w:val="20"/>
                <w:szCs w:val="20"/>
                <w:color w:val="auto"/>
              </w:rPr>
            </w:pPr>
            <w:r>
              <w:rPr>
                <w:rFonts w:ascii="Times New Roman" w:cs="Times New Roman" w:eastAsia="Times New Roman" w:hAnsi="Times New Roman"/>
                <w:sz w:val="12"/>
                <w:szCs w:val="12"/>
                <w:color w:val="auto"/>
              </w:rPr>
              <w:t>(Name, address, including zip code, and telephone number, including area code, of agent for service)</w:t>
            </w:r>
          </w:p>
        </w:tc>
        <w:tc>
          <w:tcPr>
            <w:tcW w:w="440" w:type="dxa"/>
            <w:vAlign w:val="bottom"/>
          </w:tcPr>
          <w:p>
            <w:pPr>
              <w:spacing w:after="0"/>
              <w:rPr>
                <w:sz w:val="13"/>
                <w:szCs w:val="13"/>
                <w:color w:val="auto"/>
              </w:rPr>
            </w:pPr>
          </w:p>
        </w:tc>
      </w:tr>
      <w:tr>
        <w:trPr>
          <w:trHeight w:val="43"/>
        </w:trPr>
        <w:tc>
          <w:tcPr>
            <w:tcW w:w="2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09"/>
        </w:trPr>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Copies to:</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45"/>
        </w:trPr>
        <w:tc>
          <w:tcPr>
            <w:tcW w:w="28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jc w:val="center"/>
              <w:ind w:left="973"/>
              <w:spacing w:after="0" w:line="145" w:lineRule="exact"/>
              <w:rPr>
                <w:sz w:val="20"/>
                <w:szCs w:val="20"/>
                <w:color w:val="auto"/>
              </w:rPr>
            </w:pPr>
            <w:r>
              <w:rPr>
                <w:rFonts w:ascii="Times New Roman" w:cs="Times New Roman" w:eastAsia="Times New Roman" w:hAnsi="Times New Roman"/>
                <w:sz w:val="14"/>
                <w:szCs w:val="14"/>
                <w:b w:val="1"/>
                <w:bCs w:val="1"/>
                <w:color w:val="auto"/>
                <w:w w:val="96"/>
              </w:rPr>
              <w:t>Thomas Danielski</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ind w:right="951"/>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440" w:type="dxa"/>
            <w:vAlign w:val="bottom"/>
          </w:tcPr>
          <w:p>
            <w:pPr>
              <w:ind w:left="40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43"/>
        </w:trPr>
        <w:tc>
          <w:tcPr>
            <w:tcW w:w="280" w:type="dxa"/>
            <w:vAlign w:val="bottom"/>
          </w:tcPr>
          <w:p>
            <w:pPr>
              <w:spacing w:after="0"/>
              <w:rPr>
                <w:sz w:val="12"/>
                <w:szCs w:val="12"/>
                <w:color w:val="auto"/>
              </w:rPr>
            </w:pPr>
          </w:p>
        </w:tc>
        <w:tc>
          <w:tcPr>
            <w:tcW w:w="2240" w:type="dxa"/>
            <w:vAlign w:val="bottom"/>
          </w:tcPr>
          <w:p>
            <w:pPr>
              <w:jc w:val="center"/>
              <w:ind w:left="953"/>
              <w:spacing w:after="0" w:line="143" w:lineRule="exact"/>
              <w:rPr>
                <w:sz w:val="20"/>
                <w:szCs w:val="20"/>
                <w:color w:val="auto"/>
              </w:rPr>
            </w:pPr>
            <w:r>
              <w:rPr>
                <w:rFonts w:ascii="Times New Roman" w:cs="Times New Roman" w:eastAsia="Times New Roman" w:hAnsi="Times New Roman"/>
                <w:sz w:val="14"/>
                <w:szCs w:val="14"/>
                <w:b w:val="1"/>
                <w:bCs w:val="1"/>
                <w:color w:val="auto"/>
                <w:w w:val="97"/>
              </w:rPr>
              <w:t>Paul Kinsella</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ind w:right="951"/>
              <w:spacing w:after="0" w:line="143" w:lineRule="exact"/>
              <w:rPr>
                <w:sz w:val="20"/>
                <w:szCs w:val="20"/>
                <w:color w:val="auto"/>
              </w:rPr>
            </w:pPr>
            <w:r>
              <w:rPr>
                <w:rFonts w:ascii="Times New Roman" w:cs="Times New Roman" w:eastAsia="Times New Roman" w:hAnsi="Times New Roman"/>
                <w:sz w:val="14"/>
                <w:szCs w:val="14"/>
                <w:b w:val="1"/>
                <w:bCs w:val="1"/>
                <w:color w:val="auto"/>
                <w:w w:val="95"/>
              </w:rPr>
              <w:t>Denny Won</w:t>
            </w:r>
          </w:p>
        </w:tc>
        <w:tc>
          <w:tcPr>
            <w:tcW w:w="440" w:type="dxa"/>
            <w:vAlign w:val="bottom"/>
          </w:tcPr>
          <w:p>
            <w:pPr>
              <w:spacing w:after="0"/>
              <w:rPr>
                <w:sz w:val="12"/>
                <w:szCs w:val="12"/>
                <w:color w:val="auto"/>
              </w:rPr>
            </w:pPr>
          </w:p>
        </w:tc>
      </w:tr>
      <w:tr>
        <w:trPr>
          <w:trHeight w:val="143"/>
        </w:trPr>
        <w:tc>
          <w:tcPr>
            <w:tcW w:w="280" w:type="dxa"/>
            <w:vAlign w:val="bottom"/>
          </w:tcPr>
          <w:p>
            <w:pPr>
              <w:spacing w:after="0"/>
              <w:rPr>
                <w:sz w:val="12"/>
                <w:szCs w:val="12"/>
                <w:color w:val="auto"/>
              </w:rPr>
            </w:pPr>
          </w:p>
        </w:tc>
        <w:tc>
          <w:tcPr>
            <w:tcW w:w="2240" w:type="dxa"/>
            <w:vAlign w:val="bottom"/>
          </w:tcPr>
          <w:p>
            <w:pPr>
              <w:jc w:val="center"/>
              <w:ind w:left="953"/>
              <w:spacing w:after="0" w:line="143" w:lineRule="exact"/>
              <w:rPr>
                <w:sz w:val="20"/>
                <w:szCs w:val="20"/>
                <w:color w:val="auto"/>
              </w:rPr>
            </w:pPr>
            <w:r>
              <w:rPr>
                <w:rFonts w:ascii="Times New Roman" w:cs="Times New Roman" w:eastAsia="Times New Roman" w:hAnsi="Times New Roman"/>
                <w:sz w:val="14"/>
                <w:szCs w:val="14"/>
                <w:b w:val="1"/>
                <w:bCs w:val="1"/>
                <w:color w:val="auto"/>
                <w:w w:val="97"/>
              </w:rPr>
              <w:t>Nicholas Roper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ind w:right="951"/>
              <w:spacing w:after="0" w:line="143" w:lineRule="exact"/>
              <w:rPr>
                <w:sz w:val="20"/>
                <w:szCs w:val="20"/>
                <w:color w:val="auto"/>
              </w:rPr>
            </w:pPr>
            <w:r>
              <w:rPr>
                <w:rFonts w:ascii="Times New Roman" w:cs="Times New Roman" w:eastAsia="Times New Roman" w:hAnsi="Times New Roman"/>
                <w:sz w:val="14"/>
                <w:szCs w:val="14"/>
                <w:b w:val="1"/>
                <w:bCs w:val="1"/>
                <w:color w:val="auto"/>
                <w:w w:val="97"/>
              </w:rPr>
              <w:t>Divakar Gupta</w:t>
            </w:r>
          </w:p>
        </w:tc>
        <w:tc>
          <w:tcPr>
            <w:tcW w:w="440" w:type="dxa"/>
            <w:vAlign w:val="bottom"/>
          </w:tcPr>
          <w:p>
            <w:pPr>
              <w:spacing w:after="0"/>
              <w:rPr>
                <w:sz w:val="12"/>
                <w:szCs w:val="12"/>
                <w:color w:val="auto"/>
              </w:rPr>
            </w:pPr>
          </w:p>
        </w:tc>
      </w:tr>
      <w:tr>
        <w:trPr>
          <w:trHeight w:val="132"/>
        </w:trPr>
        <w:tc>
          <w:tcPr>
            <w:tcW w:w="280" w:type="dxa"/>
            <w:vAlign w:val="bottom"/>
          </w:tcPr>
          <w:p>
            <w:pPr>
              <w:spacing w:after="0"/>
              <w:rPr>
                <w:sz w:val="11"/>
                <w:szCs w:val="11"/>
                <w:color w:val="auto"/>
              </w:rPr>
            </w:pPr>
          </w:p>
        </w:tc>
        <w:tc>
          <w:tcPr>
            <w:tcW w:w="2240" w:type="dxa"/>
            <w:vAlign w:val="bottom"/>
          </w:tcPr>
          <w:p>
            <w:pPr>
              <w:jc w:val="center"/>
              <w:ind w:left="953"/>
              <w:spacing w:after="0" w:line="132" w:lineRule="exact"/>
              <w:rPr>
                <w:sz w:val="20"/>
                <w:szCs w:val="20"/>
                <w:color w:val="auto"/>
              </w:rPr>
            </w:pPr>
            <w:r>
              <w:rPr>
                <w:rFonts w:ascii="Times New Roman" w:cs="Times New Roman" w:eastAsia="Times New Roman" w:hAnsi="Times New Roman"/>
                <w:sz w:val="14"/>
                <w:szCs w:val="14"/>
                <w:b w:val="1"/>
                <w:bCs w:val="1"/>
                <w:color w:val="auto"/>
                <w:w w:val="97"/>
              </w:rPr>
              <w:t>Ropes &amp; Gray LLP</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jc w:val="center"/>
              <w:ind w:right="951"/>
              <w:spacing w:after="0" w:line="132" w:lineRule="exact"/>
              <w:rPr>
                <w:sz w:val="20"/>
                <w:szCs w:val="20"/>
                <w:color w:val="auto"/>
              </w:rPr>
            </w:pPr>
            <w:r>
              <w:rPr>
                <w:rFonts w:ascii="Times New Roman" w:cs="Times New Roman" w:eastAsia="Times New Roman" w:hAnsi="Times New Roman"/>
                <w:sz w:val="14"/>
                <w:szCs w:val="14"/>
                <w:b w:val="1"/>
                <w:bCs w:val="1"/>
                <w:color w:val="auto"/>
                <w:w w:val="96"/>
              </w:rPr>
              <w:t>Evan Leitner</w:t>
            </w:r>
          </w:p>
        </w:tc>
        <w:tc>
          <w:tcPr>
            <w:tcW w:w="440" w:type="dxa"/>
            <w:vAlign w:val="bottom"/>
          </w:tcPr>
          <w:p>
            <w:pPr>
              <w:spacing w:after="0"/>
              <w:rPr>
                <w:sz w:val="11"/>
                <w:szCs w:val="11"/>
                <w:color w:val="auto"/>
              </w:rPr>
            </w:pPr>
          </w:p>
        </w:tc>
      </w:tr>
      <w:tr>
        <w:trPr>
          <w:trHeight w:val="143"/>
        </w:trPr>
        <w:tc>
          <w:tcPr>
            <w:tcW w:w="280" w:type="dxa"/>
            <w:vAlign w:val="bottom"/>
          </w:tcPr>
          <w:p>
            <w:pPr>
              <w:spacing w:after="0"/>
              <w:rPr>
                <w:sz w:val="12"/>
                <w:szCs w:val="12"/>
                <w:color w:val="auto"/>
              </w:rPr>
            </w:pPr>
          </w:p>
        </w:tc>
        <w:tc>
          <w:tcPr>
            <w:tcW w:w="2240" w:type="dxa"/>
            <w:vAlign w:val="bottom"/>
          </w:tcPr>
          <w:p>
            <w:pPr>
              <w:jc w:val="center"/>
              <w:ind w:left="953"/>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Prudential Tower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ind w:right="951"/>
              <w:spacing w:after="0" w:line="143"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440" w:type="dxa"/>
            <w:vAlign w:val="bottom"/>
          </w:tcPr>
          <w:p>
            <w:pPr>
              <w:spacing w:after="0"/>
              <w:rPr>
                <w:sz w:val="12"/>
                <w:szCs w:val="12"/>
                <w:color w:val="auto"/>
              </w:rPr>
            </w:pPr>
          </w:p>
        </w:tc>
      </w:tr>
      <w:tr>
        <w:trPr>
          <w:trHeight w:val="143"/>
        </w:trPr>
        <w:tc>
          <w:tcPr>
            <w:tcW w:w="280" w:type="dxa"/>
            <w:vAlign w:val="bottom"/>
          </w:tcPr>
          <w:p>
            <w:pPr>
              <w:spacing w:after="0"/>
              <w:rPr>
                <w:sz w:val="12"/>
                <w:szCs w:val="12"/>
                <w:color w:val="auto"/>
              </w:rPr>
            </w:pPr>
          </w:p>
        </w:tc>
        <w:tc>
          <w:tcPr>
            <w:tcW w:w="2240" w:type="dxa"/>
            <w:vAlign w:val="bottom"/>
          </w:tcPr>
          <w:p>
            <w:pPr>
              <w:jc w:val="center"/>
              <w:ind w:left="973"/>
              <w:spacing w:after="0" w:line="143" w:lineRule="exact"/>
              <w:rPr>
                <w:sz w:val="20"/>
                <w:szCs w:val="20"/>
                <w:color w:val="auto"/>
              </w:rPr>
            </w:pPr>
            <w:r>
              <w:rPr>
                <w:rFonts w:ascii="Times New Roman" w:cs="Times New Roman" w:eastAsia="Times New Roman" w:hAnsi="Times New Roman"/>
                <w:sz w:val="14"/>
                <w:szCs w:val="14"/>
                <w:b w:val="1"/>
                <w:bCs w:val="1"/>
                <w:color w:val="auto"/>
                <w:w w:val="96"/>
              </w:rPr>
              <w:t>800 Boylston Street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ind w:right="951"/>
              <w:spacing w:after="0" w:line="143" w:lineRule="exact"/>
              <w:rPr>
                <w:sz w:val="20"/>
                <w:szCs w:val="20"/>
                <w:color w:val="auto"/>
              </w:rPr>
            </w:pPr>
            <w:r>
              <w:rPr>
                <w:rFonts w:ascii="Times New Roman" w:cs="Times New Roman" w:eastAsia="Times New Roman" w:hAnsi="Times New Roman"/>
                <w:sz w:val="14"/>
                <w:szCs w:val="14"/>
                <w:b w:val="1"/>
                <w:bCs w:val="1"/>
                <w:color w:val="auto"/>
                <w:w w:val="95"/>
              </w:rPr>
              <w:t>55 Hudson Yards</w:t>
            </w:r>
          </w:p>
        </w:tc>
        <w:tc>
          <w:tcPr>
            <w:tcW w:w="440" w:type="dxa"/>
            <w:vAlign w:val="bottom"/>
          </w:tcPr>
          <w:p>
            <w:pPr>
              <w:spacing w:after="0"/>
              <w:rPr>
                <w:sz w:val="12"/>
                <w:szCs w:val="12"/>
                <w:color w:val="auto"/>
              </w:rPr>
            </w:pPr>
          </w:p>
        </w:tc>
      </w:tr>
      <w:tr>
        <w:trPr>
          <w:trHeight w:val="143"/>
        </w:trPr>
        <w:tc>
          <w:tcPr>
            <w:tcW w:w="280" w:type="dxa"/>
            <w:vAlign w:val="bottom"/>
          </w:tcPr>
          <w:p>
            <w:pPr>
              <w:spacing w:after="0"/>
              <w:rPr>
                <w:sz w:val="12"/>
                <w:szCs w:val="12"/>
                <w:color w:val="auto"/>
              </w:rPr>
            </w:pPr>
          </w:p>
        </w:tc>
        <w:tc>
          <w:tcPr>
            <w:tcW w:w="2400" w:type="dxa"/>
            <w:vAlign w:val="bottom"/>
            <w:gridSpan w:val="2"/>
          </w:tcPr>
          <w:p>
            <w:pPr>
              <w:jc w:val="center"/>
              <w:ind w:left="813"/>
              <w:spacing w:after="0" w:line="143" w:lineRule="exact"/>
              <w:rPr>
                <w:sz w:val="20"/>
                <w:szCs w:val="20"/>
                <w:color w:val="auto"/>
              </w:rPr>
            </w:pPr>
            <w:r>
              <w:rPr>
                <w:rFonts w:ascii="Times New Roman" w:cs="Times New Roman" w:eastAsia="Times New Roman" w:hAnsi="Times New Roman"/>
                <w:sz w:val="14"/>
                <w:szCs w:val="14"/>
                <w:b w:val="1"/>
                <w:bCs w:val="1"/>
                <w:color w:val="auto"/>
                <w:w w:val="98"/>
              </w:rPr>
              <w:t>Boston, MA 02199-3600</w:t>
            </w: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2"/>
          </w:tcPr>
          <w:p>
            <w:pPr>
              <w:jc w:val="center"/>
              <w:ind w:right="851"/>
              <w:spacing w:after="0" w:line="143" w:lineRule="exact"/>
              <w:rPr>
                <w:sz w:val="20"/>
                <w:szCs w:val="20"/>
                <w:color w:val="auto"/>
              </w:rPr>
            </w:pPr>
            <w:r>
              <w:rPr>
                <w:rFonts w:ascii="Times New Roman" w:cs="Times New Roman" w:eastAsia="Times New Roman" w:hAnsi="Times New Roman"/>
                <w:sz w:val="14"/>
                <w:szCs w:val="14"/>
                <w:b w:val="1"/>
                <w:bCs w:val="1"/>
                <w:color w:val="auto"/>
                <w:w w:val="97"/>
              </w:rPr>
              <w:t>New York, NY 10001</w:t>
            </w:r>
          </w:p>
        </w:tc>
        <w:tc>
          <w:tcPr>
            <w:tcW w:w="440" w:type="dxa"/>
            <w:vAlign w:val="bottom"/>
          </w:tcPr>
          <w:p>
            <w:pPr>
              <w:spacing w:after="0"/>
              <w:rPr>
                <w:sz w:val="12"/>
                <w:szCs w:val="12"/>
                <w:color w:val="auto"/>
              </w:rPr>
            </w:pPr>
          </w:p>
        </w:tc>
      </w:tr>
      <w:tr>
        <w:trPr>
          <w:trHeight w:val="187"/>
        </w:trPr>
        <w:tc>
          <w:tcPr>
            <w:tcW w:w="280" w:type="dxa"/>
            <w:vAlign w:val="bottom"/>
          </w:tcPr>
          <w:p>
            <w:pPr>
              <w:spacing w:after="0"/>
              <w:rPr>
                <w:sz w:val="16"/>
                <w:szCs w:val="16"/>
                <w:color w:val="auto"/>
              </w:rPr>
            </w:pPr>
          </w:p>
        </w:tc>
        <w:tc>
          <w:tcPr>
            <w:tcW w:w="2240" w:type="dxa"/>
            <w:vAlign w:val="bottom"/>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w w:val="98"/>
              </w:rPr>
              <w:t>(617) 951-7000</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ind w:right="911"/>
              <w:spacing w:after="0"/>
              <w:rPr>
                <w:sz w:val="20"/>
                <w:szCs w:val="20"/>
                <w:color w:val="auto"/>
              </w:rPr>
            </w:pPr>
            <w:r>
              <w:rPr>
                <w:rFonts w:ascii="Times New Roman" w:cs="Times New Roman" w:eastAsia="Times New Roman" w:hAnsi="Times New Roman"/>
                <w:sz w:val="14"/>
                <w:szCs w:val="14"/>
                <w:b w:val="1"/>
                <w:bCs w:val="1"/>
                <w:color w:val="auto"/>
                <w:w w:val="95"/>
              </w:rPr>
              <w:t>(212) 479-6000</w:t>
            </w:r>
          </w:p>
        </w:tc>
        <w:tc>
          <w:tcPr>
            <w:tcW w:w="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97790</wp:posOffset>
            </wp:positionV>
            <wp:extent cx="8928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8" w:lineRule="exact"/>
        <w:rPr>
          <w:sz w:val="24"/>
          <w:szCs w:val="24"/>
          <w:color w:val="auto"/>
        </w:rPr>
      </w:pPr>
    </w:p>
    <w:p>
      <w:pPr>
        <w:jc w:val="both"/>
        <w:ind w:left="540" w:right="559"/>
        <w:spacing w:after="0" w:line="163"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jc w:val="center"/>
        <w:ind w:right="19"/>
        <w:spacing w:after="0" w:line="231"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w:t>
      </w:r>
    </w:p>
    <w:p>
      <w:pPr>
        <w:jc w:val="both"/>
        <w:ind w:left="540" w:right="559"/>
        <w:spacing w:after="0" w:line="159" w:lineRule="exact"/>
        <w:rPr>
          <w:sz w:val="20"/>
          <w:szCs w:val="20"/>
          <w:color w:val="auto"/>
        </w:rPr>
      </w:pPr>
      <w:r>
        <w:rPr>
          <w:rFonts w:ascii="Times New Roman" w:cs="Times New Roman" w:eastAsia="Times New Roman" w:hAnsi="Times New Roman"/>
          <w:sz w:val="14"/>
          <w:szCs w:val="14"/>
          <w:color w:val="auto"/>
        </w:rPr>
        <w:t xml:space="preserve">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540" w:right="559"/>
        <w:spacing w:after="0" w:line="15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540" w:right="559"/>
        <w:spacing w:after="0" w:line="16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540" w:right="559"/>
        <w:spacing w:after="0" w:line="22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540" w:type="dxa"/>
        <w:tblCellMar>
          <w:top w:w="0" w:type="dxa"/>
          <w:left w:w="0" w:type="dxa"/>
          <w:bottom w:w="0" w:type="dxa"/>
          <w:right w:w="0" w:type="dxa"/>
        </w:tblCellMar>
      </w:tblPr>
      <w:tr>
        <w:trPr>
          <w:trHeight w:val="165"/>
        </w:trPr>
        <w:tc>
          <w:tcPr>
            <w:tcW w:w="14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​Large accelerated filer</w:t>
            </w:r>
          </w:p>
        </w:tc>
        <w:tc>
          <w:tcPr>
            <w:tcW w:w="340" w:type="dxa"/>
            <w:vAlign w:val="bottom"/>
          </w:tcPr>
          <w:p>
            <w:pPr>
              <w:jc w:val="right"/>
              <w:ind w:right="27"/>
              <w:spacing w:after="0" w:line="164"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p>
        </w:tc>
        <w:tc>
          <w:tcPr>
            <w:tcW w:w="22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Accelerated filer</w:t>
            </w:r>
          </w:p>
        </w:tc>
        <w:tc>
          <w:tcPr>
            <w:tcW w:w="340" w:type="dxa"/>
            <w:vAlign w:val="bottom"/>
          </w:tcPr>
          <w:p>
            <w:pPr>
              <w:jc w:val="right"/>
              <w:ind w:right="27"/>
              <w:spacing w:after="0" w:line="164"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tc>
        <w:tc>
          <w:tcPr>
            <w:tcW w:w="22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Non-accelerated filer</w:t>
            </w:r>
          </w:p>
        </w:tc>
        <w:tc>
          <w:tcPr>
            <w:tcW w:w="360" w:type="dxa"/>
            <w:vAlign w:val="bottom"/>
          </w:tcPr>
          <w:p>
            <w:pPr>
              <w:jc w:val="right"/>
              <w:ind w:right="7"/>
              <w:spacing w:after="0" w:line="164"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p>
        </w:tc>
        <w:tc>
          <w:tcPr>
            <w:tcW w:w="22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820" w:type="dxa"/>
            <w:vAlign w:val="bottom"/>
          </w:tcPr>
          <w:p>
            <w:pPr>
              <w:ind w:left="100"/>
              <w:spacing w:after="0" w:line="164" w:lineRule="exact"/>
              <w:rPr>
                <w:sz w:val="20"/>
                <w:szCs w:val="20"/>
                <w:color w:val="auto"/>
              </w:rPr>
            </w:pPr>
            <w:r>
              <w:rPr>
                <w:rFonts w:ascii="Times New Roman" w:cs="Times New Roman" w:eastAsia="Times New Roman" w:hAnsi="Times New Roman"/>
                <w:sz w:val="15"/>
                <w:szCs w:val="15"/>
                <w:color w:val="auto"/>
              </w:rPr>
              <w:t>Smaller reporting company</w:t>
            </w:r>
          </w:p>
        </w:tc>
        <w:tc>
          <w:tcPr>
            <w:tcW w:w="300" w:type="dxa"/>
            <w:vAlign w:val="bottom"/>
          </w:tcPr>
          <w:p>
            <w:pPr>
              <w:jc w:val="right"/>
              <w:spacing w:after="0" w:line="164"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p>
        </w:tc>
      </w:tr>
      <w:tr>
        <w:trPr>
          <w:trHeight w:val="3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Emerging growth company</w:t>
            </w:r>
          </w:p>
        </w:tc>
        <w:tc>
          <w:tcPr>
            <w:tcW w:w="300" w:type="dxa"/>
            <w:vAlign w:val="bottom"/>
          </w:tcPr>
          <w:p>
            <w:pPr>
              <w:jc w:val="right"/>
              <w:spacing w:after="0" w:line="334" w:lineRule="exact"/>
              <w:rPr>
                <w:sz w:val="20"/>
                <w:szCs w:val="20"/>
                <w:color w:val="auto"/>
              </w:rPr>
            </w:pPr>
            <w:r>
              <w:rPr>
                <w:rFonts w:ascii="MS PGothic" w:cs="MS PGothic" w:eastAsia="MS PGothic" w:hAnsi="MS PGothic"/>
                <w:sz w:val="15"/>
                <w:szCs w:val="15"/>
                <w:color w:val="auto"/>
              </w:rPr>
              <w:t xml:space="preserve">☒ </w:t>
            </w:r>
            <w:r>
              <w:rPr>
                <w:rFonts w:ascii="Times New Roman" w:cs="Times New Roman" w:eastAsia="Times New Roman" w:hAnsi="Times New Roman"/>
                <w:sz w:val="29"/>
                <w:szCs w:val="29"/>
                <w:color w:val="auto"/>
                <w:vertAlign w:val="superscript"/>
              </w:rPr>
              <w:t>​</w:t>
            </w:r>
          </w:p>
        </w:tc>
      </w:tr>
    </w:tbl>
    <w:p>
      <w:pPr>
        <w:jc w:val="both"/>
        <w:ind w:left="540" w:right="559"/>
        <w:spacing w:after="0" w:line="16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113030</wp:posOffset>
            </wp:positionV>
            <wp:extent cx="8928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w:t>
      </w:r>
    </w:p>
    <w:p>
      <w:pPr>
        <w:spacing w:after="0" w:line="22" w:lineRule="exact"/>
        <w:rPr>
          <w:sz w:val="24"/>
          <w:szCs w:val="24"/>
          <w:color w:val="auto"/>
        </w:rPr>
      </w:pPr>
    </w:p>
    <w:p>
      <w:pPr>
        <w:jc w:val="both"/>
        <w:ind w:left="540" w:right="559"/>
        <w:spacing w:after="0" w:line="225" w:lineRule="auto"/>
        <w:rPr>
          <w:sz w:val="20"/>
          <w:szCs w:val="20"/>
          <w:color w:val="auto"/>
        </w:rPr>
      </w:pPr>
      <w:r>
        <w:rPr>
          <w:rFonts w:ascii="Times New Roman" w:cs="Times New Roman" w:eastAsia="Times New Roman" w:hAnsi="Times New Roman"/>
          <w:sz w:val="14"/>
          <w:szCs w:val="14"/>
          <w:b w:val="1"/>
          <w:bCs w:val="1"/>
          <w:color w:val="auto"/>
        </w:rPr>
        <w:t>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8890</wp:posOffset>
            </wp:positionV>
            <wp:extent cx="50368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1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3175</wp:posOffset>
            </wp:positionV>
            <wp:extent cx="503682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36820" cy="139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206375</wp:posOffset>
            </wp:positionV>
            <wp:extent cx="556450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1" w:name="page2"/>
    <w:bookmarkEnd w:id="1"/>
    <w:p>
      <w:pPr>
        <w:ind w:left="1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5" w:right="1440" w:bottom="1440" w:gutter="0" w:footer="0" w:header="0"/>
        </w:sectPr>
      </w:pPr>
    </w:p>
    <w:p>
      <w:pPr>
        <w:spacing w:after="0" w:line="378" w:lineRule="exact"/>
        <w:rPr>
          <w:sz w:val="20"/>
          <w:szCs w:val="20"/>
          <w:color w:val="auto"/>
        </w:rPr>
      </w:pPr>
    </w:p>
    <w:tbl>
      <w:tblPr>
        <w:tblLayout w:type="fixed"/>
        <w:tblInd w:w="860" w:type="dxa"/>
        <w:tblCellMar>
          <w:top w:w="0" w:type="dxa"/>
          <w:left w:w="0" w:type="dxa"/>
          <w:bottom w:w="0" w:type="dxa"/>
          <w:right w:w="0" w:type="dxa"/>
        </w:tblCellMar>
      </w:tblPr>
      <w:tr>
        <w:trPr>
          <w:trHeight w:val="1489"/>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665B"/>
              </w:rPr>
              <w:t>statement filed with the</w:t>
            </w:r>
          </w:p>
        </w:tc>
        <w:tc>
          <w:tcPr>
            <w:tcW w:w="280" w:type="dxa"/>
            <w:vAlign w:val="bottom"/>
            <w:textDirection w:val="btLr"/>
          </w:tcPr>
          <w:p>
            <w:pPr>
              <w:ind w:left="30"/>
              <w:spacing w:after="0"/>
              <w:rPr>
                <w:sz w:val="20"/>
                <w:szCs w:val="20"/>
                <w:color w:val="auto"/>
              </w:rPr>
            </w:pPr>
            <w:r>
              <w:rPr>
                <w:rFonts w:ascii="Arial" w:cs="Arial" w:eastAsia="Arial" w:hAnsi="Arial"/>
                <w:sz w:val="13"/>
                <w:szCs w:val="13"/>
                <w:b w:val="1"/>
                <w:bCs w:val="1"/>
                <w:color w:val="FF665B"/>
              </w:rPr>
              <w:t>these securities in any</w:t>
            </w:r>
          </w:p>
        </w:tc>
      </w:tr>
      <w:tr>
        <w:trPr>
          <w:trHeight w:val="3036"/>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665B"/>
              </w:rPr>
              <w:t>securities may not be sold until the registration</w:t>
            </w:r>
          </w:p>
        </w:tc>
        <w:tc>
          <w:tcPr>
            <w:tcW w:w="280" w:type="dxa"/>
            <w:vAlign w:val="bottom"/>
            <w:textDirection w:val="btLr"/>
          </w:tcPr>
          <w:p>
            <w:pPr>
              <w:ind w:left="30"/>
              <w:spacing w:after="0"/>
              <w:rPr>
                <w:sz w:val="20"/>
                <w:szCs w:val="20"/>
                <w:color w:val="auto"/>
              </w:rPr>
            </w:pPr>
            <w:r>
              <w:rPr>
                <w:rFonts w:ascii="Arial" w:cs="Arial" w:eastAsia="Arial" w:hAnsi="Arial"/>
                <w:sz w:val="13"/>
                <w:szCs w:val="13"/>
                <w:b w:val="1"/>
                <w:bCs w:val="1"/>
                <w:color w:val="FF665B"/>
              </w:rPr>
              <w:t>offer to sell nor does it seek an offer to buy</w:t>
            </w:r>
          </w:p>
        </w:tc>
      </w:tr>
      <w:tr>
        <w:trPr>
          <w:trHeight w:val="449"/>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665B"/>
              </w:rPr>
              <w:t>These</w:t>
            </w:r>
          </w:p>
        </w:tc>
        <w:tc>
          <w:tcPr>
            <w:tcW w:w="280" w:type="dxa"/>
            <w:vAlign w:val="bottom"/>
            <w:textDirection w:val="btLr"/>
          </w:tcPr>
          <w:p>
            <w:pPr>
              <w:ind w:left="30"/>
              <w:spacing w:after="0"/>
              <w:rPr>
                <w:sz w:val="20"/>
                <w:szCs w:val="20"/>
                <w:color w:val="auto"/>
              </w:rPr>
            </w:pPr>
            <w:r>
              <w:rPr>
                <w:rFonts w:ascii="Arial" w:cs="Arial" w:eastAsia="Arial" w:hAnsi="Arial"/>
                <w:sz w:val="13"/>
                <w:szCs w:val="13"/>
                <w:b w:val="1"/>
                <w:bCs w:val="1"/>
                <w:color w:val="FF665B"/>
              </w:rPr>
              <w:t>not an</w:t>
            </w:r>
          </w:p>
        </w:tc>
      </w:tr>
      <w:tr>
        <w:trPr>
          <w:trHeight w:val="537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665B"/>
              </w:rPr>
              <w:t>The information in this preliminary prospectus is not complete and may be changed.</w:t>
            </w:r>
          </w:p>
        </w:tc>
        <w:tc>
          <w:tcPr>
            <w:tcW w:w="280" w:type="dxa"/>
            <w:vAlign w:val="bottom"/>
            <w:textDirection w:val="btLr"/>
          </w:tcPr>
          <w:p>
            <w:pPr>
              <w:ind w:left="142"/>
              <w:spacing w:after="0"/>
              <w:rPr>
                <w:sz w:val="20"/>
                <w:szCs w:val="20"/>
                <w:color w:val="auto"/>
              </w:rPr>
            </w:pPr>
            <w:r>
              <w:rPr>
                <w:rFonts w:ascii="Arial" w:cs="Arial" w:eastAsia="Arial" w:hAnsi="Arial"/>
                <w:sz w:val="12"/>
                <w:szCs w:val="12"/>
                <w:b w:val="1"/>
                <w:bCs w:val="1"/>
                <w:color w:val="FF665B"/>
                <w:w w:val="72"/>
              </w:rPr>
              <w:t>Securities and Exchange Commission is effective. This preliminary prospectus isjurisdictionwheretheofferorsaleisnotpermitted.</w:t>
            </w:r>
          </w:p>
        </w:tc>
      </w:tr>
    </w:tbl>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2599"/>
        <w:spacing w:after="0" w:line="230" w:lineRule="auto"/>
        <w:rPr>
          <w:sz w:val="20"/>
          <w:szCs w:val="20"/>
          <w:color w:val="auto"/>
        </w:rPr>
      </w:pPr>
      <w:r>
        <w:rPr>
          <w:rFonts w:ascii="Arial" w:cs="Arial" w:eastAsia="Arial" w:hAnsi="Arial"/>
          <w:sz w:val="18"/>
          <w:szCs w:val="18"/>
          <w:b w:val="1"/>
          <w:bCs w:val="1"/>
          <w:i w:val="1"/>
          <w:iCs w:val="1"/>
          <w:color w:val="FF665B"/>
        </w:rPr>
        <w:t>PRELIMINARY PROSPECTUS (Subject to Completion), issued                      , 2024</w:t>
      </w:r>
    </w:p>
    <w:p>
      <w:pPr>
        <w:spacing w:after="0" w:line="170" w:lineRule="exact"/>
        <w:rPr>
          <w:sz w:val="20"/>
          <w:szCs w:val="20"/>
          <w:color w:val="auto"/>
        </w:rPr>
      </w:pPr>
    </w:p>
    <w:p>
      <w:pPr>
        <w:ind w:left="2000"/>
        <w:spacing w:after="0"/>
        <w:rPr>
          <w:sz w:val="20"/>
          <w:szCs w:val="20"/>
          <w:color w:val="auto"/>
        </w:rPr>
      </w:pPr>
      <w:r>
        <w:rPr>
          <w:rFonts w:ascii="Arial" w:cs="Arial" w:eastAsia="Arial" w:hAnsi="Arial"/>
          <w:sz w:val="26"/>
          <w:szCs w:val="26"/>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97155</wp:posOffset>
            </wp:positionV>
            <wp:extent cx="1144270" cy="390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427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60"/>
        <w:spacing w:after="0"/>
        <w:rPr>
          <w:sz w:val="20"/>
          <w:szCs w:val="20"/>
          <w:color w:val="auto"/>
        </w:rPr>
      </w:pPr>
      <w:r>
        <w:rPr>
          <w:rFonts w:ascii="Arial" w:cs="Arial" w:eastAsia="Arial" w:hAnsi="Arial"/>
          <w:sz w:val="18"/>
          <w:szCs w:val="18"/>
          <w:b w:val="1"/>
          <w:bCs w:val="1"/>
          <w:i w:val="1"/>
          <w:i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This is an initial public offering of shares of common stock of Zenas BioPharma, Inc.</w:t>
      </w:r>
    </w:p>
    <w:p>
      <w:pPr>
        <w:spacing w:after="0" w:line="11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5"/>
          <w:szCs w:val="15"/>
          <w:b w:val="1"/>
          <w:bCs w:val="1"/>
          <w:i w:val="1"/>
          <w:iCs w:val="1"/>
          <w:color w:val="auto"/>
        </w:rPr>
        <w:t>We are offering</w:t>
      </w:r>
      <w:r>
        <w:rPr>
          <w:sz w:val="20"/>
          <w:szCs w:val="20"/>
          <w:color w:val="auto"/>
        </w:rPr>
        <w:tab/>
      </w:r>
      <w:r>
        <w:rPr>
          <w:rFonts w:ascii="Times New Roman" w:cs="Times New Roman" w:eastAsia="Times New Roman" w:hAnsi="Times New Roman"/>
          <w:sz w:val="14"/>
          <w:szCs w:val="14"/>
          <w:b w:val="1"/>
          <w:bCs w:val="1"/>
          <w:i w:val="1"/>
          <w:iCs w:val="1"/>
          <w:color w:val="auto"/>
        </w:rPr>
        <w:t>shares of our common stock. Prior to this offering, there has been no public market for</w:t>
      </w:r>
    </w:p>
    <w:p>
      <w:pPr>
        <w:spacing w:after="0" w:line="16" w:lineRule="exact"/>
        <w:rPr>
          <w:sz w:val="20"/>
          <w:szCs w:val="20"/>
          <w:color w:val="auto"/>
        </w:rPr>
      </w:pPr>
    </w:p>
    <w:p>
      <w:pPr>
        <w:spacing w:after="0"/>
        <w:tabs>
          <w:tab w:leader="none" w:pos="5700" w:val="left"/>
          <w:tab w:leader="none" w:pos="6460" w:val="left"/>
        </w:tabs>
        <w:rPr>
          <w:sz w:val="20"/>
          <w:szCs w:val="20"/>
          <w:color w:val="auto"/>
        </w:rPr>
      </w:pPr>
      <w:r>
        <w:rPr>
          <w:rFonts w:ascii="Times New Roman" w:cs="Times New Roman" w:eastAsia="Times New Roman" w:hAnsi="Times New Roman"/>
          <w:sz w:val="15"/>
          <w:szCs w:val="15"/>
          <w:b w:val="1"/>
          <w:bCs w:val="1"/>
          <w:i w:val="1"/>
          <w:iCs w:val="1"/>
          <w:color w:val="auto"/>
        </w:rPr>
        <w:t>our common stock. We anticipate that the initial public offering price will be between $</w:t>
      </w:r>
      <w:r>
        <w:rPr>
          <w:sz w:val="20"/>
          <w:szCs w:val="20"/>
          <w:color w:val="auto"/>
        </w:rPr>
        <w:tab/>
      </w:r>
      <w:r>
        <w:rPr>
          <w:rFonts w:ascii="Times New Roman" w:cs="Times New Roman" w:eastAsia="Times New Roman" w:hAnsi="Times New Roman"/>
          <w:sz w:val="15"/>
          <w:szCs w:val="15"/>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w:t>
      </w: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w:t>
      </w:r>
    </w:p>
    <w:p>
      <w:pPr>
        <w:spacing w:after="0" w:line="93" w:lineRule="exact"/>
        <w:rPr>
          <w:sz w:val="20"/>
          <w:szCs w:val="20"/>
          <w:color w:val="auto"/>
        </w:rPr>
      </w:pPr>
    </w:p>
    <w:p>
      <w:pPr>
        <w:jc w:val="both"/>
        <w:ind w:right="91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We have applied to list our common stock on the Nasdaq Global Market (“Nasdaq”) under the symbol “ZBIO.” We believe that upon the completion of this offering, we will meet the standards for listing on Nasdaq, and the completion of this offering is contingent upon such listing.</w:t>
      </w:r>
    </w:p>
    <w:p>
      <w:pPr>
        <w:spacing w:after="0" w:line="83" w:lineRule="exact"/>
        <w:rPr>
          <w:sz w:val="20"/>
          <w:szCs w:val="20"/>
          <w:color w:val="auto"/>
        </w:rPr>
      </w:pPr>
    </w:p>
    <w:p>
      <w:pPr>
        <w:jc w:val="both"/>
        <w:ind w:right="91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 xml:space="preserve">We are an “emerging growth company” and a “smaller reporting company” as defined under the federal securities laws and, as such, have elected to comply with certain reduced reporting requirements in this prospectus and may elect to do so in future filings. Investing in our common stock involves a high degree of risk. See the section titled “Risk Factors” beginning on page </w:t>
      </w:r>
      <w:r>
        <w:rPr>
          <w:rFonts w:ascii="Times New Roman" w:cs="Times New Roman" w:eastAsia="Times New Roman" w:hAnsi="Times New Roman"/>
          <w:sz w:val="15"/>
          <w:szCs w:val="15"/>
          <w:b w:val="1"/>
          <w:bCs w:val="1"/>
          <w:i w:val="1"/>
          <w:iCs w:val="1"/>
          <w:u w:val="single" w:color="auto"/>
          <w:color w:val="0000EE"/>
        </w:rPr>
        <w:t>14</w:t>
      </w:r>
      <w:r>
        <w:rPr>
          <w:rFonts w:ascii="Times New Roman" w:cs="Times New Roman" w:eastAsia="Times New Roman" w:hAnsi="Times New Roman"/>
          <w:sz w:val="15"/>
          <w:szCs w:val="15"/>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292100</wp:posOffset>
            </wp:positionV>
            <wp:extent cx="8928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5"/>
          <w:szCs w:val="15"/>
          <w:i w:val="1"/>
          <w:iCs w:val="1"/>
          <w:color w:val="auto"/>
        </w:rPr>
        <w:t>PRICE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187325</wp:posOffset>
            </wp:positionV>
            <wp:extent cx="8928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w w:val="95"/>
              </w:rPr>
              <w:t>Underwriting</w:t>
            </w:r>
          </w:p>
        </w:tc>
        <w:tc>
          <w:tcPr>
            <w:tcW w:w="1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w w:val="98"/>
              </w:rPr>
              <w:t>Proceeds</w:t>
            </w:r>
          </w:p>
        </w:tc>
        <w:tc>
          <w:tcPr>
            <w:tcW w:w="40" w:type="dxa"/>
            <w:vAlign w:val="bottom"/>
          </w:tcPr>
          <w:p>
            <w:pPr>
              <w:spacing w:after="0"/>
              <w:rPr>
                <w:sz w:val="12"/>
                <w:szCs w:val="12"/>
                <w:color w:val="auto"/>
              </w:rPr>
            </w:pPr>
          </w:p>
        </w:tc>
      </w:tr>
      <w:tr>
        <w:trPr>
          <w:trHeight w:val="122"/>
        </w:trPr>
        <w:tc>
          <w:tcPr>
            <w:tcW w:w="2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b w:val="1"/>
                <w:bCs w:val="1"/>
                <w:i w:val="1"/>
                <w:iCs w:val="1"/>
                <w:color w:val="auto"/>
              </w:rPr>
              <w:t>Price to</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i w:val="1"/>
                <w:iCs w:val="1"/>
                <w:color w:val="auto"/>
                <w:w w:val="98"/>
              </w:rPr>
              <w:t>Discounts and</w:t>
            </w:r>
          </w:p>
        </w:tc>
        <w:tc>
          <w:tcPr>
            <w:tcW w:w="1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i w:val="1"/>
                <w:iCs w:val="1"/>
                <w:color w:val="auto"/>
                <w:w w:val="94"/>
              </w:rPr>
              <w:t>to Zenas</w:t>
            </w:r>
          </w:p>
        </w:tc>
        <w:tc>
          <w:tcPr>
            <w:tcW w:w="40" w:type="dxa"/>
            <w:vAlign w:val="bottom"/>
          </w:tcPr>
          <w:p>
            <w:pPr>
              <w:spacing w:after="0"/>
              <w:rPr>
                <w:sz w:val="10"/>
                <w:szCs w:val="10"/>
                <w:color w:val="auto"/>
              </w:rPr>
            </w:pPr>
          </w:p>
        </w:tc>
      </w:tr>
      <w:tr>
        <w:trPr>
          <w:trHeight w:val="185"/>
        </w:trPr>
        <w:tc>
          <w:tcPr>
            <w:tcW w:w="24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1960" w:type="dxa"/>
            <w:vAlign w:val="bottom"/>
          </w:tcPr>
          <w:p>
            <w:pPr>
              <w:ind w:left="182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540" w:type="dxa"/>
            <w:vAlign w:val="bottom"/>
          </w:tcPr>
          <w:p>
            <w:pPr>
              <w:spacing w:after="0" w:line="185" w:lineRule="exact"/>
              <w:rPr>
                <w:sz w:val="20"/>
                <w:szCs w:val="20"/>
                <w:color w:val="auto"/>
              </w:rPr>
            </w:pPr>
            <w:r>
              <w:rPr>
                <w:rFonts w:ascii="Times New Roman" w:cs="Times New Roman" w:eastAsia="Times New Roman" w:hAnsi="Times New Roman"/>
                <w:sz w:val="21"/>
                <w:szCs w:val="21"/>
                <w:b w:val="1"/>
                <w:bCs w:val="1"/>
                <w:i w:val="1"/>
                <w:iCs w:val="1"/>
                <w:color w:val="auto"/>
                <w:vertAlign w:val="subscript"/>
              </w:rPr>
              <w:t>​</w:t>
            </w:r>
            <w:r>
              <w:rPr>
                <w:rFonts w:ascii="Times New Roman" w:cs="Times New Roman" w:eastAsia="Times New Roman" w:hAnsi="Times New Roman"/>
                <w:sz w:val="11"/>
                <w:szCs w:val="11"/>
                <w:b w:val="1"/>
                <w:bCs w:val="1"/>
                <w:i w:val="1"/>
                <w:iCs w:val="1"/>
                <w:color w:val="auto"/>
              </w:rPr>
              <w:t xml:space="preserve">  Public</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86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21"/>
                <w:szCs w:val="21"/>
                <w:b w:val="1"/>
                <w:bCs w:val="1"/>
                <w:i w:val="1"/>
                <w:iCs w:val="1"/>
                <w:color w:val="auto"/>
                <w:vertAlign w:val="subscript"/>
              </w:rPr>
              <w:t>​</w:t>
            </w:r>
            <w:r>
              <w:rPr>
                <w:rFonts w:ascii="Times New Roman" w:cs="Times New Roman" w:eastAsia="Times New Roman" w:hAnsi="Times New Roman"/>
                <w:sz w:val="11"/>
                <w:szCs w:val="11"/>
                <w:b w:val="1"/>
                <w:bCs w:val="1"/>
                <w:i w:val="1"/>
                <w:iCs w:val="1"/>
                <w:color w:val="auto"/>
              </w:rPr>
              <w:t xml:space="preserve"> Commissions</w:t>
            </w:r>
            <w:r>
              <w:rPr>
                <w:rFonts w:ascii="Times New Roman" w:cs="Times New Roman" w:eastAsia="Times New Roman" w:hAnsi="Times New Roman"/>
                <w:sz w:val="13"/>
                <w:szCs w:val="13"/>
                <w:b w:val="1"/>
                <w:bCs w:val="1"/>
                <w:i w:val="1"/>
                <w:iCs w:val="1"/>
                <w:color w:val="auto"/>
                <w:vertAlign w:val="superscript"/>
              </w:rPr>
              <w:t>(1)</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66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21"/>
                <w:szCs w:val="21"/>
                <w:b w:val="1"/>
                <w:bCs w:val="1"/>
                <w:i w:val="1"/>
                <w:iCs w:val="1"/>
                <w:color w:val="auto"/>
                <w:vertAlign w:val="subscript"/>
              </w:rPr>
              <w:t>​</w:t>
            </w:r>
            <w:r>
              <w:rPr>
                <w:rFonts w:ascii="Times New Roman" w:cs="Times New Roman" w:eastAsia="Times New Roman" w:hAnsi="Times New Roman"/>
                <w:sz w:val="11"/>
                <w:szCs w:val="11"/>
                <w:b w:val="1"/>
                <w:bCs w:val="1"/>
                <w:i w:val="1"/>
                <w:iCs w:val="1"/>
                <w:color w:val="auto"/>
              </w:rPr>
              <w:t xml:space="preserve"> BioPharma </w:t>
            </w:r>
            <w:r>
              <w:rPr>
                <w:rFonts w:ascii="Times New Roman" w:cs="Times New Roman" w:eastAsia="Times New Roman" w:hAnsi="Times New Roman"/>
                <w:sz w:val="21"/>
                <w:szCs w:val="21"/>
                <w:b w:val="1"/>
                <w:bCs w:val="1"/>
                <w:i w:val="1"/>
                <w:iCs w:val="1"/>
                <w:color w:val="auto"/>
                <w:vertAlign w:val="subscript"/>
              </w:rPr>
              <w:t>​</w:t>
            </w:r>
          </w:p>
        </w:tc>
      </w:tr>
      <w:tr>
        <w:trPr>
          <w:trHeight w:val="20"/>
        </w:trPr>
        <w:tc>
          <w:tcPr>
            <w:tcW w:w="242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Per Share</w:t>
            </w:r>
          </w:p>
        </w:tc>
        <w:tc>
          <w:tcPr>
            <w:tcW w:w="1960" w:type="dxa"/>
            <w:vAlign w:val="bottom"/>
            <w:tcBorders>
              <w:right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5"/>
                <w:szCs w:val="15"/>
                <w:i w:val="1"/>
                <w:iCs w:val="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i w:val="1"/>
                <w:iCs w:val="1"/>
                <w:color w:val="auto"/>
              </w:rPr>
              <w:t>​</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i w:val="1"/>
                <w:iCs w:val="1"/>
                <w:color w:val="auto"/>
              </w:rPr>
              <w:t xml:space="preserve">​$                </w:t>
            </w:r>
          </w:p>
        </w:tc>
        <w:tc>
          <w:tcPr>
            <w:tcW w:w="18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5"/>
                <w:szCs w:val="15"/>
                <w:i w:val="1"/>
                <w:iCs w:val="1"/>
                <w:color w:val="auto"/>
              </w:rPr>
              <w:t>​​</w:t>
            </w:r>
          </w:p>
        </w:tc>
        <w:tc>
          <w:tcPr>
            <w:tcW w:w="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 xml:space="preserve">​ ​$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r>
      <w:tr>
        <w:trPr>
          <w:trHeight w:val="231"/>
        </w:trPr>
        <w:tc>
          <w:tcPr>
            <w:tcW w:w="24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Total</w:t>
            </w:r>
          </w:p>
        </w:tc>
        <w:tc>
          <w:tcPr>
            <w:tcW w:w="1960" w:type="dxa"/>
            <w:vAlign w:val="bottom"/>
          </w:tcPr>
          <w:p>
            <w:pPr>
              <w:ind w:left="1820"/>
              <w:spacing w:after="0"/>
              <w:rPr>
                <w:sz w:val="20"/>
                <w:szCs w:val="20"/>
                <w:color w:val="auto"/>
              </w:rPr>
            </w:pPr>
            <w:r>
              <w:rPr>
                <w:rFonts w:ascii="Times New Roman" w:cs="Times New Roman" w:eastAsia="Times New Roman" w:hAnsi="Times New Roman"/>
                <w:sz w:val="15"/>
                <w:szCs w:val="15"/>
                <w:i w:val="1"/>
                <w:i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i w:val="1"/>
                <w:iCs w:val="1"/>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5"/>
                <w:szCs w:val="15"/>
                <w:i w:val="1"/>
                <w:iCs w:val="1"/>
                <w:color w:val="auto"/>
              </w:rPr>
              <w:t>​$</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5"/>
                <w:szCs w:val="15"/>
                <w:i w:val="1"/>
                <w:iCs w:val="1"/>
                <w:color w:val="auto"/>
              </w:rPr>
              <w:t>​​</w:t>
            </w:r>
          </w:p>
        </w:tc>
        <w:tc>
          <w:tcPr>
            <w:tcW w:w="6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8442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4429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44640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91" w:lineRule="exact"/>
        <w:rPr>
          <w:sz w:val="20"/>
          <w:szCs w:val="20"/>
          <w:color w:val="auto"/>
        </w:rPr>
      </w:pPr>
    </w:p>
    <w:p>
      <w:pPr>
        <w:ind w:left="300" w:hanging="292"/>
        <w:spacing w:after="0"/>
        <w:tabs>
          <w:tab w:leader="none" w:pos="300" w:val="left"/>
        </w:tabs>
        <w:numPr>
          <w:ilvl w:val="0"/>
          <w:numId w:val="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See the section titled “Underwriters” for a description of the compensation payable to the underwriters.</w:t>
      </w:r>
    </w:p>
    <w:p>
      <w:pPr>
        <w:spacing w:after="0" w:line="172" w:lineRule="exact"/>
        <w:rPr>
          <w:sz w:val="20"/>
          <w:szCs w:val="20"/>
          <w:color w:val="auto"/>
        </w:rPr>
      </w:pPr>
    </w:p>
    <w:p>
      <w:pPr>
        <w:jc w:val="both"/>
        <w:ind w:right="919"/>
        <w:spacing w:after="0" w:line="257" w:lineRule="auto"/>
        <w:rPr>
          <w:sz w:val="20"/>
          <w:szCs w:val="20"/>
          <w:color w:val="auto"/>
        </w:rPr>
      </w:pPr>
      <w:r>
        <w:rPr>
          <w:rFonts w:ascii="Times New Roman" w:cs="Times New Roman" w:eastAsia="Times New Roman" w:hAnsi="Times New Roman"/>
          <w:sz w:val="15"/>
          <w:szCs w:val="15"/>
          <w:i w:val="1"/>
          <w:iCs w:val="1"/>
          <w:color w:val="auto"/>
        </w:rPr>
        <w:t>We have granted the underwriters an option for a period of 30 days to purchase up to an additional                          shares of our common stock solely to cover over-allotments, if any.</w:t>
      </w:r>
    </w:p>
    <w:p>
      <w:pPr>
        <w:spacing w:after="0" w:line="136" w:lineRule="exact"/>
        <w:rPr>
          <w:sz w:val="20"/>
          <w:szCs w:val="20"/>
          <w:color w:val="auto"/>
        </w:rPr>
      </w:pPr>
    </w:p>
    <w:p>
      <w:pPr>
        <w:jc w:val="both"/>
        <w:ind w:right="919"/>
        <w:spacing w:after="0" w:line="250" w:lineRule="auto"/>
        <w:rPr>
          <w:sz w:val="20"/>
          <w:szCs w:val="20"/>
          <w:color w:val="auto"/>
        </w:rPr>
      </w:pPr>
      <w:r>
        <w:rPr>
          <w:rFonts w:ascii="Times New Roman" w:cs="Times New Roman" w:eastAsia="Times New Roman" w:hAnsi="Times New Roman"/>
          <w:sz w:val="15"/>
          <w:szCs w:val="15"/>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underwriters expect to deliver the shares of common stock to purchasers 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312420</wp:posOffset>
            </wp:positionV>
            <wp:extent cx="89281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​MORGAN STANLEY​  ​  JEFFERIES ​  ​  CITIGROUP​  ​  GUGGENHEIM SECURITIES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198755</wp:posOffset>
            </wp:positionV>
            <wp:extent cx="553910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9105" cy="39370"/>
                    </a:xfrm>
                    <a:prstGeom prst="rect">
                      <a:avLst/>
                    </a:prstGeom>
                    <a:noFill/>
                  </pic:spPr>
                </pic:pic>
              </a:graphicData>
            </a:graphic>
          </wp:anchor>
        </w:drawing>
      </w:r>
    </w:p>
    <w:p>
      <w:pPr>
        <w:sectPr>
          <w:pgSz w:w="11900" w:h="16838" w:orient="portrait"/>
          <w:cols w:equalWidth="0" w:num="2">
            <w:col w:w="1280" w:space="140"/>
            <w:col w:w="7599"/>
          </w:cols>
          <w:pgMar w:left="1440" w:top="105" w:right="1440" w:bottom="1440" w:gutter="0" w:footer="0" w:header="0"/>
          <w:type w:val="continuous"/>
        </w:sectPr>
      </w:pPr>
    </w:p>
    <w:bookmarkStart w:id="2" w:name="page3"/>
    <w:bookmarkEnd w:id="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42" w:lineRule="exact"/>
        <w:rPr>
          <w:sz w:val="20"/>
          <w:szCs w:val="20"/>
          <w:color w:val="auto"/>
        </w:rPr>
      </w:pPr>
    </w:p>
    <w:p>
      <w:pPr>
        <w:jc w:val="both"/>
        <w:ind w:left="1160"/>
        <w:spacing w:after="0"/>
        <w:tabs>
          <w:tab w:leader="none" w:pos="3680" w:val="left"/>
          <w:tab w:leader="none" w:pos="4020" w:val="left"/>
          <w:tab w:leader="none" w:pos="4400" w:val="left"/>
          <w:tab w:leader="none" w:pos="4580" w:val="left"/>
          <w:tab w:leader="none" w:pos="7120" w:val="left"/>
          <w:tab w:leader="none" w:pos="7440" w:val="left"/>
          <w:tab w:leader="none" w:pos="7820" w:val="left"/>
        </w:tabs>
        <w:rPr>
          <w:sz w:val="20"/>
          <w:szCs w:val="20"/>
          <w:color w:val="auto"/>
        </w:rPr>
      </w:pPr>
      <w:r>
        <w:rPr>
          <w:rFonts w:ascii="Times New Roman" w:cs="Times New Roman" w:eastAsia="Times New Roman" w:hAnsi="Times New Roman"/>
          <w:sz w:val="23"/>
          <w:szCs w:val="23"/>
          <w:b w:val="1"/>
          <w:bCs w:val="1"/>
          <w:color w:val="auto"/>
          <w:vertAlign w:val="subscript"/>
        </w:rPr>
        <w:t>​</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Page</w:t>
      </w:r>
      <w:r>
        <w:rPr>
          <w:sz w:val="20"/>
          <w:szCs w:val="20"/>
          <w:color w:val="auto"/>
        </w:rPr>
        <w:tab/>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23"/>
          <w:szCs w:val="23"/>
          <w:b w:val="1"/>
          <w:bCs w:val="1"/>
          <w:color w:val="auto"/>
        </w:rPr>
        <w:tab/>
      </w:r>
      <w:r>
        <w:rPr>
          <w:rFonts w:ascii="Times New Roman" w:cs="Times New Roman" w:eastAsia="Times New Roman" w:hAnsi="Times New Roman"/>
          <w:sz w:val="23"/>
          <w:szCs w:val="23"/>
          <w:b w:val="1"/>
          <w:bCs w:val="1"/>
          <w:color w:val="auto"/>
          <w:vertAlign w:val="subscript"/>
        </w:rPr>
        <w:t>​</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Page</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27305</wp:posOffset>
            </wp:positionV>
            <wp:extent cx="4241800" cy="251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41800" cy="25146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43" w:lineRule="exact"/>
        <w:rPr>
          <w:sz w:val="20"/>
          <w:szCs w:val="20"/>
          <w:color w:val="auto"/>
        </w:rPr>
      </w:pPr>
    </w:p>
    <w:tbl>
      <w:tblPr>
        <w:tblLayout w:type="fixed"/>
        <w:tblInd w:w="1160" w:type="dxa"/>
        <w:tblCellMar>
          <w:top w:w="0" w:type="dxa"/>
          <w:left w:w="0" w:type="dxa"/>
          <w:bottom w:w="0" w:type="dxa"/>
          <w:right w:w="0" w:type="dxa"/>
        </w:tblCellMar>
      </w:tblP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740" w:type="dxa"/>
            <w:vAlign w:val="bottom"/>
            <w:tcBorders>
              <w:top w:val="single" w:sz="8" w:color="CCEEFF"/>
              <w:bottom w:val="single" w:sz="8" w:color="0000EE"/>
            </w:tcBorders>
            <w:gridSpan w:val="13"/>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0000EE"/>
                <w:w w:val="98"/>
              </w:rPr>
              <w:t>PROSPECTUS SUMMARY</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0000EE"/>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0000EE"/>
                <w:w w:val="79"/>
              </w:rPr>
              <w:t>1</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060" w:type="dxa"/>
            <w:vAlign w:val="bottom"/>
            <w:tcBorders>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5"/>
                <w:szCs w:val="15"/>
                <w:color w:val="0000EE"/>
                <w:w w:val="97"/>
              </w:rPr>
              <w:t>THE OFFERING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10</w:t>
            </w:r>
          </w:p>
        </w:tc>
        <w:tc>
          <w:tcPr>
            <w:tcW w:w="160" w:type="dxa"/>
            <w:vAlign w:val="bottom"/>
          </w:tcPr>
          <w:p>
            <w:pPr>
              <w:spacing w:after="0"/>
              <w:rPr>
                <w:sz w:val="15"/>
                <w:szCs w:val="15"/>
                <w:color w:val="auto"/>
              </w:rPr>
            </w:pPr>
          </w:p>
        </w:tc>
      </w:tr>
      <w:tr>
        <w:trPr>
          <w:trHeight w:val="171"/>
        </w:trPr>
        <w:tc>
          <w:tcPr>
            <w:tcW w:w="2520" w:type="dxa"/>
            <w:vAlign w:val="bottom"/>
            <w:gridSpan w:val="20"/>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0000EE"/>
              </w:rPr>
              <w:t>SUMMARY CONSOLIDATED</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1240" w:type="dxa"/>
            <w:vAlign w:val="bottom"/>
            <w:tcBorders>
              <w:top w:val="single" w:sz="8" w:color="0000EE"/>
              <w:bottom w:val="single" w:sz="8" w:color="0000EE"/>
            </w:tcBorders>
            <w:gridSpan w:val="10"/>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w w:val="96"/>
              </w:rPr>
              <w:t>FINANCIAL DATA</w:t>
            </w:r>
          </w:p>
        </w:tc>
        <w:tc>
          <w:tcPr>
            <w:tcW w:w="56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56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ind w:left="6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top w:val="single" w:sz="8" w:color="CCEEFF"/>
              <w:bottom w:val="single" w:sz="8" w:color="CCEEFF"/>
            </w:tcBorders>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bottom w:val="single" w:sz="8" w:color="0000EE"/>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0000EE"/>
                <w:w w:val="79"/>
              </w:rPr>
              <w:t>12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040" w:type="dxa"/>
            <w:vAlign w:val="bottom"/>
            <w:tcBorders>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5"/>
                <w:szCs w:val="15"/>
                <w:color w:val="0000EE"/>
                <w:w w:val="96"/>
              </w:rPr>
              <w:t>RISK FACTORS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14</w:t>
            </w:r>
          </w:p>
        </w:tc>
        <w:tc>
          <w:tcPr>
            <w:tcW w:w="160" w:type="dxa"/>
            <w:vAlign w:val="bottom"/>
          </w:tcPr>
          <w:p>
            <w:pPr>
              <w:spacing w:after="0"/>
              <w:rPr>
                <w:sz w:val="15"/>
                <w:szCs w:val="15"/>
                <w:color w:val="auto"/>
              </w:rPr>
            </w:pPr>
          </w:p>
        </w:tc>
      </w:tr>
      <w:tr>
        <w:trPr>
          <w:trHeight w:val="171"/>
        </w:trPr>
        <w:tc>
          <w:tcPr>
            <w:tcW w:w="2520" w:type="dxa"/>
            <w:vAlign w:val="bottom"/>
            <w:gridSpan w:val="20"/>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0000EE"/>
              </w:rPr>
              <w:t>SPECIAL NOTE REGARDING</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0000EE"/>
              <w:bottom w:val="single" w:sz="8" w:color="CCEEFF"/>
            </w:tcBorders>
            <w:shd w:val="clear" w:color="auto" w:fill="CCEEFF"/>
          </w:tcPr>
          <w:p>
            <w:pPr>
              <w:spacing w:after="0"/>
              <w:rPr>
                <w:sz w:val="13"/>
                <w:szCs w:val="13"/>
                <w:color w:val="auto"/>
              </w:rPr>
            </w:pPr>
          </w:p>
        </w:tc>
        <w:tc>
          <w:tcPr>
            <w:tcW w:w="1460" w:type="dxa"/>
            <w:vAlign w:val="bottom"/>
            <w:tcBorders>
              <w:top w:val="single" w:sz="8" w:color="0000EE"/>
              <w:bottom w:val="single" w:sz="8" w:color="0000EE"/>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7"/>
              </w:rPr>
              <w:t>FORWARD-LOOKING</w:t>
            </w:r>
          </w:p>
        </w:tc>
        <w:tc>
          <w:tcPr>
            <w:tcW w:w="38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52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0000EE"/>
            </w:tcBorders>
            <w:gridSpan w:val="6"/>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w w:val="96"/>
              </w:rPr>
              <w:t>STATEMENTS</w:t>
            </w:r>
          </w:p>
        </w:tc>
        <w:tc>
          <w:tcPr>
            <w:tcW w:w="1400" w:type="dxa"/>
            <w:vAlign w:val="bottom"/>
            <w:tcBorders>
              <w:bottom w:val="single" w:sz="8" w:color="CCEEFF"/>
            </w:tcBorders>
            <w:gridSpan w:val="1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6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bottom w:val="single" w:sz="8" w:color="CCEEFF"/>
            </w:tcBorders>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0000EE"/>
                <w:w w:val="79"/>
              </w:rPr>
              <w:t>71</w:t>
            </w:r>
          </w:p>
        </w:tc>
        <w:tc>
          <w:tcPr>
            <w:tcW w:w="160" w:type="dxa"/>
            <w:vAlign w:val="bottom"/>
            <w:tcBorders>
              <w:bottom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2220" w:type="dxa"/>
            <w:vAlign w:val="bottom"/>
            <w:tcBorders>
              <w:bottom w:val="single" w:sz="8" w:color="0000EE"/>
            </w:tcBorders>
            <w:gridSpan w:val="17"/>
          </w:tcPr>
          <w:p>
            <w:pPr>
              <w:spacing w:after="0" w:line="156" w:lineRule="exact"/>
              <w:rPr>
                <w:sz w:val="20"/>
                <w:szCs w:val="20"/>
                <w:color w:val="auto"/>
              </w:rPr>
            </w:pPr>
            <w:r>
              <w:rPr>
                <w:rFonts w:ascii="Times New Roman" w:cs="Times New Roman" w:eastAsia="Times New Roman" w:hAnsi="Times New Roman"/>
                <w:sz w:val="15"/>
                <w:szCs w:val="15"/>
                <w:color w:val="0000EE"/>
                <w:w w:val="97"/>
              </w:rPr>
              <w:t>MARKET AND INDUSTRY DATA</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73</w:t>
            </w:r>
          </w:p>
        </w:tc>
        <w:tc>
          <w:tcPr>
            <w:tcW w:w="160" w:type="dxa"/>
            <w:vAlign w:val="bottom"/>
          </w:tcPr>
          <w:p>
            <w:pPr>
              <w:spacing w:after="0"/>
              <w:rPr>
                <w:sz w:val="15"/>
                <w:szCs w:val="15"/>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0000EE"/>
            </w:tcBorders>
            <w:gridSpan w:val="10"/>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8"/>
              </w:rPr>
              <w:t>USE OF PROCEEDS</w:t>
            </w:r>
          </w:p>
        </w:tc>
        <w:tc>
          <w:tcPr>
            <w:tcW w:w="640" w:type="dxa"/>
            <w:vAlign w:val="bottom"/>
            <w:tcBorders>
              <w:bottom w:val="single" w:sz="8" w:color="CCEEFF"/>
            </w:tcBorders>
            <w:gridSpan w:val="5"/>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0000EE"/>
                <w:w w:val="79"/>
              </w:rPr>
              <w:t>74</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1300" w:type="dxa"/>
            <w:vAlign w:val="bottom"/>
            <w:tcBorders>
              <w:bottom w:val="single" w:sz="8" w:color="0000EE"/>
            </w:tcBorders>
            <w:gridSpan w:val="9"/>
          </w:tcPr>
          <w:p>
            <w:pPr>
              <w:spacing w:after="0" w:line="156" w:lineRule="exact"/>
              <w:rPr>
                <w:sz w:val="20"/>
                <w:szCs w:val="20"/>
                <w:color w:val="auto"/>
              </w:rPr>
            </w:pPr>
            <w:r>
              <w:rPr>
                <w:rFonts w:ascii="Times New Roman" w:cs="Times New Roman" w:eastAsia="Times New Roman" w:hAnsi="Times New Roman"/>
                <w:sz w:val="15"/>
                <w:szCs w:val="15"/>
                <w:color w:val="0000EE"/>
                <w:w w:val="97"/>
              </w:rPr>
              <w:t>DIVIDEND POLICY</w:t>
            </w:r>
          </w:p>
        </w:tc>
        <w:tc>
          <w:tcPr>
            <w:tcW w:w="6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75</w:t>
            </w:r>
          </w:p>
        </w:tc>
        <w:tc>
          <w:tcPr>
            <w:tcW w:w="160" w:type="dxa"/>
            <w:vAlign w:val="bottom"/>
          </w:tcPr>
          <w:p>
            <w:pPr>
              <w:spacing w:after="0"/>
              <w:rPr>
                <w:sz w:val="15"/>
                <w:szCs w:val="15"/>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0000EE"/>
            </w:tcBorders>
            <w:gridSpan w:val="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5"/>
              </w:rPr>
              <w:t>CAPITALIZATION</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0000EE"/>
                <w:w w:val="79"/>
              </w:rPr>
              <w:t>76</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720" w:type="dxa"/>
            <w:vAlign w:val="bottom"/>
            <w:tcBorders>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5"/>
                <w:szCs w:val="15"/>
                <w:color w:val="0000EE"/>
                <w:w w:val="97"/>
              </w:rPr>
              <w:t>DILUTION</w:t>
            </w:r>
          </w:p>
        </w:tc>
        <w:tc>
          <w:tcPr>
            <w:tcW w:w="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6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78</w:t>
            </w:r>
          </w:p>
        </w:tc>
        <w:tc>
          <w:tcPr>
            <w:tcW w:w="160" w:type="dxa"/>
            <w:vAlign w:val="bottom"/>
          </w:tcPr>
          <w:p>
            <w:pPr>
              <w:spacing w:after="0"/>
              <w:rPr>
                <w:sz w:val="15"/>
                <w:szCs w:val="15"/>
                <w:color w:val="auto"/>
              </w:rPr>
            </w:pPr>
          </w:p>
        </w:tc>
      </w:tr>
      <w:tr>
        <w:trPr>
          <w:trHeight w:val="171"/>
        </w:trPr>
        <w:tc>
          <w:tcPr>
            <w:tcW w:w="2520" w:type="dxa"/>
            <w:vAlign w:val="bottom"/>
            <w:gridSpan w:val="20"/>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0000EE"/>
                <w:w w:val="99"/>
              </w:rPr>
              <w:t>MANAGEMENT’S DISCUSSION AND</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0000EE"/>
              <w:bottom w:val="single" w:sz="8" w:color="CCEEFF"/>
            </w:tcBorders>
            <w:shd w:val="clear" w:color="auto" w:fill="CCEEFF"/>
          </w:tcPr>
          <w:p>
            <w:pPr>
              <w:spacing w:after="0"/>
              <w:rPr>
                <w:sz w:val="13"/>
                <w:szCs w:val="13"/>
                <w:color w:val="auto"/>
              </w:rPr>
            </w:pPr>
          </w:p>
        </w:tc>
        <w:tc>
          <w:tcPr>
            <w:tcW w:w="1820" w:type="dxa"/>
            <w:vAlign w:val="bottom"/>
            <w:tcBorders>
              <w:top w:val="single" w:sz="8" w:color="0000EE"/>
              <w:bottom w:val="single" w:sz="8" w:color="0000EE"/>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9"/>
              </w:rPr>
              <w:t>ANALYSIS OF FINANCIAL</w:t>
            </w:r>
          </w:p>
        </w:tc>
        <w:tc>
          <w:tcPr>
            <w:tcW w:w="54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60" w:type="dxa"/>
            <w:vAlign w:val="bottom"/>
            <w:gridSpan w:val="1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CONDITION AND RESULTS OF</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0000EE"/>
              <w:bottom w:val="single" w:sz="8" w:color="0000EE"/>
            </w:tcBorders>
            <w:gridSpan w:val="4"/>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w w:val="96"/>
              </w:rPr>
              <w:t>OPERATIONS</w:t>
            </w:r>
          </w:p>
        </w:tc>
        <w:tc>
          <w:tcPr>
            <w:tcW w:w="1180" w:type="dxa"/>
            <w:vAlign w:val="bottom"/>
            <w:tcBorders>
              <w:top w:val="single" w:sz="8" w:color="0000EE"/>
              <w:bottom w:val="single" w:sz="8" w:color="CCEEFF"/>
            </w:tcBorders>
            <w:gridSpan w:val="13"/>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ind w:left="6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top w:val="single" w:sz="8" w:color="CCEEFF"/>
              <w:bottom w:val="single" w:sz="8" w:color="CCEEFF"/>
            </w:tcBorders>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bottom w:val="single" w:sz="8" w:color="0000EE"/>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0000EE"/>
                <w:w w:val="79"/>
              </w:rPr>
              <w:t>81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00" w:type="dxa"/>
            <w:vAlign w:val="bottom"/>
            <w:tcBorders>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5"/>
                <w:szCs w:val="15"/>
                <w:color w:val="0000EE"/>
                <w:w w:val="95"/>
              </w:rPr>
              <w:t>BUSINESS</w:t>
            </w:r>
          </w:p>
        </w:tc>
        <w:tc>
          <w:tcPr>
            <w:tcW w:w="380" w:type="dxa"/>
            <w:vAlign w:val="bottom"/>
            <w:gridSpan w:val="4"/>
          </w:tcPr>
          <w:p>
            <w:pPr>
              <w:spacing w:after="0"/>
              <w:rPr>
                <w:sz w:val="15"/>
                <w:szCs w:val="15"/>
                <w:color w:val="auto"/>
              </w:rPr>
            </w:pPr>
          </w:p>
        </w:tc>
        <w:tc>
          <w:tcPr>
            <w:tcW w:w="220" w:type="dxa"/>
            <w:vAlign w:val="bottom"/>
            <w:gridSpan w:val="3"/>
          </w:tcPr>
          <w:p>
            <w:pPr>
              <w:spacing w:after="0"/>
              <w:rPr>
                <w:sz w:val="15"/>
                <w:szCs w:val="15"/>
                <w:color w:val="auto"/>
              </w:rPr>
            </w:pPr>
          </w:p>
        </w:tc>
        <w:tc>
          <w:tcPr>
            <w:tcW w:w="680" w:type="dxa"/>
            <w:vAlign w:val="bottom"/>
            <w:gridSpan w:val="7"/>
          </w:tcPr>
          <w:p>
            <w:pPr>
              <w:spacing w:after="0"/>
              <w:rPr>
                <w:sz w:val="15"/>
                <w:szCs w:val="15"/>
                <w:color w:val="auto"/>
              </w:rPr>
            </w:pPr>
          </w:p>
        </w:tc>
        <w:tc>
          <w:tcPr>
            <w:tcW w:w="520" w:type="dxa"/>
            <w:vAlign w:val="bottom"/>
            <w:gridSpan w:val="3"/>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220" w:type="dxa"/>
            <w:vAlign w:val="bottom"/>
            <w:tcBorders>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88"/>
              </w:rPr>
              <w:t>​</w:t>
            </w:r>
            <w:r>
              <w:rPr>
                <w:rFonts w:ascii="Times New Roman" w:cs="Times New Roman" w:eastAsia="Times New Roman" w:hAnsi="Times New Roman"/>
                <w:sz w:val="15"/>
                <w:szCs w:val="15"/>
                <w:color w:val="0000EE"/>
                <w:w w:val="88"/>
              </w:rPr>
              <w:t>101</w:t>
            </w:r>
          </w:p>
        </w:tc>
        <w:tc>
          <w:tcPr>
            <w:tcW w:w="160" w:type="dxa"/>
            <w:vAlign w:val="bottom"/>
          </w:tcPr>
          <w:p>
            <w:pPr>
              <w:spacing w:after="0"/>
              <w:rPr>
                <w:sz w:val="15"/>
                <w:szCs w:val="15"/>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0000EE"/>
            </w:tcBorders>
            <w:gridSpan w:val="6"/>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7"/>
              </w:rPr>
              <w:t>MANAGEMENT</w:t>
            </w:r>
          </w:p>
        </w:tc>
        <w:tc>
          <w:tcPr>
            <w:tcW w:w="220" w:type="dxa"/>
            <w:vAlign w:val="bottom"/>
            <w:tcBorders>
              <w:bottom w:val="single" w:sz="8" w:color="CCEEFF"/>
            </w:tcBorders>
            <w:gridSpan w:val="3"/>
            <w:shd w:val="clear" w:color="auto" w:fill="CCEEFF"/>
          </w:tcPr>
          <w:p>
            <w:pPr>
              <w:spacing w:after="0"/>
              <w:rPr>
                <w:sz w:val="16"/>
                <w:szCs w:val="16"/>
                <w:color w:val="auto"/>
              </w:rPr>
            </w:pPr>
          </w:p>
        </w:tc>
        <w:tc>
          <w:tcPr>
            <w:tcW w:w="680" w:type="dxa"/>
            <w:vAlign w:val="bottom"/>
            <w:tcBorders>
              <w:bottom w:val="single" w:sz="8" w:color="CCEEFF"/>
            </w:tcBorders>
            <w:gridSpan w:val="7"/>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0000EE"/>
            </w:tcBorders>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88"/>
              </w:rPr>
              <w:t>​</w:t>
            </w:r>
            <w:r>
              <w:rPr>
                <w:rFonts w:ascii="Times New Roman" w:cs="Times New Roman" w:eastAsia="Times New Roman" w:hAnsi="Times New Roman"/>
                <w:sz w:val="15"/>
                <w:szCs w:val="15"/>
                <w:color w:val="0000EE"/>
                <w:w w:val="88"/>
              </w:rPr>
              <w:t>156</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65"/>
        </w:trPr>
        <w:tc>
          <w:tcPr>
            <w:tcW w:w="2520" w:type="dxa"/>
            <w:vAlign w:val="bottom"/>
            <w:gridSpan w:val="20"/>
          </w:tcPr>
          <w:p>
            <w:pPr>
              <w:spacing w:after="0" w:line="165" w:lineRule="exact"/>
              <w:rPr>
                <w:sz w:val="20"/>
                <w:szCs w:val="20"/>
                <w:color w:val="auto"/>
              </w:rPr>
            </w:pPr>
            <w:r>
              <w:rPr>
                <w:rFonts w:ascii="Times New Roman" w:cs="Times New Roman" w:eastAsia="Times New Roman" w:hAnsi="Times New Roman"/>
                <w:sz w:val="15"/>
                <w:szCs w:val="15"/>
                <w:color w:val="0000EE"/>
              </w:rPr>
              <w:t>EXECUTIVE AND DIRECTOR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5"/>
                <w:szCs w:val="15"/>
                <w:color w:val="0000EE"/>
                <w:w w:val="96"/>
              </w:rPr>
              <w:t>COMPENSATION</w:t>
            </w:r>
          </w:p>
        </w:tc>
        <w:tc>
          <w:tcPr>
            <w:tcW w:w="680" w:type="dxa"/>
            <w:vAlign w:val="bottom"/>
            <w:tcBorders>
              <w:top w:val="single" w:sz="8" w:color="0000EE"/>
            </w:tcBorders>
            <w:gridSpan w:val="7"/>
          </w:tcPr>
          <w:p>
            <w:pPr>
              <w:spacing w:after="0"/>
              <w:rPr>
                <w:sz w:val="13"/>
                <w:szCs w:val="13"/>
                <w:color w:val="auto"/>
              </w:rPr>
            </w:pPr>
          </w:p>
        </w:tc>
        <w:tc>
          <w:tcPr>
            <w:tcW w:w="520" w:type="dxa"/>
            <w:vAlign w:val="bottom"/>
            <w:gridSpan w:val="3"/>
          </w:tcPr>
          <w:p>
            <w:pPr>
              <w:spacing w:after="0"/>
              <w:rPr>
                <w:sz w:val="13"/>
                <w:szCs w:val="13"/>
                <w:color w:val="auto"/>
              </w:rPr>
            </w:pPr>
          </w:p>
        </w:tc>
        <w:tc>
          <w:tcPr>
            <w:tcW w:w="200" w:type="dxa"/>
            <w:vAlign w:val="bottom"/>
          </w:tcPr>
          <w:p>
            <w:pPr>
              <w:ind w:left="6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5"/>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165</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84" w:hanging="184"/>
        <w:spacing w:after="0" w:line="181" w:lineRule="auto"/>
        <w:tabs>
          <w:tab w:leader="none" w:pos="184" w:val="left"/>
        </w:tabs>
        <w:numPr>
          <w:ilvl w:val="0"/>
          <w:numId w:val="2"/>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5"/>
          <w:szCs w:val="15"/>
          <w:u w:val="single" w:color="auto"/>
          <w:color w:val="0000EE"/>
        </w:rPr>
        <w:t>CERTAIN RELATIONSHIPS AND</w:t>
      </w:r>
    </w:p>
    <w:tbl>
      <w:tblPr>
        <w:tblLayout w:type="fixed"/>
        <w:tblInd w:w="4" w:type="dxa"/>
        <w:tblCellMar>
          <w:top w:w="0" w:type="dxa"/>
          <w:left w:w="0" w:type="dxa"/>
          <w:bottom w:w="0" w:type="dxa"/>
          <w:right w:w="0" w:type="dxa"/>
        </w:tblCellMar>
      </w:tblPr>
      <w:tr>
        <w:trPr>
          <w:trHeight w:val="143"/>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2760" w:type="dxa"/>
            <w:vAlign w:val="bottom"/>
            <w:gridSpan w:val="5"/>
          </w:tcPr>
          <w:p>
            <w:pPr>
              <w:jc w:val="right"/>
              <w:ind w:right="7"/>
              <w:spacing w:after="0" w:line="144" w:lineRule="exact"/>
              <w:rPr>
                <w:sz w:val="20"/>
                <w:szCs w:val="20"/>
                <w:color w:val="auto"/>
              </w:rPr>
            </w:pPr>
            <w:r>
              <w:rPr>
                <w:rFonts w:ascii="Times New Roman" w:cs="Times New Roman" w:eastAsia="Times New Roman" w:hAnsi="Times New Roman"/>
                <w:sz w:val="15"/>
                <w:szCs w:val="15"/>
                <w:color w:val="0000EE"/>
              </w:rPr>
              <w:t xml:space="preserve">RELATED PARTY TRANSACTIONS </w:t>
            </w:r>
            <w:r>
              <w:rPr>
                <w:rFonts w:ascii="Times New Roman" w:cs="Times New Roman" w:eastAsia="Times New Roman" w:hAnsi="Times New Roman"/>
                <w:sz w:val="15"/>
                <w:szCs w:val="15"/>
                <w:color w:val="000000"/>
              </w:rPr>
              <w:t>​ ​</w:t>
            </w:r>
          </w:p>
        </w:tc>
        <w:tc>
          <w:tcPr>
            <w:tcW w:w="4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174</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0" w:type="dxa"/>
            <w:vAlign w:val="bottom"/>
            <w:vMerge w:val="continue"/>
          </w:tcPr>
          <w:p>
            <w:pPr>
              <w:spacing w:after="0"/>
              <w:rPr>
                <w:sz w:val="6"/>
                <w:szCs w:val="6"/>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EE"/>
                <w:w w:val="97"/>
              </w:rPr>
              <w:t>PRINCIPAL STOCKHOLDERS</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6"/>
                <w:szCs w:val="6"/>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0000EE"/>
                <w:w w:val="97"/>
              </w:rPr>
              <w:t>179</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tcPr>
          <w:p>
            <w:pPr>
              <w:spacing w:after="0"/>
              <w:rPr>
                <w:sz w:val="11"/>
                <w:szCs w:val="11"/>
                <w:color w:val="auto"/>
              </w:rPr>
            </w:pPr>
          </w:p>
        </w:tc>
        <w:tc>
          <w:tcPr>
            <w:tcW w:w="1960" w:type="dxa"/>
            <w:vAlign w:val="bottom"/>
            <w:tcBorders>
              <w:bottom w:val="single" w:sz="8" w:color="0000EE"/>
            </w:tcBorders>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0000EE"/>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 w:type="dxa"/>
            <w:vAlign w:val="bottom"/>
            <w:tcBorders>
              <w:right w:val="single" w:sz="8" w:color="CCEEFF"/>
            </w:tcBorders>
          </w:tcPr>
          <w:p>
            <w:pPr>
              <w:spacing w:after="0" w:line="151" w:lineRule="exact"/>
              <w:rPr>
                <w:sz w:val="20"/>
                <w:szCs w:val="20"/>
                <w:color w:val="auto"/>
              </w:rPr>
            </w:pPr>
            <w:r>
              <w:rPr>
                <w:rFonts w:ascii="Times New Roman" w:cs="Times New Roman" w:eastAsia="Times New Roman" w:hAnsi="Times New Roman"/>
                <w:sz w:val="15"/>
                <w:szCs w:val="15"/>
                <w:color w:val="auto"/>
              </w:rPr>
              <w:t>​</w:t>
            </w:r>
          </w:p>
        </w:tc>
        <w:tc>
          <w:tcPr>
            <w:tcW w:w="2500" w:type="dxa"/>
            <w:vAlign w:val="bottom"/>
            <w:gridSpan w:val="4"/>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260" w:type="dxa"/>
            <w:vAlign w:val="bottom"/>
            <w:shd w:val="clear" w:color="auto" w:fill="CCEEFF"/>
          </w:tcPr>
          <w:p>
            <w:pPr>
              <w:jc w:val="right"/>
              <w:ind w:right="7"/>
              <w:spacing w:after="0" w:line="151"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3"/>
            <w:shd w:val="clear" w:color="auto" w:fill="CCEEFF"/>
          </w:tcPr>
          <w:p>
            <w:pPr>
              <w:ind w:left="80"/>
              <w:spacing w:after="0" w:line="15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181</w:t>
            </w:r>
          </w:p>
        </w:tc>
        <w:tc>
          <w:tcPr>
            <w:tcW w:w="0" w:type="dxa"/>
            <w:vAlign w:val="bottom"/>
          </w:tcPr>
          <w:p>
            <w:pPr>
              <w:spacing w:after="0"/>
              <w:rPr>
                <w:sz w:val="1"/>
                <w:szCs w:val="1"/>
                <w:color w:val="auto"/>
              </w:rPr>
            </w:pPr>
          </w:p>
        </w:tc>
      </w:tr>
      <w:tr>
        <w:trPr>
          <w:trHeight w:val="24"/>
        </w:trPr>
        <w:tc>
          <w:tcPr>
            <w:tcW w:w="200" w:type="dxa"/>
            <w:vAlign w:val="bottom"/>
            <w:tcBorders>
              <w:right w:val="single" w:sz="8" w:color="CCEEFF"/>
            </w:tcBorders>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 w:hanging="184"/>
        <w:spacing w:after="0" w:line="187" w:lineRule="auto"/>
        <w:tabs>
          <w:tab w:leader="none" w:pos="184" w:val="left"/>
        </w:tabs>
        <w:numPr>
          <w:ilvl w:val="0"/>
          <w:numId w:val="3"/>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2"/>
          <w:szCs w:val="12"/>
          <w:u w:val="single" w:color="auto"/>
          <w:color w:val="0000EE"/>
        </w:rPr>
        <w:t>SHARES ELIGIBLE FOR FUTURE</w:t>
      </w:r>
    </w:p>
    <w:tbl>
      <w:tblPr>
        <w:tblLayout w:type="fixed"/>
        <w:tblInd w:w="4" w:type="dxa"/>
        <w:tblCellMar>
          <w:top w:w="0" w:type="dxa"/>
          <w:left w:w="0" w:type="dxa"/>
          <w:bottom w:w="0" w:type="dxa"/>
          <w:right w:w="0" w:type="dxa"/>
        </w:tblCellMar>
      </w:tblPr>
      <w:tr>
        <w:trPr>
          <w:trHeight w:val="143"/>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12"/>
          </w:tcPr>
          <w:p>
            <w:pPr>
              <w:spacing w:after="0" w:line="124" w:lineRule="exact"/>
              <w:rPr>
                <w:sz w:val="20"/>
                <w:szCs w:val="20"/>
                <w:color w:val="auto"/>
              </w:rPr>
            </w:pPr>
            <w:r>
              <w:rPr>
                <w:rFonts w:ascii="Times New Roman" w:cs="Times New Roman" w:eastAsia="Times New Roman" w:hAnsi="Times New Roman"/>
                <w:sz w:val="14"/>
                <w:szCs w:val="14"/>
                <w:color w:val="0000EE"/>
              </w:rPr>
              <w:t>SALE</w:t>
            </w:r>
          </w:p>
        </w:tc>
        <w:tc>
          <w:tcPr>
            <w:tcW w:w="380" w:type="dxa"/>
            <w:vAlign w:val="bottom"/>
          </w:tcPr>
          <w:p>
            <w:pPr>
              <w:ind w:left="18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4"/>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186</w:t>
            </w: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80" w:type="dxa"/>
            <w:vAlign w:val="bottom"/>
          </w:tcPr>
          <w:p>
            <w:pPr>
              <w:spacing w:after="0"/>
              <w:rPr>
                <w:sz w:val="14"/>
                <w:szCs w:val="14"/>
                <w:color w:val="auto"/>
              </w:rPr>
            </w:pPr>
          </w:p>
        </w:tc>
        <w:tc>
          <w:tcPr>
            <w:tcW w:w="1820" w:type="dxa"/>
            <w:vAlign w:val="bottom"/>
            <w:tcBorders>
              <w:bottom w:val="single" w:sz="8" w:color="0000EE"/>
            </w:tcBorders>
            <w:gridSpan w:val="8"/>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MATERIAL U.S. FEDERAL</w:t>
            </w:r>
          </w:p>
        </w:tc>
        <w:tc>
          <w:tcPr>
            <w:tcW w:w="580" w:type="dxa"/>
            <w:vAlign w:val="bottom"/>
            <w:tcBorders>
              <w:bottom w:val="single" w:sz="8" w:color="CCEEFF"/>
            </w:tcBorders>
            <w:gridSpan w:val="5"/>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2200" w:type="dxa"/>
            <w:vAlign w:val="bottom"/>
            <w:tcBorders>
              <w:bottom w:val="single" w:sz="8" w:color="0000EE"/>
            </w:tcBorders>
            <w:gridSpan w:val="11"/>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rPr>
              <w:t>INCOME TAX CONSEQUENCES</w:t>
            </w: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0000EE"/>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TO NON-U.S. HOLDERS OF OUR</w:t>
            </w: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80" w:type="dxa"/>
            <w:vAlign w:val="bottom"/>
            <w:vMerge w:val="continue"/>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5"/>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8"/>
              </w:rPr>
              <w:t>COMMON STOCK</w:t>
            </w:r>
          </w:p>
        </w:tc>
        <w:tc>
          <w:tcPr>
            <w:tcW w:w="1040" w:type="dxa"/>
            <w:vAlign w:val="bottom"/>
            <w:gridSpan w:val="7"/>
            <w:vMerge w:val="restart"/>
            <w:shd w:val="clear" w:color="auto" w:fill="CCEEFF"/>
          </w:tcPr>
          <w:p>
            <w:pPr>
              <w:spacing w:after="0"/>
              <w:rPr>
                <w:sz w:val="6"/>
                <w:szCs w:val="6"/>
                <w:color w:val="auto"/>
              </w:rPr>
            </w:pPr>
          </w:p>
        </w:tc>
        <w:tc>
          <w:tcPr>
            <w:tcW w:w="380" w:type="dxa"/>
            <w:vAlign w:val="bottom"/>
            <w:vMerge w:val="restart"/>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vMerge w:val="restart"/>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189</w:t>
            </w:r>
          </w:p>
        </w:tc>
        <w:tc>
          <w:tcPr>
            <w:tcW w:w="0" w:type="dxa"/>
            <w:vAlign w:val="bottom"/>
          </w:tcPr>
          <w:p>
            <w:pPr>
              <w:spacing w:after="0"/>
              <w:rPr>
                <w:sz w:val="1"/>
                <w:szCs w:val="1"/>
                <w:color w:val="auto"/>
              </w:rPr>
            </w:pPr>
          </w:p>
        </w:tc>
      </w:tr>
      <w:tr>
        <w:trPr>
          <w:trHeight w:val="77"/>
        </w:trPr>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6"/>
                <w:szCs w:val="6"/>
                <w:color w:val="auto"/>
              </w:rPr>
            </w:pPr>
          </w:p>
        </w:tc>
        <w:tc>
          <w:tcPr>
            <w:tcW w:w="1220" w:type="dxa"/>
            <w:vAlign w:val="bottom"/>
            <w:gridSpan w:val="5"/>
            <w:vMerge w:val="continue"/>
            <w:shd w:val="clear" w:color="auto" w:fill="CCEEFF"/>
          </w:tcPr>
          <w:p>
            <w:pPr>
              <w:spacing w:after="0"/>
              <w:rPr>
                <w:sz w:val="6"/>
                <w:szCs w:val="6"/>
                <w:color w:val="auto"/>
              </w:rPr>
            </w:pPr>
          </w:p>
        </w:tc>
        <w:tc>
          <w:tcPr>
            <w:tcW w:w="1040" w:type="dxa"/>
            <w:vAlign w:val="bottom"/>
            <w:gridSpan w:val="7"/>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460" w:type="dxa"/>
            <w:vAlign w:val="bottom"/>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180" w:type="dxa"/>
            <w:vAlign w:val="bottom"/>
            <w:vMerge w:val="continue"/>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vMerge w:val="continue"/>
          </w:tcPr>
          <w:p>
            <w:pPr>
              <w:spacing w:after="0"/>
              <w:rPr>
                <w:sz w:val="14"/>
                <w:szCs w:val="14"/>
                <w:color w:val="auto"/>
              </w:rPr>
            </w:pPr>
          </w:p>
        </w:tc>
        <w:tc>
          <w:tcPr>
            <w:tcW w:w="2400" w:type="dxa"/>
            <w:vAlign w:val="bottom"/>
            <w:gridSpan w:val="13"/>
          </w:tcPr>
          <w:p>
            <w:pPr>
              <w:spacing w:after="0" w:line="165" w:lineRule="exact"/>
              <w:rPr>
                <w:sz w:val="20"/>
                <w:szCs w:val="20"/>
                <w:color w:val="auto"/>
              </w:rPr>
            </w:pPr>
            <w:r>
              <w:rPr>
                <w:rFonts w:ascii="Times New Roman" w:cs="Times New Roman" w:eastAsia="Times New Roman" w:hAnsi="Times New Roman"/>
                <w:sz w:val="15"/>
                <w:szCs w:val="15"/>
                <w:color w:val="0000EE"/>
              </w:rPr>
              <w:t>UNDERWRITERS</w:t>
            </w:r>
          </w:p>
        </w:tc>
        <w:tc>
          <w:tcPr>
            <w:tcW w:w="380" w:type="dxa"/>
            <w:vAlign w:val="bottom"/>
          </w:tcPr>
          <w:p>
            <w:pPr>
              <w:ind w:left="18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tcPr>
          <w:p>
            <w:pPr>
              <w:ind w:left="80"/>
              <w:spacing w:after="0" w:line="16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193</w:t>
            </w:r>
          </w:p>
        </w:tc>
        <w:tc>
          <w:tcPr>
            <w:tcW w:w="0" w:type="dxa"/>
            <w:vAlign w:val="bottom"/>
          </w:tcPr>
          <w:p>
            <w:pPr>
              <w:spacing w:after="0"/>
              <w:rPr>
                <w:sz w:val="1"/>
                <w:szCs w:val="1"/>
                <w:color w:val="auto"/>
              </w:rPr>
            </w:pPr>
          </w:p>
        </w:tc>
      </w:tr>
      <w:tr>
        <w:trPr>
          <w:trHeight w:val="22"/>
        </w:trPr>
        <w:tc>
          <w:tcPr>
            <w:tcW w:w="18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vMerge w:val="continue"/>
          </w:tcPr>
          <w:p>
            <w:pPr>
              <w:spacing w:after="0"/>
              <w:rPr>
                <w:sz w:val="14"/>
                <w:szCs w:val="14"/>
                <w:color w:val="auto"/>
              </w:rPr>
            </w:pPr>
          </w:p>
        </w:tc>
        <w:tc>
          <w:tcPr>
            <w:tcW w:w="1220" w:type="dxa"/>
            <w:vAlign w:val="bottom"/>
            <w:gridSpan w:val="5"/>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w w:val="97"/>
              </w:rPr>
              <w:t>LEGAL MATTERS</w:t>
            </w:r>
          </w:p>
        </w:tc>
        <w:tc>
          <w:tcPr>
            <w:tcW w:w="1180" w:type="dxa"/>
            <w:vAlign w:val="bottom"/>
            <w:gridSpan w:val="8"/>
            <w:shd w:val="clear" w:color="auto" w:fill="CCEEFF"/>
          </w:tcPr>
          <w:p>
            <w:pPr>
              <w:spacing w:after="0"/>
              <w:rPr>
                <w:sz w:val="14"/>
                <w:szCs w:val="14"/>
                <w:color w:val="auto"/>
              </w:rPr>
            </w:pPr>
          </w:p>
        </w:tc>
        <w:tc>
          <w:tcPr>
            <w:tcW w:w="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shd w:val="clear" w:color="auto" w:fill="CCEEFF"/>
          </w:tcPr>
          <w:p>
            <w:pPr>
              <w:ind w:left="80"/>
              <w:spacing w:after="0" w:line="16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202</w:t>
            </w:r>
          </w:p>
        </w:tc>
        <w:tc>
          <w:tcPr>
            <w:tcW w:w="0" w:type="dxa"/>
            <w:vAlign w:val="bottom"/>
          </w:tcPr>
          <w:p>
            <w:pPr>
              <w:spacing w:after="0"/>
              <w:rPr>
                <w:sz w:val="1"/>
                <w:szCs w:val="1"/>
                <w:color w:val="auto"/>
              </w:rPr>
            </w:pPr>
          </w:p>
        </w:tc>
      </w:tr>
      <w:tr>
        <w:trPr>
          <w:trHeight w:val="22"/>
        </w:trPr>
        <w:tc>
          <w:tcPr>
            <w:tcW w:w="180" w:type="dxa"/>
            <w:vAlign w:val="bottom"/>
            <w:vMerge w:val="restart"/>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vMerge w:val="continue"/>
          </w:tcPr>
          <w:p>
            <w:pPr>
              <w:spacing w:after="0"/>
              <w:rPr>
                <w:sz w:val="14"/>
                <w:szCs w:val="14"/>
                <w:color w:val="auto"/>
              </w:rPr>
            </w:pPr>
          </w:p>
        </w:tc>
        <w:tc>
          <w:tcPr>
            <w:tcW w:w="1220" w:type="dxa"/>
            <w:vAlign w:val="bottom"/>
            <w:gridSpan w:val="5"/>
          </w:tcPr>
          <w:p>
            <w:pPr>
              <w:spacing w:after="0" w:line="165" w:lineRule="exact"/>
              <w:rPr>
                <w:sz w:val="20"/>
                <w:szCs w:val="20"/>
                <w:color w:val="auto"/>
              </w:rPr>
            </w:pPr>
            <w:r>
              <w:rPr>
                <w:rFonts w:ascii="Times New Roman" w:cs="Times New Roman" w:eastAsia="Times New Roman" w:hAnsi="Times New Roman"/>
                <w:sz w:val="15"/>
                <w:szCs w:val="15"/>
                <w:color w:val="0000EE"/>
              </w:rPr>
              <w:t>EXPERTS</w:t>
            </w:r>
          </w:p>
        </w:tc>
        <w:tc>
          <w:tcPr>
            <w:tcW w:w="1180" w:type="dxa"/>
            <w:vAlign w:val="bottom"/>
            <w:gridSpan w:val="8"/>
          </w:tcPr>
          <w:p>
            <w:pPr>
              <w:spacing w:after="0"/>
              <w:rPr>
                <w:sz w:val="14"/>
                <w:szCs w:val="14"/>
                <w:color w:val="auto"/>
              </w:rPr>
            </w:pPr>
          </w:p>
        </w:tc>
        <w:tc>
          <w:tcPr>
            <w:tcW w:w="380" w:type="dxa"/>
            <w:vAlign w:val="bottom"/>
          </w:tcPr>
          <w:p>
            <w:pPr>
              <w:ind w:left="18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tcPr>
          <w:p>
            <w:pPr>
              <w:ind w:left="80"/>
              <w:spacing w:after="0" w:line="16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202</w:t>
            </w:r>
          </w:p>
        </w:tc>
        <w:tc>
          <w:tcPr>
            <w:tcW w:w="0" w:type="dxa"/>
            <w:vAlign w:val="bottom"/>
          </w:tcPr>
          <w:p>
            <w:pPr>
              <w:spacing w:after="0"/>
              <w:rPr>
                <w:sz w:val="1"/>
                <w:szCs w:val="1"/>
                <w:color w:val="auto"/>
              </w:rPr>
            </w:pPr>
          </w:p>
        </w:tc>
      </w:tr>
      <w:tr>
        <w:trPr>
          <w:trHeight w:val="22"/>
        </w:trPr>
        <w:tc>
          <w:tcPr>
            <w:tcW w:w="180" w:type="dxa"/>
            <w:vAlign w:val="bottom"/>
            <w:vMerge w:val="restart"/>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80" w:type="dxa"/>
            <w:vAlign w:val="bottom"/>
            <w:vMerge w:val="continue"/>
          </w:tcPr>
          <w:p>
            <w:pPr>
              <w:spacing w:after="0"/>
              <w:rPr>
                <w:sz w:val="14"/>
                <w:szCs w:val="14"/>
                <w:color w:val="auto"/>
              </w:rPr>
            </w:pPr>
          </w:p>
        </w:tc>
        <w:tc>
          <w:tcPr>
            <w:tcW w:w="2400" w:type="dxa"/>
            <w:vAlign w:val="bottom"/>
            <w:gridSpan w:val="13"/>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WHERE YOU CAN FIND</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20" w:type="dxa"/>
            <w:vAlign w:val="bottom"/>
            <w:gridSpan w:val="10"/>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w w:val="98"/>
              </w:rPr>
              <w:t>ADDITIONAL INFORMATION</w:t>
            </w:r>
          </w:p>
        </w:tc>
        <w:tc>
          <w:tcPr>
            <w:tcW w:w="240" w:type="dxa"/>
            <w:vAlign w:val="bottom"/>
            <w:gridSpan w:val="2"/>
            <w:shd w:val="clear" w:color="auto" w:fill="CCEEFF"/>
          </w:tcPr>
          <w:p>
            <w:pPr>
              <w:spacing w:after="0"/>
              <w:rPr>
                <w:sz w:val="13"/>
                <w:szCs w:val="13"/>
                <w:color w:val="auto"/>
              </w:rPr>
            </w:pPr>
          </w:p>
        </w:tc>
        <w:tc>
          <w:tcPr>
            <w:tcW w:w="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shd w:val="clear" w:color="auto" w:fill="CCEEFF"/>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202</w:t>
            </w: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80" w:type="dxa"/>
            <w:vAlign w:val="bottom"/>
          </w:tcPr>
          <w:p>
            <w:pPr>
              <w:spacing w:after="0"/>
              <w:rPr>
                <w:sz w:val="14"/>
                <w:szCs w:val="14"/>
                <w:color w:val="auto"/>
              </w:rPr>
            </w:pPr>
          </w:p>
        </w:tc>
        <w:tc>
          <w:tcPr>
            <w:tcW w:w="2400" w:type="dxa"/>
            <w:vAlign w:val="bottom"/>
            <w:gridSpan w:val="13"/>
          </w:tcPr>
          <w:p>
            <w:pPr>
              <w:spacing w:after="0" w:line="165" w:lineRule="exact"/>
              <w:rPr>
                <w:sz w:val="20"/>
                <w:szCs w:val="20"/>
                <w:color w:val="auto"/>
              </w:rPr>
            </w:pPr>
            <w:r>
              <w:rPr>
                <w:rFonts w:ascii="Times New Roman" w:cs="Times New Roman" w:eastAsia="Times New Roman" w:hAnsi="Times New Roman"/>
                <w:sz w:val="15"/>
                <w:szCs w:val="15"/>
                <w:color w:val="0000EE"/>
              </w:rPr>
              <w:t>INDEX TO CONSOLIDATED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800" w:type="dxa"/>
            <w:vAlign w:val="bottom"/>
            <w:gridSpan w:val="9"/>
          </w:tcPr>
          <w:p>
            <w:pPr>
              <w:spacing w:after="0" w:line="145" w:lineRule="exact"/>
              <w:rPr>
                <w:sz w:val="20"/>
                <w:szCs w:val="20"/>
                <w:color w:val="auto"/>
              </w:rPr>
            </w:pPr>
            <w:r>
              <w:rPr>
                <w:rFonts w:ascii="Times New Roman" w:cs="Times New Roman" w:eastAsia="Times New Roman" w:hAnsi="Times New Roman"/>
                <w:sz w:val="15"/>
                <w:szCs w:val="15"/>
                <w:color w:val="0000EE"/>
                <w:w w:val="97"/>
              </w:rPr>
              <w:t>FINANCIAL STATEMENTS</w:t>
            </w:r>
          </w:p>
        </w:tc>
        <w:tc>
          <w:tcPr>
            <w:tcW w:w="460" w:type="dxa"/>
            <w:vAlign w:val="bottom"/>
            <w:gridSpan w:val="3"/>
            <w:vMerge w:val="restart"/>
          </w:tcPr>
          <w:p>
            <w:pPr>
              <w:spacing w:after="0"/>
              <w:rPr>
                <w:sz w:val="13"/>
                <w:szCs w:val="13"/>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F-1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0" w:type="dxa"/>
            <w:vAlign w:val="bottom"/>
            <w:tcBorders>
              <w:top w:val="single" w:sz="8" w:color="0000EE"/>
            </w:tcBorders>
            <w:gridSpan w:val="9"/>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0" w:type="dxa"/>
            <w:vAlign w:val="bottom"/>
            <w:gridSpan w:val="2"/>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220980</wp:posOffset>
            </wp:positionV>
            <wp:extent cx="89281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034" w:lineRule="exact"/>
        <w:rPr>
          <w:sz w:val="20"/>
          <w:szCs w:val="20"/>
          <w:color w:val="auto"/>
        </w:rPr>
      </w:pPr>
    </w:p>
    <w:p>
      <w:pPr>
        <w:sectPr>
          <w:pgSz w:w="11900" w:h="16838" w:orient="portrait"/>
          <w:cols w:equalWidth="0" w:num="3">
            <w:col w:w="4420" w:space="4294967293"/>
            <w:col w:w="3424" w:space="0"/>
            <w:col w:w="1179"/>
          </w:cols>
          <w:pgMar w:left="1440" w:top="98" w:right="1440" w:bottom="1440" w:gutter="0" w:footer="0" w:header="0"/>
          <w:type w:val="continuous"/>
        </w:sectPr>
      </w:pPr>
    </w:p>
    <w:p>
      <w:pPr>
        <w:spacing w:after="0" w:line="32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Neither we nor the underwriters have authorized anyone to provide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regardless of the time of delivery of this prospectus or any sale of our common stock. Our business, financial condition, results of operations and prospects may have changed since that date.</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For investors outside of the United States: Neither we nor any of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3" w:name="page4"/>
    <w:bookmarkEnd w:id="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05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91355" cy="660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24"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This summary highlights information included elsewhere in this prospectus. This summary does not contain all the information you should consider before investing in our common stock. You should read and consider this entire prospectus carefully, including the sections titled “Risk Factors,” “Special Note Regarding Forward-Looking Statements” and “Management’s Discussion and Analysis of Financial Condition and Results of Operations” and our financial statements and the related notes included elsewhere in the prospectus, before making any investment decision. Except where the context otherwise requires or where otherwise indicated, the terms “Zenas,” “Zenas BioPharma,” “we,” “us,” “our,” “our company,” “the company” and “our business” refer to Zenas BioPharma, Inc. and its consolidated subsidiaries.</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15"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98"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Our lead I&amp;I product candidate, obexelimab, is a bifunctional monoclonal antibody designed to bind both CD19 and Fcγ receptor IIb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effectively deplete B cells in systemic circulation, these agents do not fully impact B cells in relevant tissue, and the intermittent dosing regimens of these agents may not provide optimal benefits for all patients. In addition, anti-CD20 and other anti-CD19 targeting agents may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proof-of-concept (“POC”) for obexelimab as a B cell inhibitor for the treatment of patients living with certain autoimmune diseases. We are developing obexelimab as a potential I&amp;I franchise for patients in several autoimmune diseases, representing substantial commercial opportunities individually and in the aggregate. The first four indications we are pursuing include immunoglobulin G4-related disease (“IgG4-RD”) through an ongoing registration-directed Phase 3 trial; multiple sclerosis (“MS”) and systemic lupus erythematosus (“SLE”) through planned Phase 2, double-blind, randomized, placebo-controlled trials each of which we plan to initiate in                      ; and warm autoimmune hemolytic anemia (“wAIHA”) through an ongoing Phase 2/3 trial, currently in the Phase 2 open label portion.</w:t>
      </w:r>
    </w:p>
    <w:p>
      <w:pPr>
        <w:spacing w:after="0" w:line="97" w:lineRule="exact"/>
        <w:rPr>
          <w:sz w:val="20"/>
          <w:szCs w:val="20"/>
          <w:color w:val="auto"/>
        </w:rPr>
      </w:pPr>
    </w:p>
    <w:p>
      <w:pPr>
        <w:jc w:val="both"/>
        <w:ind w:left="1180" w:right="1159" w:firstLine="293"/>
        <w:spacing w:after="0" w:line="246" w:lineRule="auto"/>
        <w:rPr>
          <w:sz w:val="20"/>
          <w:szCs w:val="20"/>
          <w:color w:val="auto"/>
        </w:rPr>
      </w:pPr>
      <w:r>
        <w:rPr>
          <w:rFonts w:ascii="Times New Roman" w:cs="Times New Roman" w:eastAsia="Times New Roman" w:hAnsi="Times New Roman"/>
          <w:sz w:val="15"/>
          <w:szCs w:val="15"/>
          <w:color w:val="auto"/>
        </w:rPr>
        <w:t>IgG4-RD is a chronic fibro-inflammatory condition that can affect virtually all organ systems, including the pancreas, biliary tract, salivary and lacrimal glands, lungs and kidneys. IgG4-RD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 MS is the most common immune- mediated, chronic inflammatory demyelinating disease of the central nervous system (“CNS”), affecting over two million people worldwide including as many as 1,000,000 in the United States. We estimate a diagnosed prevalence of approximately 600,000 patients in the United States with MS. SLE, the most common form of lupus, is a complex, chronic autoimmune disease characterized most notably by unpredictable flares in joints, skin, kidneys and other vital organs that cause progressive organ damage. According to the Lupus Foundation of America, at least 1.5 million Americans are afflicted by lupus and more than 16,000 new cases are reported annually. It is estimated that five million people throughout the world suffer from some form of lupus, of which 70% suffer from the most common form, SLE. We estimate a diagnosed prevalence of approximately</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05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91355" cy="660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rPr>
          <w:sz w:val="20"/>
          <w:szCs w:val="20"/>
          <w:color w:val="auto"/>
        </w:rPr>
      </w:pPr>
      <w:r>
        <w:rPr>
          <w:rFonts w:ascii="Times New Roman" w:cs="Times New Roman" w:eastAsia="Times New Roman" w:hAnsi="Times New Roman"/>
          <w:sz w:val="15"/>
          <w:szCs w:val="15"/>
          <w:color w:val="auto"/>
        </w:rPr>
        <w:t>245,000 patients in the United States having lupus with approximately 172,000 having SLE. Autoimmune hemolytic anemia (“AIHA”) is an acquired disorder in which autoantibodies directed against a patient’s own red blood cell (“RBC”) membrane antigens lead to their accelerated destruction, and the rate of production of new cells in the bone marrow can no longer compensate for their loss. We estimate that the currently diagnosed population of wAIHA patients in the United States is approximately 40,000, with similar prevalence rates in other countries.</w:t>
      </w:r>
    </w:p>
    <w:p>
      <w:pPr>
        <w:spacing w:after="0" w:line="97" w:lineRule="exact"/>
        <w:rPr>
          <w:sz w:val="20"/>
          <w:szCs w:val="20"/>
          <w:color w:val="auto"/>
        </w:rPr>
      </w:pPr>
    </w:p>
    <w:p>
      <w:pPr>
        <w:jc w:val="both"/>
        <w:ind w:left="1180" w:right="1179" w:firstLine="293"/>
        <w:spacing w:after="0" w:line="254" w:lineRule="auto"/>
        <w:rPr>
          <w:sz w:val="20"/>
          <w:szCs w:val="20"/>
          <w:color w:val="auto"/>
        </w:rPr>
      </w:pPr>
      <w:r>
        <w:rPr>
          <w:rFonts w:ascii="Times New Roman" w:cs="Times New Roman" w:eastAsia="Times New Roman" w:hAnsi="Times New Roman"/>
          <w:sz w:val="15"/>
          <w:szCs w:val="15"/>
          <w:color w:val="auto"/>
        </w:rPr>
        <w:t>To date, we have no product candidates approved for commercial sale in any country and have not generated any revenue from product sales.</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Our Pipeline</w:t>
      </w:r>
    </w:p>
    <w:p>
      <w:pPr>
        <w:spacing w:after="0" w:line="117" w:lineRule="exact"/>
        <w:rPr>
          <w:sz w:val="20"/>
          <w:szCs w:val="20"/>
          <w:color w:val="auto"/>
        </w:rPr>
      </w:pPr>
    </w:p>
    <w:p>
      <w:pPr>
        <w:jc w:val="both"/>
        <w:ind w:left="1180" w:right="1159" w:firstLine="293"/>
        <w:spacing w:after="0" w:line="269" w:lineRule="auto"/>
        <w:rPr>
          <w:sz w:val="20"/>
          <w:szCs w:val="20"/>
          <w:color w:val="auto"/>
        </w:rPr>
      </w:pPr>
      <w:r>
        <w:rPr>
          <w:rFonts w:ascii="Times New Roman" w:cs="Times New Roman" w:eastAsia="Times New Roman" w:hAnsi="Times New Roman"/>
          <w:sz w:val="15"/>
          <w:szCs w:val="15"/>
          <w:color w:val="auto"/>
        </w:rPr>
        <w:t>We are developing obexelimab for the treatment of several I&amp;I diseases summarized in the pipeline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Other Pipeline Programs</w:t>
      </w:r>
    </w:p>
    <w:p>
      <w:pPr>
        <w:spacing w:after="0" w:line="128"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Cytotoxic T-Lymphocyte-Associated Antigen 4- Immunoglobulin (“CTLA-4-Ig fusion”)), and two regional programs, ZB001 (also known as VRDN-001, an anti-insulin-like growth factor-1 receptor (“IGF-1R”) monoclonal antibody) and related programs, and ZB005 (also known as DNTH103, an anti-active complement component 1s (“C1s”) monoclonal antibody), both of which we hold the development and commercialization rights for in China, Hong Kong, Macau and Taiwan (collectively, “greater China”) .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Our Obexelimab Program</w:t>
      </w:r>
    </w:p>
    <w:p>
      <w:pPr>
        <w:spacing w:after="0" w:line="117"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Our lead product candidate, obexelimab, was engineered to mimic the natural antigen-antibody complex for the inhibition of B cells. By targeting CD19, obexelimab is designed to inhibit a broad B cell population, including plasmablasts and the subpopulation of CD19 expressing plasma cells, each of which produces high amounts of auto-antibodies. Co-engagement of CD19 and FcγRIIb by obexelimab has been shown to inhibit B cell activity, including antibody production, proliferation, cytokine secretion, B cell differentiation and antigen presentation to T cells. In addition, obexelimab is designed to inhibit rather than destroy or deplete B cell lineage. Accordingly, we believe that obexelimab’s mechanism of action and chronic dosing regimen may broadly and effectively address the pathogenic role of B cell lineage in chronic autoimmune disease and has the potential to show greater clinical benefits, including over a longer course of maintenance treatment.</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61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91355" cy="666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Mechanism of Action of Obexelimab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The inhibitory mechanism of obexelimab is believed to reduce the number of B cells in systemic circulation through margination of B cells to other tissues such as the lymph nodes and the spleen, rather than through depletion. We believe the rapid return in B cell activity following the cessation or pause in obexelimab dosing could allow the patient’s immune system to more quickly return to baseline to protect against infections and allow a patient to receive vaccinations within as few as six weeks of his or her last dose, rather than potentially waiting six months or longer following treatment with an anti-CD19 or anti-CD20 targeted depleting therapy.</w:t>
      </w:r>
    </w:p>
    <w:p>
      <w:pPr>
        <w:spacing w:after="0" w:line="104"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Obexelimab has been evaluated in five completed clinical trials in which a total of 198 subjects have received obexelimab either as an intravenous (“IV”) infusion at doses of up to 10 mg/kg (n=158) or as a subcutaneous (“SC”) injection at doses up to 375 mg (n=40). Across these five trials obexelimab was well-tolerated and demonstrated clinical activity that we believe provides POC for obexelimab as a B cell inhibitor for the treatment of patients living with certain autoimmune diseases. Our current ongoing and planned future trials of obexelimab utilize a fixed 250 mg, dosed weekly as a self-administered SC injection.</w:t>
      </w:r>
    </w:p>
    <w:p>
      <w:pPr>
        <w:spacing w:after="0" w:line="278"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We believe obexelimab holds the potential to provide meaningful clinical benefit for patients in multiple I&amp;I indications. We are currently pursuing a registration-directed trial in patients with IgG4-RD, planning Phase 2, double-blind, randomized, placebo-controlled, clinical trials of obexelimab in patients with MS and SLE, each of which we plan to initiate in                     , and an ongoing Phase 2/3 trial, currently in the Phase 2 open label portion, in patients with wAIHA.</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Obexelimab for the Treatment of IgG4-RD</w:t>
      </w:r>
    </w:p>
    <w:p>
      <w:pPr>
        <w:spacing w:after="0" w:line="115"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We believe obexelimab’s differentiated mechanism of action as an inhibitor of B cell lineage supports its potential to play an important role in the treatment of IgG4-RD. The reported evidence for the role of B cells in the pathogenesis of IgG4-RD, the observed effects of B cell targeting agents in previous trials in IgG4-RD, and the data from our Phase 2 IgG4-RD trials with obexelimab support the continued development of obexelimab in patients with IgG4-RD.</w:t>
      </w:r>
    </w:p>
    <w:p>
      <w:pPr>
        <w:spacing w:after="0" w:line="101"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color w:val="auto"/>
        </w:rPr>
        <w:t>In August 2023, the results of the Phase 2, open-label, single-arm trial of obexelimab for the treatment of patients with IgG4-RD were published in The Lancet Rheumatology. In the primary efficacy analysis, as shown below, the median decrease in the IgG4-RD responder index (“RI”) score was 11.5 points (interquartile range (“IQR”) 7.5-14.5). The IgG4-RD RI score at day 169 had decreased by two or more points from baseline in 12 (80%) patients, eight (67%) of whom had a score of zero (complete remission). These patients included four (80%) of five patients who had achieved remission on previous therapies. Fourteen (93%) patients achieved an improvement on the RI of two or more points, and further evaluation found that the one patient who failed to achieve that reduction had atypical disease activity in only the larynx. Twelve (80%) patients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549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91355" cy="654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49" w:lineRule="auto"/>
        <w:rPr>
          <w:sz w:val="20"/>
          <w:szCs w:val="20"/>
          <w:color w:val="auto"/>
        </w:rPr>
      </w:pPr>
      <w:r>
        <w:rPr>
          <w:rFonts w:ascii="Times New Roman" w:cs="Times New Roman" w:eastAsia="Times New Roman" w:hAnsi="Times New Roman"/>
          <w:sz w:val="15"/>
          <w:szCs w:val="15"/>
          <w:color w:val="auto"/>
        </w:rPr>
        <w:t>achieved a combined (secondary) endpoint of a decrease on the RI of two or more points at day 169, with no steroid use after day 57, and no disease flares. All primary responders had sustained responses through the end of the trial.</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Rapid and Sustained IgG4-RD RI Responses from Phase 2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180" w:right="1159" w:firstLine="293"/>
        <w:spacing w:after="0" w:line="239" w:lineRule="auto"/>
        <w:rPr>
          <w:sz w:val="20"/>
          <w:szCs w:val="20"/>
          <w:color w:val="auto"/>
        </w:rPr>
      </w:pPr>
      <w:r>
        <w:rPr>
          <w:rFonts w:ascii="Times New Roman" w:cs="Times New Roman" w:eastAsia="Times New Roman" w:hAnsi="Times New Roman"/>
          <w:sz w:val="15"/>
          <w:szCs w:val="15"/>
          <w:color w:val="auto"/>
        </w:rPr>
        <w:t>The one (7%) patient who did not meet clinical response criteria had a RI score of two at baseline and a score of one before withdrawing from the trial after the Day 71 dose due to lack of efficacy (an IgG4-RD RI score reduction of less than two). Two responders also did not complete the trial: one discontinued after experiencing a disease relapse and one discontinued after an infusion-related hypersensitivity reaction during the fifth infusion.</w:t>
      </w:r>
    </w:p>
    <w:p>
      <w:pPr>
        <w:spacing w:after="0" w:line="97"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Furthermore, circulating B cell counts decreased by approximately 60% throughout the treatment period. However, among seven patients with post-treatment follow-up data, four (57%) demonstrated recovery of circulating B cells to at least 75% of baseline within 42 days of the final obexelimab dose. Circulating plasmablasts also decreased quickly, by approximately 70 to 80%, and began returning following cessation of obexelimab. Obexelimab inhibited B cell receptor (“BCR”) linked signaling pathways but did not induce B cell depletion. Both reductions in circulating B cells without evidence of depletion during obexelimab treatment and their rapid rebound after treatment discontinuation suggest that obexelimab might lead to B cell sequestration (margination) in lymphoid organs or the bone marrow.</w:t>
      </w:r>
    </w:p>
    <w:p>
      <w:pPr>
        <w:spacing w:after="0" w:line="99"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We believe these results are promising and support the continued development of obexelimab for the treatment of IgG4-RD and potentially other B cell-mediated I&amp;I conditions. We are enrolling patients in our INDIGO Trial, a global Phase 3 registration-directed, double-blind, placebo -controlled trial to evaluate the safety and efficacy of obexelimab in patients with active IgG4 -RD in a randomized controlled period (“RCP”) followed by an optional open-label extension period. We expect to enroll up to approximately 200 patients in the RCP and all patients from the RCP will be eligible for the open-label extension (“OLE”) period. We expect to conduct the trial at approximately 100 sites in 20 countries. The RCP consists of a screening period (Day -28 to Day -1) and a 52-week treatment period, during which 250 mg of obexelimab or placebo will be administered as an SC injection every seven days. Following the 52-week RCP, eligible patients will have the opportunity to continue in an OLE period where all patients will receive obexelimab.</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Obexelimab for the Treatment of MS</w:t>
      </w:r>
    </w:p>
    <w:p>
      <w:pPr>
        <w:spacing w:after="0" w:line="126"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We believe obexelimab’s differentiated mechanism of action as an inhibitor of B cell lineage supports its potential for the treatment of MS. The role of B cells in the pathogenesis of MS has been demonstrated through the successful clinical development, approval and clinical use of anti-CD20 B cell targeting therapies of other companies, including OCREVUS (ocrelizumab) and KESIMPTA (ofatumumab), which selectively</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724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91355" cy="672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38" w:lineRule="auto"/>
        <w:rPr>
          <w:sz w:val="20"/>
          <w:szCs w:val="20"/>
          <w:color w:val="auto"/>
        </w:rPr>
      </w:pPr>
      <w:r>
        <w:rPr>
          <w:rFonts w:ascii="Times New Roman" w:cs="Times New Roman" w:eastAsia="Times New Roman" w:hAnsi="Times New Roman"/>
          <w:sz w:val="15"/>
          <w:szCs w:val="15"/>
          <w:color w:val="auto"/>
        </w:rPr>
        <w:t>deplete peripheral CD20-expressing B cells. B cells are thought to play a central role in MS pathology and its concomitant neurodegeneration via multiple mechanisms. In addition to antibody secretion by plasmablasts and plasma cells, B cell functions implicated in MS pathogenesis include antigen presentation to T cells and production of pro-inflammation cytokines. We believe this activity observed from B cells may contribute to both MS relapses as well as the underlying disease progression. Given the clinical activity observed with B cell depleting agents, we filed an Investigational New Drug Application (“IND”) in the first half of 2024 and, once cleared, plan to advance obexelimab in a Phase 2, multicenter, randomized, double-blind, placebo-controlled trial, to evaluate the efficacy and safety of obexelimab in patients with relapsing MS (“RMS”) in                      .</w:t>
      </w:r>
    </w:p>
    <w:p>
      <w:pPr>
        <w:spacing w:after="0" w:line="98"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The proposed Phase 2 trial in RMS will be a randomized, placebo-controlled trial in patients with relapsing active forms of MS in order to assess the safety and efficacy of a 250 mg weekly SC dose of obexelimab, utilizing various MRI detection techniques and biomarkers to assess its impact in both the active and chronic aspects of the disease. The primary objective of this trial will be to assess the change from baseline in the cumulative number of gadolinium (“Gd”) enhancing lesions identified on T1-weighted MRI over the course of three months. Upon completion of the three -month period, patients on placebo will receive obexelimab treatment for at least three months, and patients initially randomized to obexelimab will continue on treatment. Important secondary endpoints will likely include changes in various other MRI assessments.</w:t>
      </w:r>
    </w:p>
    <w:p>
      <w:pPr>
        <w:spacing w:after="0" w:line="3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Obexelimab for the Treatment of SLE</w:t>
      </w:r>
    </w:p>
    <w:p>
      <w:pPr>
        <w:spacing w:after="0" w:line="126"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The crucial role of B cells in SLE pathogenesis is well recognized, from producing autoantibodies to abnormal regulation of immune responses. Moreover, SLE is an autoimmune disease characterized by B cell dysfunction, the production of autoantibodies toward cellular and nuclear components, and multiorgan damage caused by immune complex deposition and inflammation within affected tissues. Current treatments are limited in number and are modestly effective with improvement over placebo in clinical trials of nine to seventeen percentage points. Obexelimab has demonstrated clinical activity as a B cell-directed agent due to its inhibitory effect on B cell lineage via its binding to CD19 and FcγRIIb. We believe a prior Phase 2 double-blind, randomized trial demonstrated POC in the overall trial population and increased response in patients who maintain higher systemic exposure to obexelimab in biomarker-defined subpopulations, and coupled with the safety data obtained to date, provide support for further clinical trials and the use of a SC obexelimab formulation in patients with SLE.</w:t>
      </w:r>
    </w:p>
    <w:p>
      <w:pPr>
        <w:spacing w:after="0" w:line="101"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In the completed Phase 2 double-blind, randomized trial of obexelimab in SLE, the primary endpoint (the proportion of patients without loss of improvement in SLE disease activity) in the Efficacy Evaluable (“EE”) population did not achieve statistical significance. However, analysis of the intent -to-treat (“ITT”) population revealed a larger absolute treatment difference of 17.3% (40.4% versus 23.1%) in the obexelimab-treated group versus the placebo-treated group. Based on that observed clinical activity, strong signals of activity in patients who had higher blood levels of obexelimab and biomarker-defined subpopulations and safety data to date, we plan to advance obexelimab in a Phase 2, multicenter, randomized, double-blind, placebo-controlled trial, to evaluate the efficacy and safety of obexelimab when used to reduce disease activity in patients with SLE. We expect to initiate the trial in                      , enroll approximately 190 patients and to conduct the trial at multiple sites worldwide. Patients will be randomized 1:1 to obexelimab 250 mg or placebo SC injection every seven days over 24 weeks. The primary endpoint will be the percentage of responders, defined by BICLA-based Composite Lupus Assessment, with a reduction of SLE disease activity at week 24.</w:t>
      </w:r>
    </w:p>
    <w:p>
      <w:pPr>
        <w:spacing w:after="0" w:line="29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Obexelimab for the Treatment of wAIHA</w:t>
      </w:r>
    </w:p>
    <w:p>
      <w:pPr>
        <w:spacing w:after="0" w:line="126" w:lineRule="exact"/>
        <w:rPr>
          <w:sz w:val="20"/>
          <w:szCs w:val="20"/>
          <w:color w:val="auto"/>
        </w:rPr>
      </w:pPr>
    </w:p>
    <w:p>
      <w:pPr>
        <w:jc w:val="both"/>
        <w:ind w:left="1180" w:right="1159" w:firstLine="293"/>
        <w:spacing w:after="0" w:line="242" w:lineRule="auto"/>
        <w:rPr>
          <w:sz w:val="20"/>
          <w:szCs w:val="20"/>
          <w:color w:val="auto"/>
        </w:rPr>
      </w:pPr>
      <w:r>
        <w:rPr>
          <w:rFonts w:ascii="Times New Roman" w:cs="Times New Roman" w:eastAsia="Times New Roman" w:hAnsi="Times New Roman"/>
          <w:sz w:val="15"/>
          <w:szCs w:val="15"/>
          <w:color w:val="auto"/>
        </w:rPr>
        <w:t>Immunoglobulin G (“IgG”) autoantibodies are the key pathogenic factors involved in most forms of wAIHA. Accordingly, we believe that obexelimab’s ability to inhibit or down-regulate B cell activity and its clinical activity and tolerability profile observed in previous clinical studies provide a strong rationale for its development in wAIHA.</w:t>
      </w:r>
    </w:p>
    <w:p>
      <w:pPr>
        <w:spacing w:after="0" w:line="95"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In late 2023, we initiated our SApHiAre Trial, a global Phase 2/3, multicenter, randomized, double-blind, placebo-controlled trial, with an open-label safety and dose confirmation run-in period (“SRP”) to evaluate the efficacy and safety of obexelimab in patients with wAIHA. If the results of the SRP are favorable, we may meet with the FDA to finalize the design, including the proposed endpoints, of the RCP. After evaluating the results from the SRP and meeting with the FDA, if we continue with the Phase 3 RCP of this trial, we expect</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556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91355" cy="655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57" w:lineRule="auto"/>
        <w:rPr>
          <w:sz w:val="20"/>
          <w:szCs w:val="20"/>
          <w:color w:val="auto"/>
        </w:rPr>
      </w:pPr>
      <w:r>
        <w:rPr>
          <w:rFonts w:ascii="Times New Roman" w:cs="Times New Roman" w:eastAsia="Times New Roman" w:hAnsi="Times New Roman"/>
          <w:sz w:val="15"/>
          <w:szCs w:val="15"/>
          <w:color w:val="auto"/>
        </w:rPr>
        <w:t>that a total of approximately 134 patients will be enrolled in the trial, which includes 20 patients in the SRP, at approximately 90 sites in 18 countries. If the results of the RCP portion of the SApHiAre Trial are favorable, we intend to seek regulatory approval for the treatment of wAIHA.</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Our Team and Investors</w:t>
      </w:r>
    </w:p>
    <w:p>
      <w:pPr>
        <w:spacing w:after="0" w:line="126" w:lineRule="exact"/>
        <w:rPr>
          <w:sz w:val="20"/>
          <w:szCs w:val="20"/>
          <w:color w:val="auto"/>
        </w:rPr>
      </w:pPr>
    </w:p>
    <w:p>
      <w:pPr>
        <w:jc w:val="both"/>
        <w:ind w:left="1180" w:right="1159" w:firstLine="293"/>
        <w:spacing w:after="0" w:line="246" w:lineRule="auto"/>
        <w:rPr>
          <w:sz w:val="20"/>
          <w:szCs w:val="20"/>
          <w:color w:val="auto"/>
        </w:rPr>
      </w:pPr>
      <w:r>
        <w:rPr>
          <w:rFonts w:ascii="Times New Roman" w:cs="Times New Roman" w:eastAsia="Times New Roman" w:hAnsi="Times New Roman"/>
          <w:sz w:val="15"/>
          <w:szCs w:val="15"/>
          <w:color w:val="auto"/>
        </w:rPr>
        <w:t>Our executive management team is comprised of seasoned executives and scientists with extensive experience in the biopharmaceutical industry leading drug development and commercialization and executing successful business development strategies. Our company is led by Leon (Lonnie) O. Moulder, Jr., our Founder, Chief Executive Officer and Chairman, and the Managing Member of Tellus BioVentures, LLC, an early-stage life sciences investment fund. Prior to founding Zenas, Mr. Moulder co-founded TESARO, an oncology-focused biopharmaceutical company, serving as Chief Executive Officer and Director until its acquisition by GlaxoSmithKline. He previously served as President and Chief Executive Officer of Abraxis BioScience and as Vice Chairman of Eisai Corporation of North America following Eisai’s acquisition of MGI PHARMA, where he served as President and Chief Executive Officer. Mr. Moulder is joined by our team of veteran biopharmaceutical executives including Joseph Farmer, Jennifer Fox and Tanya Z. Fischer, M.D., Ph.D. who together with the rest of the leadership team, bring exceptional track records and experiences across the biopharmaceutical industry at companies such as TESARO, GlaxoSmithKline, Biohaven, Alnylam, Sanofi and Cubist. Our leadership team has collectively been responsible for INDs and New Drug Applications/​Biologics License Applications (“BLAs”) and the associated commercial product launches of multiple successful pharmaceutical products.</w:t>
      </w:r>
    </w:p>
    <w:p>
      <w:pPr>
        <w:spacing w:after="0" w:line="106" w:lineRule="exact"/>
        <w:rPr>
          <w:sz w:val="20"/>
          <w:szCs w:val="20"/>
          <w:color w:val="auto"/>
        </w:rPr>
      </w:pPr>
    </w:p>
    <w:p>
      <w:pPr>
        <w:jc w:val="both"/>
        <w:ind w:left="1180" w:right="1179" w:firstLine="293"/>
        <w:spacing w:after="0" w:line="252" w:lineRule="auto"/>
        <w:rPr>
          <w:sz w:val="20"/>
          <w:szCs w:val="20"/>
          <w:color w:val="auto"/>
        </w:rPr>
      </w:pPr>
      <w:r>
        <w:rPr>
          <w:rFonts w:ascii="Times New Roman" w:cs="Times New Roman" w:eastAsia="Times New Roman" w:hAnsi="Times New Roman"/>
          <w:sz w:val="15"/>
          <w:szCs w:val="15"/>
          <w:color w:val="auto"/>
        </w:rPr>
        <w:t>Since our inception, we have raised $358.2 million from investors, including . Potential investors should not consider investments made by our existing investors as a factor when making a decision to purchase shares in this offering since our existing investors may have had different risk tolerances and paid less per share than the price at which the shares are being offered in this offering.</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15"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Our vision is to become a global leader in delivering transformative I&amp;I therapeutics to patients in need by leveraging the experience and capabilities of our executive management team and our established networks throughout the biopharmaceutical industry to identify, acquire, develop and, if approved, commercialize product candidates that we believe can offer enhanced efficacy, safety and/or convenience over existing therapies and thereby provide superior clinical benefits to patients. We intend to achieve our goals by implementing the following strategies:</w:t>
      </w:r>
    </w:p>
    <w:p>
      <w:pPr>
        <w:spacing w:after="0" w:line="80" w:lineRule="exact"/>
        <w:rPr>
          <w:sz w:val="20"/>
          <w:szCs w:val="20"/>
          <w:color w:val="auto"/>
        </w:rPr>
      </w:pPr>
    </w:p>
    <w:p>
      <w:pPr>
        <w:ind w:left="1620" w:hanging="148"/>
        <w:spacing w:after="0"/>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 and commercialize our obexelimab franchise across multiple I&amp;I indications.</w:t>
      </w:r>
    </w:p>
    <w:p>
      <w:pPr>
        <w:spacing w:after="0" w:line="113"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Build our operational capabilities to develop and potentially commercialize our products in key regions.</w:t>
      </w:r>
    </w:p>
    <w:p>
      <w:pPr>
        <w:spacing w:after="0" w:line="63"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the clinical development and ultimately, if approved, commercialization of, our pipeline programs, ZB002, ZB004, ZB001 and ZB005, with partners.</w:t>
      </w:r>
    </w:p>
    <w:p>
      <w:pPr>
        <w:spacing w:after="0" w:line="63"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Utilize our business development experience and expertise to continue to build a deep and balanced portfolio of products and product candidates.</w:t>
      </w:r>
    </w:p>
    <w:p>
      <w:pPr>
        <w:spacing w:after="0" w:line="63"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Leverage success in initial indications to expand into broader I&amp;I opportunities.</w:t>
      </w:r>
    </w:p>
    <w:p>
      <w:pPr>
        <w:spacing w:after="0" w:line="113"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other strategic collaborations as appropriate.</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Risk Factors Summary</w:t>
      </w:r>
    </w:p>
    <w:p>
      <w:pPr>
        <w:spacing w:after="0" w:line="115" w:lineRule="exact"/>
        <w:rPr>
          <w:sz w:val="20"/>
          <w:szCs w:val="20"/>
          <w:color w:val="auto"/>
        </w:rPr>
      </w:pPr>
    </w:p>
    <w:p>
      <w:pPr>
        <w:jc w:val="both"/>
        <w:ind w:left="1180" w:right="1159" w:firstLine="293"/>
        <w:spacing w:after="0" w:line="257" w:lineRule="auto"/>
        <w:rPr>
          <w:sz w:val="20"/>
          <w:szCs w:val="20"/>
          <w:color w:val="auto"/>
        </w:rPr>
      </w:pPr>
      <w:r>
        <w:rPr>
          <w:rFonts w:ascii="Times New Roman" w:cs="Times New Roman" w:eastAsia="Times New Roman" w:hAnsi="Times New Roman"/>
          <w:sz w:val="15"/>
          <w:szCs w:val="15"/>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72" w:lineRule="exact"/>
        <w:rPr>
          <w:sz w:val="20"/>
          <w:szCs w:val="20"/>
          <w:color w:val="auto"/>
        </w:rPr>
      </w:pPr>
    </w:p>
    <w:p>
      <w:pPr>
        <w:jc w:val="both"/>
        <w:ind w:left="1620" w:right="1179" w:hanging="148"/>
        <w:spacing w:after="0" w:line="257"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 clinical-stage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535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91355" cy="653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20" w:right="1179" w:hanging="148"/>
        <w:spacing w:after="0" w:line="257"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this offering is successful, we will require substantial additional financing to achieve our goals, and failure to obtain additional capital when needed, or on acceptable terms, would cause us to delay, limit, reduce or terminate our product development efforts;</w:t>
      </w:r>
    </w:p>
    <w:p>
      <w:pPr>
        <w:spacing w:after="0" w:line="61"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Raising additional capital may cause dilution to our stockholders, including purchasers of common stock in this offering, imposing restrictions on our operations or require us to relinquish rights to our product candidates;</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68"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or difficulties in the enrollment and dosing of patients in clinical trials delay or prevent receipt of necessary regulatory approvals;</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2"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66"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realize the benefits of our current or future collaborations or licensing arrangements and may be unsuccessful in consummating future partnerships;</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we complete the necessary clinical trials, we cannot predict when, or if, we will obtain regulatory approval to commercialize any product candidate in the United States or any other jurisdiction, and any such approval may be for a more narrow indication than we seek;</w:t>
      </w:r>
    </w:p>
    <w:p>
      <w:pPr>
        <w:spacing w:after="0" w:line="61"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61"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need to grow our organization, and we may experience difficulties in managing our growth and expanding our operations, which could adversely affect our business;</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2"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66"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68"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68"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rights to develop and commercialize our product candidates are subject, in large part, to the terms and conditions of licenses granted to us by others, such as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9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91355" cy="649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20" w:right="1159" w:hanging="148"/>
        <w:spacing w:after="0" w:line="250"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operations of our suppliers, many of which are located outside of the United States, including our current sole contract manufacturing organization (‘‘CMO’’) for drug substance and drug product, WuXi Biologics (Hong Kong) Limited (“WuXi Biologics”), which is located in China, are subject to additional risks that are beyond our control and that could harm our business, financial condition, results of operations and prospects.</w:t>
      </w:r>
    </w:p>
    <w:p>
      <w:pPr>
        <w:spacing w:after="0" w:line="79"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active and liquid trading market for our common stock may not develop, and you may not be able to resell your shares of common stock at or above the public offering price, if at all; and</w:t>
      </w:r>
    </w:p>
    <w:p>
      <w:pPr>
        <w:spacing w:after="0" w:line="52"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 price of our common stock may be volatile, which could result in substantial losses for investors purchasing shares in this offering.</w:t>
      </w:r>
    </w:p>
    <w:p>
      <w:pPr>
        <w:spacing w:after="0" w:line="75" w:lineRule="exact"/>
        <w:rPr>
          <w:sz w:val="20"/>
          <w:szCs w:val="20"/>
          <w:color w:val="auto"/>
        </w:rPr>
      </w:pPr>
    </w:p>
    <w:p>
      <w:pPr>
        <w:jc w:val="both"/>
        <w:ind w:left="1180" w:right="1179" w:firstLine="293"/>
        <w:spacing w:after="0" w:line="269" w:lineRule="auto"/>
        <w:rPr>
          <w:sz w:val="20"/>
          <w:szCs w:val="20"/>
          <w:color w:val="auto"/>
        </w:rPr>
      </w:pPr>
      <w:r>
        <w:rPr>
          <w:rFonts w:ascii="Times New Roman" w:cs="Times New Roman" w:eastAsia="Times New Roman" w:hAnsi="Times New Roman"/>
          <w:sz w:val="15"/>
          <w:szCs w:val="15"/>
          <w:color w:val="auto"/>
        </w:rPr>
        <w:t>If we are unable to adequately address these and other risks we face, our business, results of operations, financial condition and prospects may be harmed.</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Corporate and Other Information</w:t>
      </w:r>
    </w:p>
    <w:p>
      <w:pPr>
        <w:spacing w:after="0" w:line="126"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Zenas BioPharma, Inc. was originally incorporated on November 12, 2019, as Zenas BioPharma (Cayman) Limited as an exempted company organized under the laws of the Cayman Islands. On August 2, 2023, the Company was domesticated as a Delaware corporation and, concurrent therewith, we changed our name from Zenas BioPharma (Cayman) Limited to Zenas BioPharma, Inc. Our principal executive offices are located at 1000 Winter Street, Suite 1200, Waltham, MA 02451, and our telephone number is (857) 271-2954. Our corporate website address is https://www.zenasbio.com. Information contained on or accessible through our website is not a part of this prospectus, and the inclusion of our website address in this prospectus is an inactive textual reference only.</w:t>
      </w:r>
    </w:p>
    <w:p>
      <w:pPr>
        <w:spacing w:after="0" w:line="101"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 xml:space="preserve">This prospectus contains references to our trademarks and trademarks belonging to other entities. “Zenas BioPharma” is registered as a trademark in the United States and other countries. Solely for convenience, trademarks and trade names referred to in this prospectus, including logos, artwork and other visual displays,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5"/>
          <w:szCs w:val="15"/>
          <w:color w:val="auto"/>
        </w:rPr>
        <w:t xml:space="preserve">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6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 and a Smaller Reporting Company</w:t>
      </w:r>
    </w:p>
    <w:p>
      <w:pPr>
        <w:spacing w:after="0" w:line="115"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We qualify as an “emerging growth company” as defined in the Jumpstart Our Business Startups Act of 2012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02"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color w:val="auto"/>
        </w:rPr>
        <w:t>We may take advantage of these exemptions until the last day of the fiscal year following the fifth anniversary of this offering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05" w:lineRule="exact"/>
        <w:rPr>
          <w:sz w:val="20"/>
          <w:szCs w:val="20"/>
          <w:color w:val="auto"/>
        </w:rPr>
      </w:pPr>
    </w:p>
    <w:p>
      <w:pPr>
        <w:jc w:val="both"/>
        <w:ind w:left="1180" w:right="1159" w:firstLine="293"/>
        <w:spacing w:after="0" w:line="252" w:lineRule="auto"/>
        <w:rPr>
          <w:sz w:val="20"/>
          <w:szCs w:val="20"/>
          <w:color w:val="auto"/>
        </w:rPr>
      </w:pPr>
      <w:r>
        <w:rPr>
          <w:rFonts w:ascii="Times New Roman" w:cs="Times New Roman" w:eastAsia="Times New Roman" w:hAnsi="Times New Roman"/>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In particular, in this prospectus, we have provided only two years of audited financial statements and have not included all of the executive compensation related information that would</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57" w:lineRule="auto"/>
        <w:rPr>
          <w:sz w:val="20"/>
          <w:szCs w:val="20"/>
          <w:color w:val="auto"/>
        </w:rPr>
      </w:pPr>
      <w:r>
        <w:rPr>
          <w:rFonts w:ascii="Times New Roman" w:cs="Times New Roman" w:eastAsia="Times New Roman" w:hAnsi="Times New Roman"/>
          <w:sz w:val="15"/>
          <w:szCs w:val="15"/>
          <w:color w:val="auto"/>
        </w:rPr>
        <w:t>be required if we were not an emerging growth company. As a result, the information that we provide to our stockholders may be different than you might receive from other public reporting companies in which you hold equity interests.</w:t>
      </w:r>
    </w:p>
    <w:p>
      <w:pPr>
        <w:spacing w:after="0" w:line="94"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spacing w:after="0" w:line="102" w:lineRule="exact"/>
        <w:rPr>
          <w:sz w:val="20"/>
          <w:szCs w:val="20"/>
          <w:color w:val="auto"/>
        </w:rPr>
      </w:pPr>
    </w:p>
    <w:p>
      <w:pPr>
        <w:jc w:val="both"/>
        <w:ind w:left="1180" w:right="1159" w:firstLine="293"/>
        <w:spacing w:after="0" w:line="246" w:lineRule="auto"/>
        <w:rPr>
          <w:sz w:val="20"/>
          <w:szCs w:val="20"/>
          <w:color w:val="auto"/>
        </w:rPr>
      </w:pPr>
      <w:r>
        <w:rPr>
          <w:rFonts w:ascii="Times New Roman" w:cs="Times New Roman" w:eastAsia="Times New Roman" w:hAnsi="Times New Roman"/>
          <w:sz w:val="15"/>
          <w:szCs w:val="15"/>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268605</wp:posOffset>
            </wp:positionV>
            <wp:extent cx="4491355" cy="6703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91355" cy="670306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Common stock offered by us</w:t>
      </w:r>
    </w:p>
    <w:p>
      <w:pPr>
        <w:spacing w:after="0" w:line="9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Underwriters’ over-allotment</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option of common stock</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offered by us</w:t>
      </w:r>
    </w:p>
    <w:p>
      <w:pPr>
        <w:spacing w:after="0" w:line="76" w:lineRule="exact"/>
        <w:rPr>
          <w:sz w:val="20"/>
          <w:szCs w:val="20"/>
          <w:color w:val="auto"/>
        </w:rPr>
      </w:pPr>
    </w:p>
    <w:p>
      <w:pPr>
        <w:jc w:val="right"/>
        <w:ind w:left="1180"/>
        <w:spacing w:after="0" w:line="269" w:lineRule="auto"/>
        <w:rPr>
          <w:sz w:val="20"/>
          <w:szCs w:val="20"/>
          <w:color w:val="auto"/>
        </w:rPr>
      </w:pPr>
      <w:r>
        <w:rPr>
          <w:rFonts w:ascii="Times New Roman" w:cs="Times New Roman" w:eastAsia="Times New Roman" w:hAnsi="Times New Roman"/>
          <w:sz w:val="15"/>
          <w:szCs w:val="15"/>
          <w:color w:val="auto"/>
        </w:rPr>
        <w:t>Common stock to be outstanding immediately after this offering</w:t>
      </w:r>
    </w:p>
    <w:p>
      <w:pPr>
        <w:spacing w:after="0" w:line="2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Proposed Nasdaq trading</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color w:val="auto"/>
        </w:rPr>
        <w:t>THE OFFERING</w:t>
      </w:r>
    </w:p>
    <w:p>
      <w:pPr>
        <w:spacing w:after="0" w:line="93" w:lineRule="exact"/>
        <w:rPr>
          <w:sz w:val="20"/>
          <w:szCs w:val="20"/>
          <w:color w:val="auto"/>
        </w:rPr>
      </w:pPr>
    </w:p>
    <w:p>
      <w:pPr>
        <w:ind w:left="80" w:hanging="80"/>
        <w:spacing w:after="0"/>
        <w:tabs>
          <w:tab w:leader="none" w:pos="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shares.</w:t>
      </w:r>
    </w:p>
    <w:p>
      <w:pPr>
        <w:spacing w:after="0" w:line="200" w:lineRule="exact"/>
        <w:rPr>
          <w:rFonts w:ascii="Times New Roman" w:cs="Times New Roman" w:eastAsia="Times New Roman" w:hAnsi="Times New Roman"/>
          <w:sz w:val="15"/>
          <w:szCs w:val="15"/>
          <w:color w:val="auto"/>
        </w:rPr>
      </w:pPr>
    </w:p>
    <w:p>
      <w:pPr>
        <w:spacing w:after="0" w:line="242" w:lineRule="exact"/>
        <w:rPr>
          <w:rFonts w:ascii="Times New Roman" w:cs="Times New Roman" w:eastAsia="Times New Roman" w:hAnsi="Times New Roman"/>
          <w:sz w:val="15"/>
          <w:szCs w:val="15"/>
          <w:color w:val="auto"/>
        </w:rPr>
      </w:pPr>
    </w:p>
    <w:p>
      <w:pPr>
        <w:ind w:left="80" w:hanging="80"/>
        <w:spacing w:after="0"/>
        <w:tabs>
          <w:tab w:leader="none" w:pos="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shares.</w:t>
      </w:r>
    </w:p>
    <w:p>
      <w:pPr>
        <w:spacing w:after="0" w:line="267" w:lineRule="exact"/>
        <w:rPr>
          <w:sz w:val="20"/>
          <w:szCs w:val="20"/>
          <w:color w:val="auto"/>
        </w:rPr>
      </w:pPr>
    </w:p>
    <w:p>
      <w:pPr>
        <w:jc w:val="both"/>
        <w:ind w:right="1159"/>
        <w:spacing w:after="0" w:line="269" w:lineRule="auto"/>
        <w:rPr>
          <w:sz w:val="20"/>
          <w:szCs w:val="20"/>
          <w:color w:val="auto"/>
        </w:rPr>
      </w:pPr>
      <w:r>
        <w:rPr>
          <w:rFonts w:ascii="Times New Roman" w:cs="Times New Roman" w:eastAsia="Times New Roman" w:hAnsi="Times New Roman"/>
          <w:sz w:val="15"/>
          <w:szCs w:val="15"/>
          <w:color w:val="auto"/>
        </w:rPr>
        <w:t>                    shares (or                    shares if the underwriters exercise their over-allotment option in full).</w:t>
      </w:r>
    </w:p>
    <w:p>
      <w:pPr>
        <w:spacing w:after="0" w:line="53" w:lineRule="exact"/>
        <w:rPr>
          <w:sz w:val="20"/>
          <w:szCs w:val="20"/>
          <w:color w:val="auto"/>
        </w:rPr>
      </w:pPr>
    </w:p>
    <w:p>
      <w:pPr>
        <w:jc w:val="both"/>
        <w:ind w:right="1159"/>
        <w:spacing w:after="0" w:line="248" w:lineRule="auto"/>
        <w:rPr>
          <w:sz w:val="20"/>
          <w:szCs w:val="20"/>
          <w:color w:val="auto"/>
        </w:rPr>
      </w:pPr>
      <w:r>
        <w:rPr>
          <w:rFonts w:ascii="Times New Roman" w:cs="Times New Roman" w:eastAsia="Times New Roman" w:hAnsi="Times New Roman"/>
          <w:sz w:val="15"/>
          <w:szCs w:val="15"/>
          <w:color w:val="auto"/>
        </w:rPr>
        <w:t>We estimate that our net proceeds from this offering will be approximately $            million (or approximately $            million if the underwriters exercise their over-allotment option in full), based on an assumed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279" w:lineRule="exact"/>
        <w:rPr>
          <w:sz w:val="20"/>
          <w:szCs w:val="20"/>
          <w:color w:val="auto"/>
        </w:rPr>
      </w:pPr>
    </w:p>
    <w:p>
      <w:pPr>
        <w:jc w:val="both"/>
        <w:ind w:right="1159"/>
        <w:spacing w:after="0" w:line="238"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together with our existing cash, as follows: (i) approximately $            million to advance the clinical development of obexelimab, including to advance the Phase 3 trial for patients with IgG4-RD, the Phase 2 trial for patients with MS, the Phase 2 trial for patients with SLE, and the Phase 2/3 trial for patients with wAIHA and</w:t>
      </w:r>
    </w:p>
    <w:p>
      <w:pPr>
        <w:ind w:right="1159"/>
        <w:spacing w:after="0" w:line="236" w:lineRule="auto"/>
        <w:tabs>
          <w:tab w:leader="none" w:pos="25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remainder for working capital and other general corporate purposes. See the section titled “Use of Proceeds.”</w:t>
      </w:r>
    </w:p>
    <w:p>
      <w:pPr>
        <w:spacing w:after="0" w:line="73" w:lineRule="exact"/>
        <w:rPr>
          <w:sz w:val="20"/>
          <w:szCs w:val="20"/>
          <w:color w:val="auto"/>
        </w:rPr>
      </w:pPr>
    </w:p>
    <w:p>
      <w:pPr>
        <w:jc w:val="both"/>
        <w:ind w:right="1159"/>
        <w:spacing w:after="0" w:line="252" w:lineRule="auto"/>
        <w:rPr>
          <w:sz w:val="20"/>
          <w:szCs w:val="20"/>
          <w:color w:val="auto"/>
        </w:rPr>
      </w:pPr>
      <w:r>
        <w:rPr>
          <w:rFonts w:ascii="Times New Roman" w:cs="Times New Roman" w:eastAsia="Times New Roman" w:hAnsi="Times New Roman"/>
          <w:sz w:val="15"/>
          <w:szCs w:val="15"/>
          <w:color w:val="auto"/>
        </w:rPr>
        <w:t>You should carefully read the “Risk Factors” section of this prospectus and the other information included in this prospectus for a discussion of factors that you should consider before deciding to invest in our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“ZBIO”</w:t>
      </w:r>
    </w:p>
    <w:p>
      <w:pPr>
        <w:spacing w:after="0" w:line="112" w:lineRule="exact"/>
        <w:rPr>
          <w:sz w:val="20"/>
          <w:szCs w:val="20"/>
          <w:color w:val="auto"/>
        </w:rPr>
      </w:pPr>
    </w:p>
    <w:p>
      <w:pPr>
        <w:sectPr>
          <w:pgSz w:w="11900" w:h="16838" w:orient="portrait"/>
          <w:cols w:equalWidth="0" w:num="2">
            <w:col w:w="3200" w:space="440"/>
            <w:col w:w="5379"/>
          </w:cols>
          <w:pgMar w:left="1440" w:top="106" w:right="1440"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5"/>
          <w:szCs w:val="15"/>
          <w:color w:val="auto"/>
        </w:rPr>
        <w:t>The number of shares of our common stock to be outstanding immediately following the completion of</w:t>
      </w:r>
    </w:p>
    <w:p>
      <w:pPr>
        <w:spacing w:after="0" w:line="18" w:lineRule="exact"/>
        <w:rPr>
          <w:sz w:val="20"/>
          <w:szCs w:val="20"/>
          <w:color w:val="auto"/>
        </w:rPr>
      </w:pPr>
    </w:p>
    <w:p>
      <w:pPr>
        <w:jc w:val="both"/>
        <w:ind w:left="1180" w:right="1159"/>
        <w:spacing w:after="0" w:line="244" w:lineRule="auto"/>
        <w:rPr>
          <w:sz w:val="20"/>
          <w:szCs w:val="20"/>
          <w:color w:val="auto"/>
        </w:rPr>
      </w:pPr>
      <w:r>
        <w:rPr>
          <w:rFonts w:ascii="Times New Roman" w:cs="Times New Roman" w:eastAsia="Times New Roman" w:hAnsi="Times New Roman"/>
          <w:sz w:val="15"/>
          <w:szCs w:val="15"/>
          <w:color w:val="auto"/>
        </w:rPr>
        <w:t>this offering is based on shares outstanding as of March 31, 2024 (including 32,711 shares of unvested restricted common stock), after giving effect to (i) the automatic conversion of all outstanding</w:t>
      </w:r>
    </w:p>
    <w:p>
      <w:pPr>
        <w:spacing w:after="0" w:line="1" w:lineRule="exact"/>
        <w:rPr>
          <w:sz w:val="20"/>
          <w:szCs w:val="20"/>
          <w:color w:val="auto"/>
        </w:rPr>
      </w:pPr>
    </w:p>
    <w:p>
      <w:pPr>
        <w:jc w:val="both"/>
        <w:ind w:left="1180" w:right="1159"/>
        <w:spacing w:after="0" w:line="244" w:lineRule="auto"/>
        <w:rPr>
          <w:sz w:val="20"/>
          <w:szCs w:val="20"/>
          <w:color w:val="auto"/>
        </w:rPr>
      </w:pPr>
      <w:r>
        <w:rPr>
          <w:rFonts w:ascii="Times New Roman" w:cs="Times New Roman" w:eastAsia="Times New Roman" w:hAnsi="Times New Roman"/>
          <w:sz w:val="15"/>
          <w:szCs w:val="15"/>
          <w:color w:val="auto"/>
        </w:rPr>
        <w:t xml:space="preserve">shares of our convertible preferred stock as of March 31, 2024 into an aggregate of shares of our common stock and (ii) the automatic conversion of 116,275,239 shares of Series C convertible preferred stock (“Series C Preferred Stock”) issued after March 31, 2024, including 12,284,686 shares of Series C Preferred Stock issued upon the conversion of all outstanding convertible notes, into an aggregate of            </w:t>
      </w:r>
    </w:p>
    <w:p>
      <w:pPr>
        <w:spacing w:after="0" w:line="2" w:lineRule="exact"/>
        <w:rPr>
          <w:sz w:val="20"/>
          <w:szCs w:val="20"/>
          <w:color w:val="auto"/>
        </w:rPr>
      </w:pPr>
    </w:p>
    <w:p>
      <w:pPr>
        <w:jc w:val="both"/>
        <w:ind w:left="1180" w:right="1159"/>
        <w:spacing w:after="0" w:line="246" w:lineRule="auto"/>
        <w:rPr>
          <w:sz w:val="20"/>
          <w:szCs w:val="20"/>
          <w:color w:val="auto"/>
        </w:rPr>
      </w:pPr>
      <w:r>
        <w:rPr>
          <w:rFonts w:ascii="Times New Roman" w:cs="Times New Roman" w:eastAsia="Times New Roman" w:hAnsi="Times New Roman"/>
          <w:sz w:val="15"/>
          <w:szCs w:val="15"/>
          <w:color w:val="auto"/>
        </w:rPr>
        <w:t>shares of our common stock, in each case, based on an assumed initial public offering price of $            per share, which is the midpoint of the price range set forth on the cover page of this prospectus, immediately prior to the completion of this offering, and excludes:</w:t>
      </w:r>
    </w:p>
    <w:p>
      <w:pPr>
        <w:spacing w:after="0" w:line="70" w:lineRule="exact"/>
        <w:rPr>
          <w:sz w:val="20"/>
          <w:szCs w:val="20"/>
          <w:color w:val="auto"/>
        </w:rPr>
      </w:pPr>
    </w:p>
    <w:p>
      <w:pPr>
        <w:ind w:left="1620" w:right="1159" w:hanging="148"/>
        <w:spacing w:after="0" w:line="269"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20,867,081 shares of common stock issuable upon the exercise of stock options outstanding as of March 31, 2024, with a weighted-average exercise price of $0.99 per share;</w:t>
      </w:r>
    </w:p>
    <w:p>
      <w:pPr>
        <w:spacing w:after="0" w:line="52"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474,739 shares of common stock reserved for issuance as of March 31, 2024 under our 2020 Equity Incentive Plan (the “2020 Plan”);</w:t>
      </w:r>
    </w:p>
    <w:p>
      <w:pPr>
        <w:spacing w:after="0" w:line="52" w:lineRule="exact"/>
        <w:rPr>
          <w:rFonts w:ascii="Times New Roman" w:cs="Times New Roman" w:eastAsia="Times New Roman" w:hAnsi="Times New Roman"/>
          <w:sz w:val="15"/>
          <w:szCs w:val="15"/>
          <w:color w:val="auto"/>
        </w:rPr>
      </w:pPr>
    </w:p>
    <w:p>
      <w:pPr>
        <w:ind w:left="2280" w:hanging="808"/>
        <w:spacing w:after="0"/>
        <w:tabs>
          <w:tab w:leader="none" w:pos="22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issuable upon the exercise of stock options granted subsequent to</w:t>
      </w:r>
    </w:p>
    <w:p>
      <w:pPr>
        <w:spacing w:after="0" w:line="18" w:lineRule="exact"/>
        <w:rPr>
          <w:sz w:val="20"/>
          <w:szCs w:val="20"/>
          <w:color w:val="auto"/>
        </w:rPr>
      </w:pPr>
    </w:p>
    <w:p>
      <w:pPr>
        <w:ind w:left="1620"/>
        <w:spacing w:after="0"/>
        <w:tabs>
          <w:tab w:leader="none" w:pos="7000" w:val="left"/>
        </w:tabs>
        <w:rPr>
          <w:sz w:val="20"/>
          <w:szCs w:val="20"/>
          <w:color w:val="auto"/>
        </w:rPr>
      </w:pPr>
      <w:r>
        <w:rPr>
          <w:rFonts w:ascii="Times New Roman" w:cs="Times New Roman" w:eastAsia="Times New Roman" w:hAnsi="Times New Roman"/>
          <w:sz w:val="15"/>
          <w:szCs w:val="15"/>
          <w:color w:val="auto"/>
        </w:rPr>
        <w:t>March 31, 2024 under the 2020 Plan, with a weighted-average exercise price of $</w:t>
      </w:r>
      <w:r>
        <w:rPr>
          <w:sz w:val="20"/>
          <w:szCs w:val="20"/>
          <w:color w:val="auto"/>
        </w:rPr>
        <w:tab/>
      </w:r>
      <w:r>
        <w:rPr>
          <w:rFonts w:ascii="Times New Roman" w:cs="Times New Roman" w:eastAsia="Times New Roman" w:hAnsi="Times New Roman"/>
          <w:sz w:val="15"/>
          <w:szCs w:val="15"/>
          <w:color w:val="auto"/>
        </w:rPr>
        <w:t>per share;</w:t>
      </w:r>
    </w:p>
    <w:p>
      <w:pPr>
        <w:spacing w:after="0" w:line="76" w:lineRule="exact"/>
        <w:rPr>
          <w:sz w:val="20"/>
          <w:szCs w:val="20"/>
          <w:color w:val="auto"/>
        </w:rPr>
      </w:pPr>
    </w:p>
    <w:p>
      <w:pPr>
        <w:jc w:val="both"/>
        <w:ind w:left="1620" w:right="1159" w:hanging="148"/>
        <w:spacing w:after="0" w:line="250" w:lineRule="auto"/>
        <w:tabs>
          <w:tab w:leader="none" w:pos="207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our 2024 Equity Incentive Plan (the “2024 Plan”), which will become effective in connection with this offering (which includes up to approximately            million shares of common stock underlying stock option awards that our board of directors may grant under the 2024 Plan upon the pricing of this offering with an exercise price per share equal to the initial public offering price per share); and</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3" w:name="page14"/>
    <w:bookmarkEnd w:id="13"/>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20" w:right="1159" w:hanging="148"/>
        <w:spacing w:after="0" w:line="269" w:lineRule="auto"/>
        <w:tabs>
          <w:tab w:leader="none" w:pos="208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our 2024 Employee Stock Purchase Plan (the “2024 ESPP”), which will become effective in connection with this offering.</w:t>
      </w:r>
    </w:p>
    <w:p>
      <w:pPr>
        <w:spacing w:after="0" w:line="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Except as otherwise noted, all information in this prospectus assumes or gives effect to the following:</w:t>
      </w:r>
    </w:p>
    <w:p>
      <w:pPr>
        <w:spacing w:after="0" w:line="91" w:lineRule="exact"/>
        <w:rPr>
          <w:sz w:val="20"/>
          <w:szCs w:val="20"/>
          <w:color w:val="auto"/>
        </w:rPr>
      </w:pPr>
    </w:p>
    <w:p>
      <w:pPr>
        <w:ind w:left="1620" w:hanging="148"/>
        <w:spacing w:after="0"/>
        <w:tabs>
          <w:tab w:leader="none" w:pos="16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1-for-            reverse stock split of our capital stock, which was effected on                     , 2024;</w:t>
      </w:r>
    </w:p>
    <w:p>
      <w:pPr>
        <w:spacing w:after="0" w:line="91"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the automatic conversion of all outstanding shares of our convertible preferred stock as of</w:t>
      </w:r>
    </w:p>
    <w:p>
      <w:pPr>
        <w:spacing w:after="0" w:line="18" w:lineRule="exact"/>
        <w:rPr>
          <w:sz w:val="20"/>
          <w:szCs w:val="20"/>
          <w:color w:val="auto"/>
        </w:rPr>
      </w:pPr>
    </w:p>
    <w:p>
      <w:pPr>
        <w:jc w:val="both"/>
        <w:ind w:left="1620" w:right="1159"/>
        <w:spacing w:after="0" w:line="244" w:lineRule="auto"/>
        <w:rPr>
          <w:sz w:val="20"/>
          <w:szCs w:val="20"/>
          <w:color w:val="auto"/>
        </w:rPr>
      </w:pPr>
      <w:r>
        <w:rPr>
          <w:rFonts w:ascii="Times New Roman" w:cs="Times New Roman" w:eastAsia="Times New Roman" w:hAnsi="Times New Roman"/>
          <w:sz w:val="15"/>
          <w:szCs w:val="15"/>
          <w:color w:val="auto"/>
        </w:rPr>
        <w:t>March 31, 2024 into an aggregate of shares of our common stock and (ii) the automatic conversion of 116,275,239 shares of Series C Preferred Stock issued after March 31, 2024, including 12,284,686 shares of Series C Preferred Stock issued upon the conversion of all outstanding convertible notes, into an aggregate of               shares of our common stock, in each case, based on</w:t>
      </w:r>
    </w:p>
    <w:p>
      <w:pPr>
        <w:spacing w:after="0" w:line="2" w:lineRule="exact"/>
        <w:rPr>
          <w:sz w:val="20"/>
          <w:szCs w:val="20"/>
          <w:color w:val="auto"/>
        </w:rPr>
      </w:pPr>
    </w:p>
    <w:p>
      <w:pPr>
        <w:jc w:val="both"/>
        <w:ind w:left="1620" w:right="1179"/>
        <w:spacing w:after="0" w:line="249" w:lineRule="auto"/>
        <w:rPr>
          <w:sz w:val="20"/>
          <w:szCs w:val="20"/>
          <w:color w:val="auto"/>
        </w:rPr>
      </w:pPr>
      <w:r>
        <w:rPr>
          <w:rFonts w:ascii="Times New Roman" w:cs="Times New Roman" w:eastAsia="Times New Roman" w:hAnsi="Times New Roman"/>
          <w:sz w:val="15"/>
          <w:szCs w:val="15"/>
          <w:color w:val="auto"/>
        </w:rPr>
        <w:t>an assumed initial public offering price of $ per share, which is the midpoint of the price range set forth on the cover page of this prospectus, immediately prior to the completion of this offering;</w:t>
      </w:r>
    </w:p>
    <w:p>
      <w:pPr>
        <w:spacing w:after="0" w:line="67" w:lineRule="exact"/>
        <w:rPr>
          <w:sz w:val="20"/>
          <w:szCs w:val="20"/>
          <w:color w:val="auto"/>
        </w:rPr>
      </w:pPr>
    </w:p>
    <w:p>
      <w:pPr>
        <w:ind w:left="1620" w:hanging="148"/>
        <w:spacing w:after="0"/>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by the underwriters of their over-allotment option;</w:t>
      </w:r>
    </w:p>
    <w:p>
      <w:pPr>
        <w:spacing w:after="0" w:line="91"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and effectiveness of our restated certificate of incorporation (the “Restated Charter”) and the adoption of our amended and restated bylaws (the “Restated Bylaws”) prior to the completion of this offering; and</w:t>
      </w:r>
    </w:p>
    <w:p>
      <w:pPr>
        <w:spacing w:after="0" w:line="61"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vesting or exercise of the outstanding stock options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SUMMARY CONSOLIDATED FINANCIAL DATA</w:t>
      </w:r>
    </w:p>
    <w:p>
      <w:pPr>
        <w:spacing w:after="0" w:line="126" w:lineRule="exact"/>
        <w:rPr>
          <w:sz w:val="20"/>
          <w:szCs w:val="20"/>
          <w:color w:val="auto"/>
        </w:rPr>
      </w:pPr>
    </w:p>
    <w:p>
      <w:pPr>
        <w:jc w:val="both"/>
        <w:ind w:left="1180" w:right="1159" w:firstLine="293"/>
        <w:spacing w:after="0" w:line="246" w:lineRule="auto"/>
        <w:rPr>
          <w:sz w:val="20"/>
          <w:szCs w:val="20"/>
          <w:color w:val="auto"/>
        </w:rPr>
      </w:pPr>
      <w:r>
        <w:rPr>
          <w:rFonts w:ascii="Times New Roman" w:cs="Times New Roman" w:eastAsia="Times New Roman" w:hAnsi="Times New Roman"/>
          <w:sz w:val="15"/>
          <w:szCs w:val="15"/>
          <w:color w:val="auto"/>
        </w:rPr>
        <w:t>You should read the following consolidated summary financial data together with the section titled “Management’s Discussion and Analysis of Financial Condition and Results of Operations” in this prospectus and our consolidated financial statements and the related notes included elsewhere in this prospectus. The consolidated statements of operations and comprehensive loss data for the years ended December 31, 2023 and 2022 have been derived from our audited consolidated financial statements included elsewhere in this prospectus. The consolidated statements of operations and comprehensive loss data for the three months ended March 31, 2024 and 2023 and the consolidated balance sheet data as of March 31, 2024 have been derived from our unaudited condensed consolidated financial statements included elsewhere in this prospectus. Our historical results are not necessarily indicative of the results that may be expected in the future. The summary consolidated financial and other data in this section are not intended to replace the financial statements and the related notes thereto included elsewhere in this prospectus and are qualified in their entirety by those consolidated financial statements and the related notes.</w:t>
      </w:r>
    </w:p>
    <w:p>
      <w:pPr>
        <w:spacing w:after="0" w:line="2" w:lineRule="exact"/>
        <w:rPr>
          <w:sz w:val="20"/>
          <w:szCs w:val="20"/>
          <w:color w:val="auto"/>
        </w:rPr>
      </w:pPr>
    </w:p>
    <w:tbl>
      <w:tblPr>
        <w:tblLayout w:type="fixed"/>
        <w:tblInd w:w="1180" w:type="dxa"/>
        <w:tblCellMar>
          <w:top w:w="0" w:type="dxa"/>
          <w:left w:w="0" w:type="dxa"/>
          <w:bottom w:w="0" w:type="dxa"/>
          <w:right w:w="0" w:type="dxa"/>
        </w:tblCellMar>
      </w:tblP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80" w:type="dxa"/>
            <w:vAlign w:val="bottom"/>
            <w:gridSpan w:val="7"/>
          </w:tcPr>
          <w:p>
            <w:pPr>
              <w:ind w:left="20"/>
              <w:spacing w:after="0"/>
              <w:rPr>
                <w:sz w:val="20"/>
                <w:szCs w:val="20"/>
                <w:color w:val="auto"/>
              </w:rPr>
            </w:pPr>
            <w:r>
              <w:rPr>
                <w:rFonts w:ascii="Times New Roman" w:cs="Times New Roman" w:eastAsia="Times New Roman" w:hAnsi="Times New Roman"/>
                <w:sz w:val="23"/>
                <w:szCs w:val="23"/>
                <w:b w:val="1"/>
                <w:bCs w:val="1"/>
                <w:color w:val="auto"/>
                <w:w w:val="96"/>
                <w:vertAlign w:val="subscript"/>
              </w:rPr>
              <w:t>​​</w:t>
            </w:r>
            <w:r>
              <w:rPr>
                <w:rFonts w:ascii="Times New Roman" w:cs="Times New Roman" w:eastAsia="Times New Roman" w:hAnsi="Times New Roman"/>
                <w:sz w:val="12"/>
                <w:szCs w:val="12"/>
                <w:b w:val="1"/>
                <w:bCs w:val="1"/>
                <w:color w:val="auto"/>
                <w:w w:val="96"/>
              </w:rPr>
              <w:t xml:space="preserve"> Three Months Ended March 31,</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1460" w:type="dxa"/>
            <w:vAlign w:val="bottom"/>
            <w:gridSpan w:val="4"/>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w w:val="93"/>
              </w:rPr>
              <w:t>Year Ended December 31,</w:t>
            </w:r>
          </w:p>
        </w:tc>
        <w:tc>
          <w:tcPr>
            <w:tcW w:w="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6"/>
                <w:szCs w:val="16"/>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20" w:type="dxa"/>
            <w:vAlign w:val="bottom"/>
            <w:vMerge w:val="continue"/>
          </w:tcPr>
          <w:p>
            <w:pPr>
              <w:spacing w:after="0"/>
              <w:rPr>
                <w:sz w:val="17"/>
                <w:szCs w:val="17"/>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w:t>
            </w:r>
          </w:p>
        </w:tc>
        <w:tc>
          <w:tcPr>
            <w:tcW w:w="54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w:t>
            </w:r>
          </w:p>
        </w:tc>
        <w:tc>
          <w:tcPr>
            <w:tcW w:w="60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 ​</w:t>
            </w:r>
          </w:p>
        </w:tc>
        <w:tc>
          <w:tcPr>
            <w:tcW w:w="56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Collaboration revenue.</w:t>
            </w:r>
          </w:p>
        </w:tc>
        <w:tc>
          <w:tcPr>
            <w:tcW w:w="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820" w:type="dxa"/>
            <w:vAlign w:val="bottom"/>
            <w:gridSpan w:val="3"/>
            <w:shd w:val="clear" w:color="auto" w:fill="CCEEFF"/>
          </w:tcPr>
          <w:p>
            <w:pPr>
              <w:jc w:val="right"/>
              <w:ind w:right="6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300" w:type="dxa"/>
            <w:vAlign w:val="bottom"/>
            <w:tcBorders>
              <w:left w:val="single" w:sz="8" w:color="CCEEFF"/>
            </w:tcBorders>
            <w:gridSpan w:val="2"/>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revenue</w:t>
            </w:r>
          </w:p>
        </w:tc>
        <w:tc>
          <w:tcPr>
            <w:tcW w:w="28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300" w:type="dxa"/>
            <w:vAlign w:val="bottom"/>
          </w:tcPr>
          <w:p>
            <w:pPr>
              <w:spacing w:after="0"/>
              <w:rPr>
                <w:sz w:val="18"/>
                <w:szCs w:val="18"/>
                <w:color w:val="auto"/>
              </w:rPr>
            </w:pPr>
          </w:p>
        </w:tc>
        <w:tc>
          <w:tcPr>
            <w:tcW w:w="560" w:type="dxa"/>
            <w:vAlign w:val="bottom"/>
            <w:gridSpan w:val="3"/>
          </w:tcPr>
          <w:p>
            <w:pPr>
              <w:jc w:val="right"/>
              <w:ind w:right="8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820" w:type="dxa"/>
            <w:vAlign w:val="bottom"/>
            <w:gridSpan w:val="3"/>
          </w:tcPr>
          <w:p>
            <w:pPr>
              <w:jc w:val="right"/>
              <w:ind w:right="2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300" w:type="dxa"/>
            <w:vAlign w:val="bottom"/>
            <w:gridSpan w:val="2"/>
          </w:tcPr>
          <w:p>
            <w:pPr>
              <w:jc w:val="right"/>
              <w:ind w:right="6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64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20" w:type="dxa"/>
            <w:vAlign w:val="bottom"/>
            <w:vMerge w:val="continue"/>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shd w:val="clear" w:color="auto" w:fill="CCEEFF"/>
          </w:tcPr>
          <w:p>
            <w:pPr>
              <w:spacing w:after="0"/>
              <w:rPr>
                <w:sz w:val="17"/>
                <w:szCs w:val="17"/>
                <w:color w:val="auto"/>
              </w:rPr>
            </w:pP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shd w:val="clear" w:color="auto" w:fill="CCEEFF"/>
          </w:tcPr>
          <w:p>
            <w:pPr>
              <w:spacing w:after="0"/>
              <w:rPr>
                <w:sz w:val="17"/>
                <w:szCs w:val="17"/>
                <w:color w:val="auto"/>
              </w:rPr>
            </w:pPr>
          </w:p>
        </w:tc>
        <w:tc>
          <w:tcPr>
            <w:tcW w:w="3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 (includes $966, $869,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$3,041 and $8,149 from related parties,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22,645 ​​​​ ​</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15,347 ​​​​ ​</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60,033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61,689</w:t>
            </w: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(includes $3, $25, $8</w:t>
            </w:r>
          </w:p>
        </w:tc>
        <w:tc>
          <w:tcPr>
            <w:tcW w:w="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and $103 from related parties, respectively)</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4,933 ​​​​ ​</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3,739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17,114</w:t>
            </w:r>
          </w:p>
        </w:tc>
        <w:tc>
          <w:tcPr>
            <w:tcW w:w="3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13,510</w:t>
            </w:r>
          </w:p>
        </w:tc>
        <w:tc>
          <w:tcPr>
            <w:tcW w:w="4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19"/>
                <w:szCs w:val="19"/>
                <w:color w:val="auto"/>
              </w:rPr>
            </w:pPr>
          </w:p>
        </w:tc>
        <w:tc>
          <w:tcPr>
            <w:tcW w:w="56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82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0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4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8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860" w:type="dxa"/>
            <w:vAlign w:val="bottom"/>
            <w:gridSpan w:val="4"/>
            <w:shd w:val="clear" w:color="auto" w:fill="CCEEFF"/>
          </w:tcPr>
          <w:p>
            <w:pPr>
              <w:jc w:val="right"/>
              <w:ind w:right="80"/>
              <w:spacing w:after="0" w:line="211" w:lineRule="exact"/>
              <w:rPr>
                <w:sz w:val="20"/>
                <w:szCs w:val="20"/>
                <w:color w:val="auto"/>
              </w:rPr>
            </w:pPr>
            <w:r>
              <w:rPr>
                <w:rFonts w:ascii="Times New Roman" w:cs="Times New Roman" w:eastAsia="Times New Roman" w:hAnsi="Times New Roman"/>
                <w:sz w:val="13"/>
                <w:szCs w:val="13"/>
                <w:color w:val="auto"/>
              </w:rPr>
              <w:t xml:space="preserve">27,578 </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820" w:type="dxa"/>
            <w:vAlign w:val="bottom"/>
            <w:gridSpan w:val="3"/>
            <w:shd w:val="clear" w:color="auto" w:fill="CCEEFF"/>
          </w:tcPr>
          <w:p>
            <w:pPr>
              <w:jc w:val="right"/>
              <w:ind w:right="20"/>
              <w:spacing w:after="0" w:line="211" w:lineRule="exact"/>
              <w:rPr>
                <w:sz w:val="20"/>
                <w:szCs w:val="20"/>
                <w:color w:val="auto"/>
              </w:rPr>
            </w:pPr>
            <w:r>
              <w:rPr>
                <w:rFonts w:ascii="Times New Roman" w:cs="Times New Roman" w:eastAsia="Times New Roman" w:hAnsi="Times New Roman"/>
                <w:sz w:val="13"/>
                <w:szCs w:val="13"/>
                <w:color w:val="auto"/>
              </w:rPr>
              <w:t xml:space="preserve">19,086 </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87,147</w:t>
            </w:r>
          </w:p>
        </w:tc>
        <w:tc>
          <w:tcPr>
            <w:tcW w:w="300" w:type="dxa"/>
            <w:vAlign w:val="bottom"/>
            <w:tcBorders>
              <w:left w:val="single" w:sz="8" w:color="CCEEFF"/>
            </w:tcBorders>
            <w:gridSpan w:val="2"/>
            <w:shd w:val="clear" w:color="auto" w:fill="CCEEFF"/>
          </w:tcPr>
          <w:p>
            <w:pPr>
              <w:jc w:val="right"/>
              <w:ind w:right="6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76,199</w:t>
            </w:r>
          </w:p>
        </w:tc>
        <w:tc>
          <w:tcPr>
            <w:tcW w:w="4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(27,578)​​​​ ​</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(19,086)​​​​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(37,147)​​​​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(76,199)</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shd w:val="clear" w:color="auto" w:fill="CCEEFF"/>
          </w:tcPr>
          <w:p>
            <w:pPr>
              <w:spacing w:after="0"/>
              <w:rPr>
                <w:sz w:val="18"/>
                <w:szCs w:val="18"/>
                <w:color w:val="auto"/>
              </w:rPr>
            </w:pP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shd w:val="clear" w:color="auto" w:fill="CCEEFF"/>
          </w:tcPr>
          <w:p>
            <w:pPr>
              <w:spacing w:after="0"/>
              <w:rPr>
                <w:sz w:val="18"/>
                <w:szCs w:val="18"/>
                <w:color w:val="auto"/>
              </w:rPr>
            </w:pPr>
          </w:p>
        </w:tc>
        <w:tc>
          <w:tcPr>
            <w:tcW w:w="3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Fair value adjustments to convertible notes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(694)​​​​ ​</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(300)​​​​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(29,876)</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Fair value adjustments to warrant liability</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income (expense), net</w:t>
            </w:r>
          </w:p>
        </w:tc>
        <w:tc>
          <w:tcPr>
            <w:tcW w:w="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19"/>
                <w:szCs w:val="19"/>
                <w:color w:val="auto"/>
              </w:rPr>
            </w:pPr>
          </w:p>
        </w:tc>
        <w:tc>
          <w:tcPr>
            <w:tcW w:w="56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5"/>
                <w:szCs w:val="25"/>
                <w:color w:val="auto"/>
                <w:vertAlign w:val="superscript"/>
              </w:rPr>
              <w:t>472</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82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13"/>
                <w:szCs w:val="13"/>
                <w:color w:val="auto"/>
              </w:rPr>
              <w:t>(11)</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30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4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28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860" w:type="dxa"/>
            <w:vAlign w:val="bottom"/>
            <w:gridSpan w:val="4"/>
          </w:tcPr>
          <w:p>
            <w:pPr>
              <w:jc w:val="right"/>
              <w:ind w:right="80"/>
              <w:spacing w:after="0" w:line="211" w:lineRule="exact"/>
              <w:rPr>
                <w:sz w:val="20"/>
                <w:szCs w:val="20"/>
                <w:color w:val="auto"/>
              </w:rPr>
            </w:pPr>
            <w:r>
              <w:rPr>
                <w:rFonts w:ascii="Times New Roman" w:cs="Times New Roman" w:eastAsia="Times New Roman" w:hAnsi="Times New Roman"/>
                <w:sz w:val="13"/>
                <w:szCs w:val="13"/>
                <w:color w:val="auto"/>
              </w:rPr>
              <w:t>(222)</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820" w:type="dxa"/>
            <w:vAlign w:val="bottom"/>
            <w:gridSpan w:val="3"/>
          </w:tcPr>
          <w:p>
            <w:pPr>
              <w:jc w:val="right"/>
              <w:ind w:right="20"/>
              <w:spacing w:after="0" w:line="211" w:lineRule="exact"/>
              <w:rPr>
                <w:sz w:val="20"/>
                <w:szCs w:val="20"/>
                <w:color w:val="auto"/>
              </w:rPr>
            </w:pPr>
            <w:r>
              <w:rPr>
                <w:rFonts w:ascii="Times New Roman" w:cs="Times New Roman" w:eastAsia="Times New Roman" w:hAnsi="Times New Roman"/>
                <w:sz w:val="13"/>
                <w:szCs w:val="13"/>
                <w:color w:val="auto"/>
              </w:rPr>
              <w:t>(11)</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300" w:type="dxa"/>
            <w:vAlign w:val="bottom"/>
            <w:gridSpan w:val="2"/>
          </w:tcPr>
          <w:p>
            <w:pPr>
              <w:jc w:val="right"/>
              <w:ind w:right="6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64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(43,083)</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(27,800)​​​​ ​</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(19,097)​​​​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(36,823)​​​​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(119,282)</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820" w:type="dxa"/>
            <w:vAlign w:val="bottom"/>
            <w:gridSpan w:val="3"/>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900" w:type="dxa"/>
            <w:vAlign w:val="bottom"/>
            <w:gridSpan w:val="3"/>
            <w:shd w:val="clear" w:color="auto" w:fill="CCEEFF"/>
          </w:tcPr>
          <w:p>
            <w:pPr>
              <w:jc w:val="right"/>
              <w:ind w:right="60"/>
              <w:spacing w:after="0" w:line="220" w:lineRule="exact"/>
              <w:rPr>
                <w:sz w:val="20"/>
                <w:szCs w:val="20"/>
                <w:color w:val="auto"/>
              </w:rPr>
            </w:pPr>
            <w:r>
              <w:rPr>
                <w:rFonts w:ascii="Times New Roman" w:cs="Times New Roman" w:eastAsia="Times New Roman" w:hAnsi="Times New Roman"/>
                <w:sz w:val="13"/>
                <w:szCs w:val="13"/>
                <w:color w:val="auto"/>
              </w:rPr>
              <w:t>(301)</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98" w:right="1440" w:bottom="1440" w:gutter="0" w:footer="0" w:header="0"/>
        </w:sectPr>
      </w:pP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Net loss attributable to common stockholders</w:t>
      </w:r>
      <w:r>
        <w:rPr>
          <w:rFonts w:ascii="Times New Roman" w:cs="Times New Roman" w:eastAsia="Times New Roman" w:hAnsi="Times New Roman"/>
          <w:sz w:val="19"/>
          <w:szCs w:val="19"/>
          <w:color w:val="auto"/>
          <w:vertAlign w:val="superscript"/>
        </w:rPr>
        <w:t>(1)</w:t>
      </w:r>
    </w:p>
    <w:p>
      <w:pPr>
        <w:spacing w:after="0" w:line="31" w:lineRule="exact"/>
        <w:rPr>
          <w:sz w:val="20"/>
          <w:szCs w:val="20"/>
          <w:color w:val="auto"/>
        </w:rPr>
      </w:pPr>
    </w:p>
    <w:p>
      <w:pPr>
        <w:ind w:left="1320" w:right="620" w:hanging="145"/>
        <w:spacing w:after="0" w:line="249" w:lineRule="auto"/>
        <w:rPr>
          <w:sz w:val="20"/>
          <w:szCs w:val="20"/>
          <w:color w:val="auto"/>
        </w:rPr>
      </w:pPr>
      <w:r>
        <w:rPr>
          <w:rFonts w:ascii="Times New Roman" w:cs="Times New Roman" w:eastAsia="Times New Roman" w:hAnsi="Times New Roman"/>
          <w:sz w:val="15"/>
          <w:szCs w:val="15"/>
          <w:color w:val="auto"/>
        </w:rPr>
        <w:t>Net loss per share attributable to common stockholders–basic and diluted</w:t>
      </w:r>
      <w:r>
        <w:rPr>
          <w:rFonts w:ascii="Times New Roman" w:cs="Times New Roman" w:eastAsia="Times New Roman" w:hAnsi="Times New Roman"/>
          <w:sz w:val="19"/>
          <w:szCs w:val="19"/>
          <w:color w:val="auto"/>
          <w:vertAlign w:val="superscript"/>
        </w:rPr>
        <w:t>(2)</w:t>
      </w:r>
    </w:p>
    <w:p>
      <w:pPr>
        <w:spacing w:after="0" w:line="1" w:lineRule="exact"/>
        <w:rPr>
          <w:sz w:val="20"/>
          <w:szCs w:val="20"/>
          <w:color w:val="auto"/>
        </w:rPr>
      </w:pPr>
    </w:p>
    <w:p>
      <w:pPr>
        <w:ind w:left="1320" w:hanging="145"/>
        <w:spacing w:after="0" w:line="256" w:lineRule="auto"/>
        <w:rPr>
          <w:sz w:val="20"/>
          <w:szCs w:val="20"/>
          <w:color w:val="auto"/>
        </w:rPr>
      </w:pPr>
      <w:r>
        <w:rPr>
          <w:rFonts w:ascii="Times New Roman" w:cs="Times New Roman" w:eastAsia="Times New Roman" w:hAnsi="Times New Roman"/>
          <w:sz w:val="15"/>
          <w:szCs w:val="15"/>
          <w:color w:val="auto"/>
        </w:rPr>
        <w:t>Weighted-average common stock outstanding–basic and diluted</w:t>
      </w:r>
      <w:r>
        <w:rPr>
          <w:rFonts w:ascii="Times New Roman" w:cs="Times New Roman" w:eastAsia="Times New Roman" w:hAnsi="Times New Roman"/>
          <w:sz w:val="19"/>
          <w:szCs w:val="19"/>
          <w:color w:val="auto"/>
          <w:vertAlign w:val="superscript"/>
        </w:rPr>
        <w:t>(2)</w:t>
      </w:r>
    </w:p>
    <w:p>
      <w:pPr>
        <w:ind w:left="1320" w:hanging="145"/>
        <w:spacing w:after="0" w:line="266" w:lineRule="auto"/>
        <w:rPr>
          <w:sz w:val="20"/>
          <w:szCs w:val="20"/>
          <w:color w:val="auto"/>
        </w:rPr>
      </w:pPr>
      <w:r>
        <w:rPr>
          <w:rFonts w:ascii="Times New Roman" w:cs="Times New Roman" w:eastAsia="Times New Roman" w:hAnsi="Times New Roman"/>
          <w:sz w:val="15"/>
          <w:szCs w:val="15"/>
          <w:color w:val="auto"/>
        </w:rPr>
        <w:t>Pro forma net loss per share attributable to common stockholders–basic and diluted</w:t>
      </w:r>
      <w:r>
        <w:rPr>
          <w:rFonts w:ascii="Times New Roman" w:cs="Times New Roman" w:eastAsia="Times New Roman" w:hAnsi="Times New Roman"/>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197" w:lineRule="auto"/>
        <w:tabs>
          <w:tab w:leader="none" w:pos="340" w:val="left"/>
          <w:tab w:leader="none" w:pos="1200" w:val="left"/>
          <w:tab w:leader="none" w:pos="2060" w:val="left"/>
          <w:tab w:leader="none" w:pos="2860" w:val="left"/>
        </w:tabs>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w:t>
      </w:r>
      <w:r>
        <w:rPr>
          <w:sz w:val="20"/>
          <w:szCs w:val="20"/>
          <w:color w:val="auto"/>
        </w:rPr>
        <w:tab/>
      </w:r>
      <w:r>
        <w:rPr>
          <w:rFonts w:ascii="Times New Roman" w:cs="Times New Roman" w:eastAsia="Times New Roman" w:hAnsi="Times New Roman"/>
          <w:sz w:val="15"/>
          <w:szCs w:val="15"/>
          <w:u w:val="single" w:color="auto"/>
          <w:color w:val="auto"/>
        </w:rPr>
        <w:t>(27,800</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w:t>
        <w:tab/>
        <w:t>(19,097</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w:t>
        <w:tab/>
        <w:t>(37,124</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w:t>
        <w:tab/>
        <w:t>(119,282</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b w:val="1"/>
          <w:bCs w:val="1"/>
          <w:color w:val="auto"/>
          <w:vertAlign w:val="subscript"/>
        </w:rPr>
        <w:t>​</w:t>
      </w:r>
    </w:p>
    <w:p>
      <w:pPr>
        <w:spacing w:after="0" w:line="1" w:lineRule="exact"/>
        <w:rPr>
          <w:sz w:val="20"/>
          <w:szCs w:val="20"/>
          <w:color w:val="auto"/>
        </w:rPr>
      </w:pPr>
    </w:p>
    <w:p>
      <w:pPr>
        <w:spacing w:after="0"/>
        <w:tabs>
          <w:tab w:leader="none" w:pos="480" w:val="left"/>
          <w:tab w:leader="none" w:pos="1340" w:val="left"/>
          <w:tab w:leader="none" w:pos="2220" w:val="left"/>
          <w:tab w:leader="none" w:pos="3080" w:val="left"/>
        </w:tabs>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(2.06)</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(1.45)</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(2.79)</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(9.21)</w:t>
      </w:r>
      <w:r>
        <w:rPr>
          <w:rFonts w:ascii="Times New Roman" w:cs="Times New Roman" w:eastAsia="Times New Roman" w:hAnsi="Times New Roman"/>
          <w:sz w:val="29"/>
          <w:szCs w:val="29"/>
          <w:b w:val="1"/>
          <w:bCs w:val="1"/>
          <w:color w:val="auto"/>
          <w:vertAlign w:val="subscript"/>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​13,494,293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​13,130,607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​13,295,456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​12,956,618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b w:val="1"/>
          <w:bCs w:val="1"/>
          <w:color w:val="auto"/>
          <w:vertAlign w:val="subscript"/>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587"/>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r>
      <w:tr>
        <w:trPr>
          <w:trHeight w:val="44"/>
        </w:trPr>
        <w:tc>
          <w:tcPr>
            <w:tcW w:w="800" w:type="dxa"/>
            <w:vAlign w:val="bottom"/>
            <w:gridSpan w:val="2"/>
          </w:tcPr>
          <w:p>
            <w:pPr>
              <w:jc w:val="right"/>
              <w:ind w:right="700"/>
              <w:spacing w:after="0" w:line="44" w:lineRule="exact"/>
              <w:rPr>
                <w:sz w:val="20"/>
                <w:szCs w:val="20"/>
                <w:color w:val="auto"/>
              </w:rPr>
            </w:pPr>
            <w:r>
              <w:rPr>
                <w:rFonts w:ascii="Times New Roman" w:cs="Times New Roman" w:eastAsia="Times New Roman" w:hAnsi="Times New Roman"/>
                <w:sz w:val="5"/>
                <w:szCs w:val="5"/>
                <w:color w:val="auto"/>
              </w:rPr>
              <w:t>​​​</w:t>
            </w:r>
          </w:p>
        </w:tc>
        <w:tc>
          <w:tcPr>
            <w:tcW w:w="180" w:type="dxa"/>
            <w:vAlign w:val="bottom"/>
          </w:tcPr>
          <w:p>
            <w:pPr>
              <w:ind w:left="40"/>
              <w:spacing w:after="0" w:line="44" w:lineRule="exact"/>
              <w:rPr>
                <w:sz w:val="20"/>
                <w:szCs w:val="20"/>
                <w:color w:val="auto"/>
              </w:rPr>
            </w:pPr>
            <w:r>
              <w:rPr>
                <w:rFonts w:ascii="Times New Roman" w:cs="Times New Roman" w:eastAsia="Times New Roman" w:hAnsi="Times New Roman"/>
                <w:sz w:val="5"/>
                <w:szCs w:val="5"/>
                <w:color w:val="auto"/>
              </w:rPr>
              <w:t>​​​​</w:t>
            </w:r>
          </w:p>
        </w:tc>
        <w:tc>
          <w:tcPr>
            <w:tcW w:w="380" w:type="dxa"/>
            <w:vAlign w:val="bottom"/>
          </w:tcPr>
          <w:p>
            <w:pPr>
              <w:spacing w:after="0"/>
              <w:rPr>
                <w:sz w:val="3"/>
                <w:szCs w:val="3"/>
                <w:color w:val="auto"/>
              </w:rPr>
            </w:pPr>
          </w:p>
        </w:tc>
        <w:tc>
          <w:tcPr>
            <w:tcW w:w="1180" w:type="dxa"/>
            <w:vAlign w:val="bottom"/>
            <w:gridSpan w:val="2"/>
          </w:tcPr>
          <w:p>
            <w:pPr>
              <w:jc w:val="right"/>
              <w:ind w:right="627"/>
              <w:spacing w:after="0" w:line="44" w:lineRule="exact"/>
              <w:rPr>
                <w:sz w:val="20"/>
                <w:szCs w:val="20"/>
                <w:color w:val="auto"/>
              </w:rPr>
            </w:pPr>
            <w:r>
              <w:rPr>
                <w:rFonts w:ascii="Times New Roman" w:cs="Times New Roman" w:eastAsia="Times New Roman" w:hAnsi="Times New Roman"/>
                <w:sz w:val="5"/>
                <w:szCs w:val="5"/>
                <w:color w:val="auto"/>
              </w:rPr>
              <w:t>​​​​</w:t>
            </w:r>
          </w:p>
        </w:tc>
        <w:tc>
          <w:tcPr>
            <w:tcW w:w="180" w:type="dxa"/>
            <w:vAlign w:val="bottom"/>
          </w:tcPr>
          <w:p>
            <w:pPr>
              <w:ind w:left="20"/>
              <w:spacing w:after="0" w:line="44" w:lineRule="exact"/>
              <w:rPr>
                <w:sz w:val="20"/>
                <w:szCs w:val="20"/>
                <w:color w:val="auto"/>
              </w:rPr>
            </w:pPr>
            <w:r>
              <w:rPr>
                <w:rFonts w:ascii="Times New Roman" w:cs="Times New Roman" w:eastAsia="Times New Roman" w:hAnsi="Times New Roman"/>
                <w:sz w:val="5"/>
                <w:szCs w:val="5"/>
                <w:color w:val="auto"/>
              </w:rPr>
              <w:t>​​​​</w:t>
            </w:r>
          </w:p>
        </w:tc>
        <w:tc>
          <w:tcPr>
            <w:tcW w:w="380" w:type="dxa"/>
            <w:vAlign w:val="bottom"/>
          </w:tcPr>
          <w:p>
            <w:pPr>
              <w:spacing w:after="0"/>
              <w:rPr>
                <w:sz w:val="3"/>
                <w:szCs w:val="3"/>
                <w:color w:val="auto"/>
              </w:rPr>
            </w:pPr>
          </w:p>
        </w:tc>
        <w:tc>
          <w:tcPr>
            <w:tcW w:w="380" w:type="dxa"/>
            <w:vAlign w:val="bottom"/>
          </w:tcPr>
          <w:p>
            <w:pPr>
              <w:ind w:left="340"/>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r>
      <w:tr>
        <w:trPr>
          <w:trHeight w:val="20"/>
        </w:trPr>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7" w:lineRule="exact"/>
        <w:rPr>
          <w:sz w:val="20"/>
          <w:szCs w:val="20"/>
          <w:color w:val="auto"/>
        </w:rPr>
      </w:pPr>
    </w:p>
    <w:p>
      <w:pPr>
        <w:sectPr>
          <w:pgSz w:w="11900" w:h="16838" w:orient="portrait"/>
          <w:cols w:equalWidth="0" w:num="2">
            <w:col w:w="4360" w:space="60"/>
            <w:col w:w="4599"/>
          </w:cols>
          <w:pgMar w:left="1440" w:top="98" w:right="1440" w:bottom="1440" w:gutter="0" w:footer="0" w:header="0"/>
          <w:type w:val="continuous"/>
        </w:sectPr>
      </w:pPr>
    </w:p>
    <w:tbl>
      <w:tblPr>
        <w:tblLayout w:type="fixed"/>
        <w:tblInd w:w="1180" w:type="dxa"/>
        <w:tblCellMar>
          <w:top w:w="0" w:type="dxa"/>
          <w:left w:w="0" w:type="dxa"/>
          <w:bottom w:w="0" w:type="dxa"/>
          <w:right w:w="0" w:type="dxa"/>
        </w:tblCellMar>
      </w:tblPr>
      <w:tr>
        <w:trPr>
          <w:trHeight w:val="173"/>
        </w:trPr>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Pro forma weighted-average common stock</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96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rPr>
              <w:t>outstanding–basic and diluted</w:t>
            </w:r>
            <w:r>
              <w:rPr>
                <w:rFonts w:ascii="Times New Roman" w:cs="Times New Roman" w:eastAsia="Times New Roman" w:hAnsi="Times New Roman"/>
                <w:sz w:val="17"/>
                <w:szCs w:val="17"/>
                <w:color w:val="auto"/>
                <w:vertAlign w:val="superscript"/>
              </w:rPr>
              <w:t>(3)</w:t>
            </w:r>
          </w:p>
        </w:tc>
        <w:tc>
          <w:tcPr>
            <w:tcW w:w="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line="150" w:lineRule="exact"/>
              <w:rPr>
                <w:sz w:val="20"/>
                <w:szCs w:val="20"/>
                <w:color w:val="auto"/>
              </w:rPr>
            </w:pPr>
            <w:r>
              <w:rPr>
                <w:rFonts w:ascii="Times New Roman" w:cs="Times New Roman" w:eastAsia="Times New Roman" w:hAnsi="Times New Roman"/>
                <w:sz w:val="15"/>
                <w:szCs w:val="15"/>
                <w:color w:val="auto"/>
              </w:rPr>
              <w:t>​   ​</w:t>
            </w:r>
          </w:p>
        </w:tc>
        <w:tc>
          <w:tcPr>
            <w:tcW w:w="1180" w:type="dxa"/>
            <w:vAlign w:val="bottom"/>
            <w:gridSpan w:val="2"/>
          </w:tcPr>
          <w:p>
            <w:pPr>
              <w:ind w:left="300"/>
              <w:spacing w:after="0" w:line="150"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spacing w:after="0" w:line="150" w:lineRule="exact"/>
              <w:rPr>
                <w:sz w:val="20"/>
                <w:szCs w:val="20"/>
                <w:color w:val="auto"/>
              </w:rPr>
            </w:pPr>
            <w:r>
              <w:rPr>
                <w:rFonts w:ascii="Times New Roman" w:cs="Times New Roman" w:eastAsia="Times New Roman" w:hAnsi="Times New Roman"/>
                <w:sz w:val="15"/>
                <w:szCs w:val="15"/>
                <w:color w:val="auto"/>
              </w:rPr>
              <w:t>​   ​</w:t>
            </w:r>
          </w:p>
        </w:tc>
        <w:tc>
          <w:tcPr>
            <w:tcW w:w="380" w:type="dxa"/>
            <w:vAlign w:val="bottom"/>
          </w:tcPr>
          <w:p>
            <w:pPr>
              <w:ind w:left="300"/>
              <w:spacing w:after="0" w:line="15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29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ind w:left="40"/>
              <w:spacing w:after="0" w:line="55"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gridSpan w:val="2"/>
          </w:tcPr>
          <w:p>
            <w:pPr>
              <w:ind w:left="340"/>
              <w:spacing w:after="0" w:line="55"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tcPr>
          <w:p>
            <w:pPr>
              <w:ind w:left="340"/>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5" w:name="page16"/>
    <w:bookmarkEnd w:id="15"/>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480" w:right="1159" w:hanging="301"/>
        <w:spacing w:after="0"/>
        <w:tabs>
          <w:tab w:leader="none" w:pos="14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 to both our unaudited condensed consolidated financial statements and our audited consolidated financial statements included elsewhere in this prospectus for details on the presentation of our common stock, as our ordinary shares were exchanged for common stock upon our redomicile in August 2023, from the Cayman Islands to Delaware.</w:t>
      </w:r>
    </w:p>
    <w:p>
      <w:pPr>
        <w:spacing w:after="0" w:line="36" w:lineRule="exact"/>
        <w:rPr>
          <w:rFonts w:ascii="Times New Roman" w:cs="Times New Roman" w:eastAsia="Times New Roman" w:hAnsi="Times New Roman"/>
          <w:sz w:val="12"/>
          <w:szCs w:val="12"/>
          <w:color w:val="auto"/>
        </w:rPr>
      </w:pPr>
    </w:p>
    <w:p>
      <w:pPr>
        <w:jc w:val="both"/>
        <w:ind w:left="1480" w:right="1159" w:hanging="301"/>
        <w:spacing w:after="0" w:line="237" w:lineRule="auto"/>
        <w:tabs>
          <w:tab w:leader="none" w:pos="14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12 to our unaudited condensed consolidated financial statements and Note 13 to our audited consolidated financial statements included elsewhere in this prospectus for details on the calculation of basic and diluted net loss per share attributable to holders of our common stock and the weighted-average number of shares of common stock used in the computation of the per share amounts.</w:t>
      </w:r>
    </w:p>
    <w:p>
      <w:pPr>
        <w:spacing w:after="0" w:line="48" w:lineRule="exact"/>
        <w:rPr>
          <w:rFonts w:ascii="Times New Roman" w:cs="Times New Roman" w:eastAsia="Times New Roman" w:hAnsi="Times New Roman"/>
          <w:sz w:val="12"/>
          <w:szCs w:val="12"/>
          <w:color w:val="auto"/>
        </w:rPr>
      </w:pPr>
    </w:p>
    <w:p>
      <w:pPr>
        <w:jc w:val="both"/>
        <w:ind w:left="1480" w:right="1159" w:hanging="301"/>
        <w:spacing w:after="0" w:line="234" w:lineRule="auto"/>
        <w:tabs>
          <w:tab w:leader="none" w:pos="14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basic and diluted net loss per share attributable to common stockholders has been prepared to give effect to (i) the sale and issuance of Series C Preferred Stock in May 2024, (ii) the automatic conversion of all outstanding shares of our convertible preferred stock as of March 31, 2024 into an aggregate of             shares of our common stock, (iii) the automatic conversion of 116,275,239 shares of Series C Preferred Stock issued after March 31, 2024, including 12,284,686 shares of Series C Preferred</w:t>
      </w:r>
    </w:p>
    <w:p>
      <w:pPr>
        <w:ind w:left="1480"/>
        <w:spacing w:after="0" w:line="231" w:lineRule="auto"/>
        <w:rPr>
          <w:sz w:val="20"/>
          <w:szCs w:val="20"/>
          <w:color w:val="auto"/>
        </w:rPr>
      </w:pPr>
      <w:r>
        <w:rPr>
          <w:rFonts w:ascii="Times New Roman" w:cs="Times New Roman" w:eastAsia="Times New Roman" w:hAnsi="Times New Roman"/>
          <w:sz w:val="12"/>
          <w:szCs w:val="12"/>
          <w:color w:val="auto"/>
        </w:rPr>
        <w:t>Stock issued upon the conversion of all outstanding convertible notes, into an aggregate of               shares of our common stock,</w:t>
      </w:r>
    </w:p>
    <w:p>
      <w:pPr>
        <w:jc w:val="both"/>
        <w:ind w:left="1480" w:right="1159"/>
        <w:spacing w:after="0" w:line="232" w:lineRule="auto"/>
        <w:rPr>
          <w:sz w:val="20"/>
          <w:szCs w:val="20"/>
          <w:color w:val="auto"/>
        </w:rPr>
      </w:pPr>
      <w:r>
        <w:rPr>
          <w:rFonts w:ascii="Times New Roman" w:cs="Times New Roman" w:eastAsia="Times New Roman" w:hAnsi="Times New Roman"/>
          <w:sz w:val="12"/>
          <w:szCs w:val="12"/>
          <w:color w:val="auto"/>
        </w:rPr>
        <w:t>in each case, based on an assumed initial public offering price of $ per share, which is the midpoint of the price range set forth on the cover page of this prospectus, upon the completion of this offering and the related reclassification of the carrying value of the convertible preferred stock to permanent equity immediately prior to the completion of this offering and (iv) the filing and effectiveness of our Restated Charter, which will be effective immediately prior to the completion of this offering.</w:t>
      </w:r>
    </w:p>
    <w:p>
      <w:pPr>
        <w:spacing w:after="0" w:line="101"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w w:val="93"/>
              </w:rPr>
              <w:t>As of March 31, 2024</w:t>
            </w: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27"/>
        </w:trPr>
        <w:tc>
          <w:tcPr>
            <w:tcW w:w="2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2"/>
              </w:rPr>
              <w:t>Pro Forma</w:t>
            </w:r>
          </w:p>
        </w:tc>
        <w:tc>
          <w:tcPr>
            <w:tcW w:w="40" w:type="dxa"/>
            <w:vAlign w:val="bottom"/>
          </w:tcPr>
          <w:p>
            <w:pPr>
              <w:spacing w:after="0"/>
              <w:rPr>
                <w:sz w:val="11"/>
                <w:szCs w:val="11"/>
                <w:color w:val="auto"/>
              </w:rPr>
            </w:pPr>
          </w:p>
        </w:tc>
      </w:tr>
      <w:tr>
        <w:trPr>
          <w:trHeight w:val="183"/>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w w:val="93"/>
              </w:rPr>
              <w:t>Actual</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Pro Forma</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As Adjusted</w:t>
            </w:r>
            <w:r>
              <w:rPr>
                <w:rFonts w:ascii="Times New Roman" w:cs="Times New Roman" w:eastAsia="Times New Roman" w:hAnsi="Times New Roman"/>
                <w:sz w:val="14"/>
                <w:szCs w:val="14"/>
                <w:b w:val="1"/>
                <w:bCs w:val="1"/>
                <w:color w:val="auto"/>
                <w:w w:val="89"/>
                <w:vertAlign w:val="superscript"/>
              </w:rPr>
              <w:t>(2)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880" w:type="dxa"/>
            <w:vAlign w:val="bottom"/>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Consolidated Balance Sheet Data:</w:t>
            </w:r>
          </w:p>
        </w:tc>
        <w:tc>
          <w:tcPr>
            <w:tcW w:w="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Cash</w:t>
            </w:r>
          </w:p>
        </w:tc>
        <w:tc>
          <w:tcPr>
            <w:tcW w:w="88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37,154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 xml:space="preserve">$       </w:t>
            </w:r>
          </w:p>
        </w:tc>
        <w:tc>
          <w:tcPr>
            <w:tcW w:w="22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center"/>
              <w:ind w:left="131"/>
              <w:spacing w:after="0"/>
              <w:rPr>
                <w:sz w:val="20"/>
                <w:szCs w:val="20"/>
                <w:color w:val="auto"/>
              </w:rPr>
            </w:pPr>
            <w:r>
              <w:rPr>
                <w:rFonts w:ascii="Times New Roman" w:cs="Times New Roman" w:eastAsia="Times New Roman" w:hAnsi="Times New Roman"/>
                <w:sz w:val="15"/>
                <w:szCs w:val="15"/>
                <w:color w:val="auto"/>
              </w:rPr>
              <w:t xml:space="preserve">$       </w:t>
            </w:r>
          </w:p>
        </w:tc>
        <w:tc>
          <w:tcPr>
            <w:tcW w:w="2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Working capital</w:t>
            </w:r>
            <w:r>
              <w:rPr>
                <w:rFonts w:ascii="Times New Roman" w:cs="Times New Roman" w:eastAsia="Times New Roman" w:hAnsi="Times New Roman"/>
                <w:sz w:val="19"/>
                <w:szCs w:val="19"/>
                <w:color w:val="auto"/>
                <w:vertAlign w:val="superscript"/>
              </w:rPr>
              <w:t>(3)</w:t>
            </w:r>
          </w:p>
        </w:tc>
        <w:tc>
          <w:tcPr>
            <w:tcW w:w="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9,372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88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49,051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51,460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 at fair value</w:t>
            </w:r>
          </w:p>
        </w:tc>
        <w:tc>
          <w:tcPr>
            <w:tcW w:w="88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20,994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convertible preferred stock</w:t>
            </w:r>
          </w:p>
        </w:tc>
        <w:tc>
          <w:tcPr>
            <w:tcW w:w="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​250,086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(deficit) equity</w:t>
            </w:r>
          </w:p>
        </w:tc>
        <w:tc>
          <w:tcPr>
            <w:tcW w:w="88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​(252,495)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bl>
    <w:p>
      <w:pPr>
        <w:spacing w:after="0" w:line="224" w:lineRule="exact"/>
        <w:rPr>
          <w:sz w:val="20"/>
          <w:szCs w:val="20"/>
          <w:color w:val="auto"/>
        </w:rPr>
      </w:pPr>
    </w:p>
    <w:p>
      <w:pPr>
        <w:ind w:left="1480" w:hanging="301"/>
        <w:spacing w:after="0"/>
        <w:tabs>
          <w:tab w:leader="none" w:pos="14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 forma balance sheet data gives effect to (i) the automatic conversion of all outstanding shares of our convertible</w:t>
      </w:r>
    </w:p>
    <w:p>
      <w:pPr>
        <w:spacing w:after="0" w:line="6" w:lineRule="exact"/>
        <w:rPr>
          <w:sz w:val="20"/>
          <w:szCs w:val="20"/>
          <w:color w:val="auto"/>
        </w:rPr>
      </w:pPr>
    </w:p>
    <w:p>
      <w:pPr>
        <w:jc w:val="both"/>
        <w:ind w:left="1480" w:right="1159"/>
        <w:spacing w:after="0" w:line="229" w:lineRule="auto"/>
        <w:rPr>
          <w:sz w:val="20"/>
          <w:szCs w:val="20"/>
          <w:color w:val="auto"/>
        </w:rPr>
      </w:pPr>
      <w:r>
        <w:rPr>
          <w:rFonts w:ascii="Times New Roman" w:cs="Times New Roman" w:eastAsia="Times New Roman" w:hAnsi="Times New Roman"/>
          <w:sz w:val="12"/>
          <w:szCs w:val="12"/>
          <w:color w:val="auto"/>
        </w:rPr>
        <w:t>preferred stock as of March 31, 2024 into an aggregate of shares of our common stock and (ii) the automatic conversion of 116,275,239 shares of Series C Preferred Stock issued after March 31, 2024, including 12,284,686 shares of Series C Preferred Stock issued upon the conversion of all outstanding convertible notes, into an aggregate of             shares of our</w:t>
      </w:r>
    </w:p>
    <w:p>
      <w:pPr>
        <w:spacing w:after="0" w:line="1" w:lineRule="exact"/>
        <w:rPr>
          <w:sz w:val="20"/>
          <w:szCs w:val="20"/>
          <w:color w:val="auto"/>
        </w:rPr>
      </w:pPr>
    </w:p>
    <w:p>
      <w:pPr>
        <w:jc w:val="both"/>
        <w:ind w:left="1480" w:right="1159"/>
        <w:spacing w:after="0" w:line="229" w:lineRule="auto"/>
        <w:rPr>
          <w:sz w:val="20"/>
          <w:szCs w:val="20"/>
          <w:color w:val="auto"/>
        </w:rPr>
      </w:pPr>
      <w:r>
        <w:rPr>
          <w:rFonts w:ascii="Times New Roman" w:cs="Times New Roman" w:eastAsia="Times New Roman" w:hAnsi="Times New Roman"/>
          <w:sz w:val="12"/>
          <w:szCs w:val="12"/>
          <w:color w:val="auto"/>
        </w:rPr>
        <w:t>common stock, in each case, based on an assumed initial public offering price of $ per share, which is the midpoint of the price range set forth on the cover page of this prospectus, upon the completion of this offering and the related reclassification of the carrying value of the convertible preferred stock to permanent equity immediately prior to the completion of this offering and</w:t>
      </w:r>
    </w:p>
    <w:p>
      <w:pPr>
        <w:spacing w:after="0" w:line="1" w:lineRule="exact"/>
        <w:rPr>
          <w:sz w:val="20"/>
          <w:szCs w:val="20"/>
          <w:color w:val="auto"/>
        </w:rPr>
      </w:pPr>
    </w:p>
    <w:p>
      <w:pPr>
        <w:ind w:left="1480" w:right="1179" w:hanging="8"/>
        <w:spacing w:after="0"/>
        <w:tabs>
          <w:tab w:leader="none" w:pos="1682"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and effectiveness of our Restated Charter, which will be effective immediately prior to the completion of this offering.</w:t>
      </w:r>
    </w:p>
    <w:p>
      <w:pPr>
        <w:spacing w:after="0" w:line="179" w:lineRule="exact"/>
        <w:rPr>
          <w:rFonts w:ascii="Times New Roman" w:cs="Times New Roman" w:eastAsia="Times New Roman" w:hAnsi="Times New Roman"/>
          <w:sz w:val="12"/>
          <w:szCs w:val="12"/>
          <w:color w:val="auto"/>
        </w:rPr>
      </w:pPr>
    </w:p>
    <w:p>
      <w:pPr>
        <w:ind w:left="1480" w:hanging="301"/>
        <w:spacing w:after="0"/>
        <w:tabs>
          <w:tab w:leader="none" w:pos="14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 forma as adjusted balance sheet data gives effect to the (i) pro forma adjustments described in footnote (1) above, and</w:t>
      </w:r>
    </w:p>
    <w:p>
      <w:pPr>
        <w:spacing w:after="0" w:line="6" w:lineRule="exact"/>
        <w:rPr>
          <w:sz w:val="20"/>
          <w:szCs w:val="20"/>
          <w:color w:val="auto"/>
        </w:rPr>
      </w:pPr>
    </w:p>
    <w:p>
      <w:pPr>
        <w:jc w:val="both"/>
        <w:ind w:left="1480" w:right="1159"/>
        <w:spacing w:after="0" w:line="233" w:lineRule="auto"/>
        <w:rPr>
          <w:sz w:val="20"/>
          <w:szCs w:val="20"/>
          <w:color w:val="auto"/>
        </w:rPr>
      </w:pPr>
      <w:r>
        <w:rPr>
          <w:rFonts w:ascii="Times New Roman" w:cs="Times New Roman" w:eastAsia="Times New Roman" w:hAnsi="Times New Roman"/>
          <w:sz w:val="12"/>
          <w:szCs w:val="12"/>
          <w:color w:val="auto"/>
        </w:rPr>
        <w:t>(ii) issuance and sale of                    shares of our common stock in this offering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26" w:lineRule="exact"/>
        <w:rPr>
          <w:sz w:val="20"/>
          <w:szCs w:val="20"/>
          <w:color w:val="auto"/>
        </w:rPr>
      </w:pPr>
    </w:p>
    <w:p>
      <w:pPr>
        <w:jc w:val="both"/>
        <w:ind w:left="1480" w:right="1159"/>
        <w:spacing w:after="0" w:line="232" w:lineRule="auto"/>
        <w:rPr>
          <w:sz w:val="20"/>
          <w:szCs w:val="20"/>
          <w:color w:val="auto"/>
        </w:rPr>
      </w:pPr>
      <w:r>
        <w:rPr>
          <w:rFonts w:ascii="Times New Roman" w:cs="Times New Roman" w:eastAsia="Times New Roman" w:hAnsi="Times New Roman"/>
          <w:sz w:val="12"/>
          <w:szCs w:val="12"/>
          <w:color w:val="auto"/>
        </w:rPr>
        <w:t>The pro forma and pro forma as adjusted information discussed above is illustrative only and will change based on the actual initial public offering price and other terms of this offering determined at pricing. Each $1.00 increase or decrease in the assumed initial public offering price of $            per share, which is the midpoint of the price range set forth on the cover page of this prospectus, would increase or decrease, as applicable, the pro forma as adjusted amount of each of cash, working capital, total assets and total stockholders’ (deficit) equity by approximately $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1,000,000 shares in the number of shares offered by us, as set forth on the cover page of this prospectus, would increase or decrease, as applicable, the pro forma as adjusted amount of each of cash, working capital, total assets and total stockholders’ (deficit) equity by approximately $            million, assuming no change in the initial public offering price per share and after deducting estimated underwriting discounts and commissions and estimated offering expenses payable by us.</w:t>
      </w:r>
    </w:p>
    <w:p>
      <w:pPr>
        <w:spacing w:after="0" w:line="38" w:lineRule="exact"/>
        <w:rPr>
          <w:sz w:val="20"/>
          <w:szCs w:val="20"/>
          <w:color w:val="auto"/>
        </w:rPr>
      </w:pPr>
    </w:p>
    <w:p>
      <w:pPr>
        <w:ind w:left="1480" w:right="1159" w:hanging="301"/>
        <w:spacing w:after="0" w:line="250" w:lineRule="auto"/>
        <w:tabs>
          <w:tab w:leader="none" w:pos="1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working capital as current assets less current liabilities. See our unaudited condensed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2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i w:val="1"/>
          <w:iCs w:val="1"/>
          <w:color w:val="auto"/>
        </w:rPr>
        <w:t>Investing in our common stock involves a high degree of risk. Before deciding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audited financial statements and the related notes. The events discussed below may occur and adversely impact our business, financial condition, results of operations and prospects, which may cause the trading price of our common stock to decline, resulting in you losing all or part of your investment.</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Financial Position and Need for Capital</w:t>
      </w:r>
    </w:p>
    <w:p>
      <w:pPr>
        <w:spacing w:after="0" w:line="177"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We are a clinical-stage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a clinical-stage biopharma company with a limited operating history on which to base your investment decision. We have no product candidates approved for commercial sale in any country and have not generated any revenue from sales of products.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have incurred, and will continue to incur, significant expenses related to the clinical development of our product candidates and ongoing operations. Our net losses for the three months ended March 31, 2024 and 2023 were $27.8 million and $19.1 million, respectively. Our net losses for the years ended December 31, 2023 and 2022 were $37.1 million and $119.3 million, respectively. As of March 31, 2024, we had an accumulated deficit of $258.2 million. Substantially all of our operating losses have resulted from expenses incurred in connection with the acquisition and development of our pipeline and from general and administrative costs associated with our operations. We expect to incur significant losses for the foreseeable future, and we expect these losses to increase as we advance the development of our product candidates.</w:t>
      </w:r>
    </w:p>
    <w:p>
      <w:pPr>
        <w:spacing w:after="0" w:line="9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anticipate that our expenses will increase substantially if, and as, we:</w:t>
      </w:r>
    </w:p>
    <w:p>
      <w:pPr>
        <w:spacing w:after="0" w:line="91" w:lineRule="exact"/>
        <w:rPr>
          <w:sz w:val="20"/>
          <w:szCs w:val="20"/>
          <w:color w:val="auto"/>
        </w:rPr>
      </w:pPr>
    </w:p>
    <w:p>
      <w:pPr>
        <w:ind w:left="1600" w:hanging="143"/>
        <w:spacing w:after="0"/>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clinical development of obexelimab and our other programs;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our obexelimab program and our other product candidates through preclinical development and clinical trials;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royalty, milestone or other payments under current, and any future, license or collaboration agreements;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procure the manufacturing of preclinical, clinical and commercial supply of our current or any future product candidates;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marketing regulatory approvals for our current or any future product candidates that successfully complete clinical trials;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commercialize our current or any future product candidates, if approved;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steps toward our goal of being an integrated biopharma company capable of supporting commercial activities, including establishing sales, marketing and distribution infrastructure;</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attract, hire and retain qualified clinical, scientific, operations and management personnel;</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continue to develop, maintain and defend our intellectual property portfolio, including against third-party interference, infringement and other intellectual property claims, if any;</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and maintain operational, financial and information management systems;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attempt to address any competing therapies and market developments;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agreements with contract research organizations (“CROs”) and CMOs;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8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Even if we succeed in commercializing one or more product candidates, we expect to incur substantial expenditures to develop and market additional product candidates. We also may encounter unforeseen expenses, difficulties, complications, delays and other events that adversely affect our business. The size of our future net losses will depend, in part, on the rate that our expenses increase and our ability to generate revenue. Our prior losses and expected future losses have had and will continue to have an adverse effect on our stockholders’ equity and our working capital.</w:t>
      </w:r>
    </w:p>
    <w:p>
      <w:pPr>
        <w:spacing w:after="0" w:line="14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Even if this offering is successful, we will require substantial additional financing to achieve our goals, and failure to obtain additional capital when needed, or on acceptable terms, would cause us to delay, limit, reduce or terminate our product development efforts.</w:t>
      </w:r>
    </w:p>
    <w:p>
      <w:pPr>
        <w:spacing w:after="0" w:line="8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development of biopharmaceutical product candidates, including conducting preclinical studies and clinical trials, is a time-consuming, capital-intensive and uncertain process. Our operations have consumed substantial amounts of cash since inception. We expect our expenses to substantially increase in connection with our ongoing and future activities. If we obtain regulatory approval for obexelimab or other product candidates, we also expect to incur significant commercialization expenses related to manufacturing, marketing, sales and distribution of such products. Because the outcome of any clinical trial or preclinical study is uncertain, we cannot reliably estimate the actual amount of capital necessary to successfully complete the development and commercialization of obexelimab and other product candidates. Furthermore, following the completion of this offering, we expect to incur additional costs associated with operating as a public company.</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of March 31, 2024, we had $37.2 million in cash on hand. In addition, on May 3, 2024, we received $179.0 million of gross proceeds from the sale and issuance of 116,275,239 shares of our Series C Preferred Stock, including 12,284,686 shares of Series C Preferred Stock issued upon the conversion of all outstanding convertible notes. Based upon our current operating plan, we believe that the expected net proceeds from this offering, together with the proceeds received from the sale of our Series C Preferred Stock and our existing cash, will be sufficient to fund our operating expenses and capital expenditure requirements for                                from the date of this prospectus. We have based this estimate on assumptions that may prove to be wrong, and we could exhaust our available capital resources sooner than we expect. We expect to attempt to raise additional cash in advance of exhausting our available capital resources.</w:t>
      </w:r>
    </w:p>
    <w:p>
      <w:pPr>
        <w:spacing w:after="0" w:line="24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will not generate revenue from product sales unless and until we successfully complete clinical development and obtain regulatory approval for a product candidate, and we may not ever generate significant revenue or profits. In addition, upon the completion of this offering, we expect to incur additional costs associated with operating as a public company, including significant legal, accounting, investor relations, and other expenses that we did not incur as a private company. If we obtain regulatory approval for a product candidate and do not enter into a third -party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timing and progress of our ongoing obexelimab clinical studies and other research and development activities associated with the development of other and future product candidates;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scope of preclinical and clinical programs we decide to pursue;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our current research and development programs and to establish new programs;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and successful patient enrollment in, and the initiation and completion of, clinical trials;</w:t>
      </w:r>
    </w:p>
    <w:p>
      <w:pPr>
        <w:spacing w:after="0" w:line="256"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successful completion of clinical trials with safety, tolerability and efficacy profiles that are satisfactory to the Food and Drug Administration (“FDA”), or any comparable foreign regulatory authority;</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receipt and terms of any marketing approvals from applicable regulatory authorities;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new licensing or collaboration arrangements;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future collaborators, if any;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arrangements with third-party manufacturers for the commercial supply of products that receive marketing approval, if any;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and timely delivery of commercial-grade drug formulations that can be used in our planned clinical trials and for commercialization;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maintaining, defending and enforcing patent claims and other intellectual property rights;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hire additional personnel and consultants as our business grows, including additional executive officers and clinical development, regulatory, chemistry, manufacturing and controls, quality and commercial personnel;</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commercializing product candidates, if approved, whether alone or in collaboration with others;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establishing or securing sales and marketing capabilities for our product candidates, if approved;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sufficient market acceptance, coverage and adequate reimbursement from third-party payors and adequate market share and revenue for any approved products;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a continued acceptable safety profile of the product candidates following approval.</w:t>
      </w:r>
    </w:p>
    <w:p>
      <w:pPr>
        <w:spacing w:after="0" w:line="12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expect that our commercial revenue, if any, will initially be derived from sales of obexelimab, which we do not expect to be commercially available for several years, if ever. 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If we are unable to raise sufficient additional capital, we would be forced to curtail our planned operations and the pursuit of our growth strategy.</w:t>
      </w:r>
    </w:p>
    <w:p>
      <w:pPr>
        <w:spacing w:after="0" w:line="155" w:lineRule="exact"/>
        <w:rPr>
          <w:sz w:val="20"/>
          <w:szCs w:val="20"/>
          <w:color w:val="auto"/>
        </w:rPr>
      </w:pPr>
    </w:p>
    <w:p>
      <w:pPr>
        <w:jc w:val="both"/>
        <w:ind w:left="1160" w:right="1179"/>
        <w:spacing w:after="0" w:line="312"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including purchasers of common stock in this offering, imposing restrictions on our operations or require us to relinquish rights to our product candidates.</w:t>
      </w:r>
    </w:p>
    <w:p>
      <w:pPr>
        <w:spacing w:after="0" w:line="5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Until such time, if ever, that we generate substantial product revenue, we expect to finance our cash needs through equity offerings, debt financings or other capital sources, including potential collaborations, licenses and other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27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If we raise additional funds through future collaborations, licenses and other arrangements, we likely would relinquish valuable rights to our potential future revenue streams or product candidates. We also may</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grant licenses on terms that may not be favorable to us or that reduce the value of our common stock. If we are unable to raise additional funds through equity or debt financings or other arrangements when needed, or on acceptable terms, we would be required to delay, limit, reduce or terminate our product development efforts or grant rights to develop and market product candidates that we would otherwise prefer to develop and market ourselves.</w:t>
      </w:r>
    </w:p>
    <w:p>
      <w:pPr>
        <w:spacing w:after="0" w:line="10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Product Candidate Development and Commercialization</w:t>
      </w:r>
    </w:p>
    <w:p>
      <w:pPr>
        <w:spacing w:after="0" w:line="177"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9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face substantial risk of failure with our product candidates and we may fail to receive regulatory approval for any of our product candidates. To obtain the requisite regulatory approvals to commercialize any product candidate, we must demonstrate, through extensive preclinical studies and lengthy, complex and expensive clinical trials, that a product candidate is safe, pure and potent and has a favorable risk-benefit profile.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indication. Differences in trial design between early-stage clinical trials and later-stage clinical trials raise challenges for extrapolating the results of earlier clinical trials to later clinical trials.</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 number of companies in the biopharmaceutical industry have suffered significant setbacks in advanced clinical trials due to lack of efficacy or unfavorable safety profiles, notwithstanding promising results in earlier trials. For example, we are developing obexelimab as a potential treatment for IgG4-RD, MS, SLE and wAIHA. Prior to our acquisition of obexelimab, Xencor, Inc. (“Xencor”) conducted a Phase 2 trial of obexelimab in patients with SLE, where the primary endpoint was not achieved with statistical significance. The results of our clinical trials of obexelimab in SLE or other indications or our clinical trials for any other product candidates may not achieve statistical significance or demonstrate a favorable risk-benefit profile. Further, negative clinical trial results for a product candidate with respect to one indication may impact the potential or perceived potential of other indications. Moreover, clinical data are often susceptible to varying interpretations and analyses, and many companies that have believed their product candidates performed satisfactorily in clinical trials have nonetheless failed to obtain marketing approval of such product candidates.</w:t>
      </w:r>
    </w:p>
    <w:p>
      <w:pPr>
        <w:spacing w:after="0" w:line="28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Commencing any future clinical trials is subject to finalizing the trial design and submitting an application, such as an IND, to the FDA or a comparable foreign regulatory authority. Even after we make our submission, the FDA or comparable foreign regulatory authorities could disagree that we have satisfied their requirements to commence a clinical trial or disagree with our study design, which may require us to complete additional trials or amend our protocols or impose stricter conditions on the commencement of clinical trials. We may be unable to establish clinical endpoints, dose levels and regimens or bioanalytical assay methods that regulatory authorities would consider clinically meaningful.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future product candidates.</w:t>
      </w:r>
    </w:p>
    <w:p>
      <w:pPr>
        <w:spacing w:after="0" w:line="27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expect to continue to rely, in part, on collaborators, CROs and clinical trial sites to conduct our clinical trials, including participant enrollment, and we have limited influence over their performance. We or our collaborators may experience delays in initiating or completing clinical trials and preclinical studies or other issues that delay or prevent our ability to receive marketing approval or commercialize our current and any future product candidates, including:</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require us to conduct additional preclinical studies or impose additional requirements before permitting us to initiate a clinical trial;</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Institutional Review Boards (“IRBs”) or ethics committees may disagree with our study design, may require that we modify or amend our clinical trial protocols, or may not authorize us or our investigators to commence or conduct a clinical trial at a prospective trial site;</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in reaching, or fail to reach, agreement on acceptable terms with trial sites and CROs, the terms of which can be subject to extensive negotiation and may vary significantly;</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investigators or clinical trial sites may deviate from trial protocols or Good Clinical Practice requirements (“GCPs”) or drop out of a trial, and we may need to add new investigators or sites;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CROs may fail to comply with regulatory requirements or meet their contractual obligations to us in a timely manner, if at all;</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participants required for clinical trials may be larger than expected, enrollment in clinical trials may be slower than expected or participants may drop out or fail to return for post-treatment follow-up at a higher rate than expected;</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observe unexpectedly high placebo response rates;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clinical trials and preclinical studies may be greater than we anticipate, or we may have insufficient funds to conduct such trial or study or to pay the substantial user fees required by the FDA upon the submission of a BLA;</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supply or quality of our product candidates or other materials necessary to conduct our clinical trials or preclinical studies may be insufficient or inadequate to initiate or complete a given clinical trial;</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candidates may have undesirable side effects or other unexpected characteristics that are viewed to outweigh their potential benefits;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comparable foreign regulatory authorities, IRBs or independent ethics committees may impose a clinical hold;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reports from clinical testing of other similar therapies may raise safety, tolerability or efficacy concerns about our product candidates; and</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w:t>
      </w:r>
    </w:p>
    <w:p>
      <w:pPr>
        <w:spacing w:after="0" w:line="100"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may encounter delays if a clinical trial is suspended, put on clinical hold or terminated by us, the FDA or comparable foreign regulatory authorities, or the IRBs of the institutions in which such trials are being conducted, or if a clinical trial is recommended for suspension or termination by a data safety monitoring board. Suspensions and terminations are imposed due to a number of factors, including failure to conduct a clinical trial in accordance with regulatory requirements or trial protocols, failure to conduct the trial in accordance with GCPs or applicable regulatory guidelines, failed inspections of clinical trial operations or trial sites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Clinical trials frequently are delayed or terminated as a result of ambiguous or negative interim results or unanticipated adverse events. If trials or tests are not positive or are only modestly positive or if there are safety concerns, we may be required to repeat or conduct additional clinical trials or preclinical studies for our product candidates beyond those that we currently contemplate, we may be delayed in or prevented from obtaining marketing approval or may obtain marketing approval in some countries and not in others, we may obtain approval for indications or patient populations that are not as broad as intended or desired or obtain approval with significant use or distribution restrictions or safety warnings, be subject to post-marketing testing requirements, or be subject to increased pricing pressure.</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Many of the factors that cause, or lead to, a delay in the commencement or completion of clinical trials also ultimately may lead to the denial of regulatory approval of a product candidate.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When we conduct preclinical and clinical research in collaboration with other academic, pharmaceutical and biotechnology entities, we risk additional delays due to the frequent need to align on decisions.</w:t>
      </w:r>
    </w:p>
    <w:p>
      <w:pPr>
        <w:spacing w:after="0" w:line="26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product development costs have increased, and may continue to increase, when we experience delays in clinical testing. Our clinical trials may not begin when expected, may require restructuring or may not be completed on schedule, or at all. Significant clinical trial delays also shorten any periods during which we may have the exclusive right to commercialize our product candidates and may allow our competitors to bring products to market before we do, potentially impairing our ability to successfully manufacture and commercialize our product candidates, if approved. Delays and increased costs in our clinical development programs would harm our business, financial condition, results of operations and prospects.</w:t>
      </w:r>
    </w:p>
    <w:p>
      <w:pPr>
        <w:spacing w:after="0" w:line="316"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Delays or difficulties in the enrollment and dosing of patients in clinical trials, delay or prevent receipt of necessary regulatory approvals.</w:t>
      </w:r>
    </w:p>
    <w:p>
      <w:pPr>
        <w:spacing w:after="0" w:line="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Rare or orphan diseases like IgG4-RD pose additional risk due to the difficulty identifying study subjects and ensuring each participant’s disease state meets the study parameters. Further, because screening for many of these diseases is not widely adopted, and because it can be difficult to diagnose these diseases in the absence of screening, it can be difficult to find patients who are eligible to participate in our studies or trials.</w:t>
      </w:r>
    </w:p>
    <w:p>
      <w:pPr>
        <w:spacing w:after="0" w:line="10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addition, our clinical trials currently, and may in the future, compete with other clinical trials for product candidates that address the same disease as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w:t>
      </w:r>
    </w:p>
    <w:p>
      <w:pPr>
        <w:spacing w:after="0" w:line="8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spacing w:after="0" w:line="10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experienced participant withdrawals or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Difficulties enrolling a sufficient number of patients to conduct our clinical trials as planned require us to delay, limit or terminate clinical trials for our product candidates, or expand to additional jurisdictions, which could impose additional challenges on our company. Failure to successfully conduct our clinical trials as planned, it would have an adverse effect on our business, financial condition, results of operations and prospects.</w:t>
      </w:r>
    </w:p>
    <w:p>
      <w:pPr>
        <w:spacing w:after="0" w:line="145"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8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 We have observed certain adverse events (“AEs”) and serious adverse events (“SAEs”) in our clinical trials of obexelimab administered through IV infusion.</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Ongoing clinical trials of obexelimab in IgG4-RD and wAIHA are administered through SC injection and our planned trials of obexelimab in MS and SLE will be administered through SC injection. In the Phase 1 pharmacokinetic (“PK”) and relative bioavailability study of obexelimab administered either intravenously or subcutaneously, the most common related treatment emergent adverse events (“TEAEs”) across all SC dose regimens were headache and injection site reactions. GI-related events seen with IV infusions were not observed in subjects who received SC formulation, but future studies may reveal similar issues.</w:t>
      </w:r>
    </w:p>
    <w:p>
      <w:pPr>
        <w:spacing w:after="0" w:line="26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While we believe that obexelimab has the potential to offer benefits, including in regard to its side-effect profile, over B cell depleting agents, if obexelimab is shown to have adverse events, side effects or other safety or tolerability concerns, then our opportunity to disrupt the current standard of care will be limited. AEs and SAEs may be deemed to be related to our product candidates. Such a determination may require longer and more extensive clinical development, or regulatory authorities may increase the amount of data and information required to approve, market or maintain approval of our product candidates.</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marketing approval, undesirable side effects may inhibit market acceptance.</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Even if we successfully develop a product candidate and it receives marketing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obtain marketing approval for, several potentially significant negative consequences could result, including:</w:t>
      </w:r>
    </w:p>
    <w:p>
      <w:pPr>
        <w:spacing w:after="0" w:line="77" w:lineRule="exact"/>
        <w:rPr>
          <w:sz w:val="20"/>
          <w:szCs w:val="20"/>
          <w:color w:val="auto"/>
        </w:rPr>
      </w:pPr>
    </w:p>
    <w:p>
      <w:pPr>
        <w:ind w:left="1600" w:right="1179" w:hanging="143"/>
        <w:spacing w:after="0" w:line="269" w:lineRule="auto"/>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limit, suspend or withdraw approvals of such product, or may refuse to approve supplemental applications for such product;</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require additional warnings on the label, such as a “Boxed Warning,” contraindications or precautions, or otherwise limit the approved use of such product;</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impose additional restrictions on the marketing of, or the manufacturing processes for, the particular product, including requiring a REMS;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recall the product or change the way it is administered in patients;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conduct additional clinical trials;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decide to remove such product from the market;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be sued and held liable for harm caused to patients;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reputation may suffer.</w:t>
      </w:r>
    </w:p>
    <w:p>
      <w:pPr>
        <w:spacing w:after="0" w:line="113"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w:t>
      </w:r>
    </w:p>
    <w:p>
      <w:pPr>
        <w:spacing w:after="0" w:line="15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Risks associated with the in-licensing or acquisition of product candidates could cause substantial delays in the preclinical and clinical development of our product candidates.</w:t>
      </w:r>
    </w:p>
    <w:p>
      <w:pPr>
        <w:spacing w:after="0" w:line="7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have relied on, and continue to rely  on, our licensing  partners, such as Xencor,  to have</w:t>
      </w:r>
    </w:p>
    <w:p>
      <w:pPr>
        <w:spacing w:after="0" w:line="18" w:lineRule="exact"/>
        <w:rPr>
          <w:sz w:val="20"/>
          <w:szCs w:val="20"/>
          <w:color w:val="auto"/>
        </w:rPr>
      </w:pPr>
    </w:p>
    <w:p>
      <w:pPr>
        <w:jc w:val="both"/>
        <w:ind w:left="1160" w:right="1179" w:firstLine="4"/>
        <w:spacing w:after="0" w:line="245" w:lineRule="auto"/>
        <w:tabs>
          <w:tab w:leader="none" w:pos="1364"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conducted research and development in accordance with the applicable protocol, legal, regulatory and scientific standards, (ii) accurately reported the results of all clinical trials conducted prior to our acquisition of the relevant product candidates and (iii) correctly collected and interpreted the data from these trials. If the research and development processes or the results of the development programs prior to our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10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“—Risks Related to Our Intellectual Property—We may not obtain or maintain necessary rights to our product candidates through acquisitions and in-licenses” for additional information regarding such risks.</w:t>
      </w:r>
    </w:p>
    <w:p>
      <w:pPr>
        <w:spacing w:after="0" w:line="329" w:lineRule="exact"/>
        <w:rPr>
          <w:sz w:val="20"/>
          <w:szCs w:val="20"/>
          <w:color w:val="auto"/>
        </w:rPr>
      </w:pPr>
    </w:p>
    <w:p>
      <w:pPr>
        <w:jc w:val="both"/>
        <w:ind w:left="1160" w:right="1179"/>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7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93"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27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scientific and management personnel and establishing clinical trial sites and patient registration for clinical trials, as well as in acquiring technologies complementary to, or necessary for, our programs.</w:t>
      </w:r>
    </w:p>
    <w:p>
      <w:pPr>
        <w:spacing w:after="0" w:line="7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current product candidates, initially under development for treatment of various I&amp;I indications would, if approved, face competition from existing approved immunological treatments, many of which have achieved commercial success. For example, we are currently developing obexelimab for the treatment of IgG4-RD, MS, SLE and wAIHA. There are currently no approved therapies for IgG4-RD or wAIHA, but there are two products approved for SLE, and a number of products approved for MS. Moreover, there are a number of product candidates in clinical development by other companies for IgG4-RD, MS, SLE and wAIHA which may become available in the future. See the section titled “—Business—Competition” for additional information.</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99"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w:t>
      </w:r>
    </w:p>
    <w:p>
      <w:pPr>
        <w:spacing w:after="0" w:line="319"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93"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If the interim, top- 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 after the completion of this offering.</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ongoing Phase 3 clinical trial of obexelimab for IgG4-RD and other clinical trials of obexelimab, even if successfully completed, may not be sufficient for approval of obexelimab for the applicable indication.</w:t>
      </w:r>
    </w:p>
    <w:p>
      <w:pPr>
        <w:spacing w:after="0" w:line="70"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FDA approval of a new biologic generally requires data from two well-controlled Phase 3 clinical trials of the relevant biologic in the relevant patient population; however, in some cases the FDA may accept data from a single Phase 3 clinical trial to support marketing approval. We are conducting a Phase 3 trial of obexelimab for IgG4-RD, and we believe the results of this trial may be sufficient to support submission of a BLA for this indication. Although we have discussed our plans with the FDA, we do not have any agreement from the FDA that our regulatory development plans will provide adequate safety and efficacy data for the proposed dosing regimen or otherwise be sufficient for submission of a BLA. The FDA may require that we conduct additional clinical trials, including a comparative trial against an approved therapy, which would significantly delay our development timelines and require substantially more resources. If we are required to conduct two Phase 3 clinical trials for IgG4-RD, then our development timeline would be extended, and the related expenses would be significantly increased.</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Although obexelimab has been granted orphan drug designation by the FDA for IgG4 -RD, such designation does not guarantee that any regulatory authority will accept fewer trials, accelerate regulatory review of, or ultimately approve obexelimab for IgG4-RD.</w:t>
      </w:r>
    </w:p>
    <w:p>
      <w:pPr>
        <w:spacing w:after="0" w:line="8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If the FDA does not agree with our planned strategy, the FDA may ultimately require us to conduct additional Phase 3 clinical trials prior to approval of an indication. In addition, the standard of care may change with the approval of new products in the same indications that we are studying. This may result in the FDA or other regulatory authorities requesting additional studies to show that our product candidate is superior to the new products.</w:t>
      </w:r>
    </w:p>
    <w:p>
      <w:pPr>
        <w:spacing w:after="0" w:line="14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not realize the benefits of our current or future collaborations or licensing arrangements and may be unsuccessful in consummating future partnerships.</w:t>
      </w:r>
    </w:p>
    <w:p>
      <w:pPr>
        <w:spacing w:after="0" w:line="5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current or future collaborations or licensing arrangements may not be successful. Additionally, we intend to partner with third parties with respect to the clinical development and commercialization, if approved, of certain of our programs in certain regions outside the United States and Europe, and we may not be successful in identifying, negotiating and executing partnerships. The success of our collaboration arrangements will depend heavily on the efforts and activities of our collaborators. Collaborations are subject to numerous risks, which may include that:</w:t>
      </w:r>
    </w:p>
    <w:p>
      <w:pPr>
        <w:spacing w:after="0" w:line="64" w:lineRule="exact"/>
        <w:rPr>
          <w:sz w:val="20"/>
          <w:szCs w:val="20"/>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have significant discretion in determining the efforts and resources that they will apply to collaborations;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agreements with collaborators may not provide exclusive rights to use their intellectual property and technology in all relevant fields of use and in all territories in which we may wish to develop or commercialize our technology and product candidates in the future;</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could independently develop, or develop with third parties, products that compete directly or indirectly with our product candidates;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with marketing, manufacturing and distribution rights to one or more products may not commit sufficient resources to or otherwise not perform satisfactorily in carrying out these activities;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grant exclusive rights to our collaborators that would prevent us from collaborating with others;</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7"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disputes may arise between us and a collaborator that cause the delay or termination of the research, development or commercialization of our future product candidates or that result in costly litigation or arbitration that diverts management attention and resources;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collaborations may be terminated, and, if terminated, may result in a need for additional capital to pursue further development or commercialization of the applicable future product candidates;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collaborator’s sales and marketing activities or other operations may not be in compliance with applicable laws resulting in civil or criminal proceedings.</w:t>
      </w:r>
    </w:p>
    <w:p>
      <w:pPr>
        <w:spacing w:after="0" w:line="137"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Even if we complete the necessary clinical trials, we cannot predict when, or if, we will obtain regulatory approval to commercialize any product candidate in the United States or any other jurisdiction, and any such approval may be for a more narrow indication than we seek.</w:t>
      </w:r>
    </w:p>
    <w:p>
      <w:pPr>
        <w:spacing w:after="0" w:line="8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cannot commercialize a product candidate unless and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9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Regulatory authorities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Any of the foregoing scenarios could materially harm the commercial prospects for our product candidates and adversely affect our business, financial condition, results of operations, and prospects.</w:t>
      </w:r>
    </w:p>
    <w:p>
      <w:pPr>
        <w:spacing w:after="0" w:line="9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clinical trial results may not support approval and our product candidates could fail to receive regulatory approval for many reasons, including the following:</w:t>
      </w:r>
    </w:p>
    <w:p>
      <w:pPr>
        <w:spacing w:after="0" w:line="52" w:lineRule="exact"/>
        <w:rPr>
          <w:sz w:val="20"/>
          <w:szCs w:val="20"/>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disagree with the design or implementation of our clinical trials;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demonstrate to the satisfaction of the FDA or comparable foreign regulatory authorities that our product candidates are safe and effective for any of their proposed indications;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demonstrate that our product candidates’ clinical and other benefits outweigh their safety risks;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disagree with our interpretation of data from preclinical studies or clinical trials;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U.S. or elsewhere;</w:t>
      </w:r>
    </w:p>
    <w:p>
      <w:pPr>
        <w:spacing w:after="0" w:line="55"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not approve our CMOs’ manufacturing process or facilities;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may not accept clinical data from trials conducted by individual investigators or in countries where the standard of care is potentially different from the U.S.;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approval policies or regulations of the FDA or comparable foreign regulatory authorities may significantly change in a manner rendering our clinical data insufficient for approval.</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Regulatory approval for our product candidates may not be obtained without lengthy delays, if at all. Any delay in obtaining, or inability to obtain, applicable regulatory approvals would prevent us from commercializing our product candidates.</w:t>
      </w:r>
    </w:p>
    <w:p>
      <w:pPr>
        <w:spacing w:after="0" w:line="14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Because we have limited financial and managerial resources, we focus our development efforts on certain selected product candidates in certain selected indications. For example, we are initially focused on our lead product candidate, obexelimab, for the treatment of IgG4-RD, MS, SLE and wAIHA. As a result, we may forgo or delay pursuit of opportunities with other product candidates or other indications for our existing product candidates that later prove to have greater commercial potential. 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59"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are currently conducting, and may in the future conduct, clinical trials for current or future product candidates outside the United States, and the FDA and comparable foreign regulatory authorities may not accept data from such trials.</w:t>
      </w:r>
    </w:p>
    <w:p>
      <w:pPr>
        <w:spacing w:after="0" w:line="8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currently conducting clinical trials outside the United States, including in Europe and Asia, and we expect to continue to conduct trials internationally in the future. The acceptance of data from clinical trials conducted outside the United States by the FDA or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unless the data are applicable to the United States population and United States medical practice, the trials were performed by clinical investigators of recognized competence and pursuant to GCP regulations and the FDA is able to validate the data through an on-site inspection or other appropriate means. Additionally, the FDA’s clinical trial requirements, including sufficient size of patient populations and statistical powering, must be met. Many comparable foreign regulatory authorities have similar approval requirements. In addition, foreign trials are subject to local laws of the foreign jurisdictions where the trials are conducted. The FDA or any comparable foreign regulatory authority may not accept data from trials conducted outside of the United States or the applicable jurisdiction, which would result in the need for additional trials that could be costly and time-consuming and could result in the product candidate not receiving approval for commercialization in the applicable jurisdiction.</w:t>
      </w:r>
    </w:p>
    <w:p>
      <w:pPr>
        <w:spacing w:after="0" w:line="15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Even if we receive marketing approval for our current or future product candidates in the United States, we may never receive regulatory approval to market outside of the United States.</w:t>
      </w:r>
    </w:p>
    <w:p>
      <w:pPr>
        <w:spacing w:after="0" w:line="8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plan to seek regulatory approval of our current or future product candidates outside of the United States. In order to market any product outside of the United States we must establish and comply with the numerous and varying safety, efficacy and other regulatory requirements of other applicable jurisdictions. Marketing approval processes vary among countries but generally implicate all of the risks detailed above regarding FDA approval in the United States as well as other risks. The time required to obtain approvals in other countries might differ substantially from that required to obtain FDA approval and can require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additional product candidate testing and additional administrative review periods.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and would impair our ability to market our current or future product candidates in such foreign markets. Any such impairment would limit the commercial potential of the product candidate, which could adversely affect our business, financial condition, results of operations and prospects.</w:t>
      </w:r>
    </w:p>
    <w:p>
      <w:pPr>
        <w:spacing w:after="0" w:line="15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The successful commercialization of our product candidates, if approved, will depend in part on the extent to which governmental authorities and other third party payors establish broad coverage, adequate reimbursement levels and favorable pricing for our products. Failure to obtain or maintain coverage and adequate reimbursement for any approved products could limit our ability to market those products and would decrease our ability to generate revenue.</w:t>
      </w:r>
    </w:p>
    <w:p>
      <w:pPr>
        <w:spacing w:after="0" w:line="9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availability of coverage and the adequacy of reimbursement by governmental healthcare authorities or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approved products by third-party payors will affect our ability to successfully commercialize those products. No uniform policy for coverage and reimbursement for products exists among third-party payors in the United States. Therefore, coverage and reimbursement for products can differ significantly from payor to payor. Even if we obtain coverage for a given product by a third-party payor, the reimbursement payment rates may not be adequate or may require co-payments that patients find unacceptably high. Coverage and adequate reimbursement in the United States or elsewhere may not be available for any product that we may develop, and any coverage or reimbursement that may be obtained could be reduced or eliminated in the future.</w:t>
      </w:r>
    </w:p>
    <w:p>
      <w:pPr>
        <w:spacing w:after="0" w:line="28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 party payors may not provide or may limit coverage, including to a subset of the patient population for which the treatment is approved by the FDA, or may control utilization including by requiring that patients try other therapies first or that prescribers obtain specific approval of coverage on a patient by patient basis. Many third-party payors refuse to provide coverage and reimbursement for particular drugs when equivalent generic drugs, biosimilars or less expensive therapies are available. A third-party payor may consider our product candidates, if approved, as substitutes for alternative products on the market now or in the future and only be willing to cover the cost of the alternative product.</w:t>
      </w:r>
    </w:p>
    <w:p>
      <w:pPr>
        <w:spacing w:after="0" w:line="268"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Third-party payors increasingly are challenging prices charged for biopharmaceutical products and services. Even if we show improved efficacy, safety or convenience of administration with obexelimab or any of our other product candidates, pricing of competitive products may limit the amount we will be able to charge for any of our product candidates, if approved. Third-party payors may deny or revoke the reimbursement status of a product or establish payment for new or existing marketed products at levels that are too low to enable us to realize an appropriate return on our investment in our product candidates. When new competitor generic and biosimilar products enter the market, pricing or reimbursement for the innovator compound may be reduced. More generally, the existence of generic and biosimilar products or other therapeutic alternatives within a “therapeutic category” may result in reduced reimbursement from payors. Additionally, new competitor brand drugs can trigger therapeutic category reviews in the interest of modifying coverage and/or reimbursement levels. We may be required to provide discounts or rebates under government healthcare programs or to certain government and private purchasers in order to obtain coverage under federal healthcare programs such as Medicaid. More generally, we may need to offer price concessions to third party payors to obtain favorable coverage or to purchasers to achieve sales. Such actions could have a negative impact on our ability to successfully commercialize any of our product candidates, if approved. Additionally, if a companion diagnostic test is developed for use with a drug product, any coverage and reimbursement for that test would be separate and apart from the coverage and reimbursement sought for such product. A lack of coverage or adequate reimbursement for such a test could adversely affect access to a drug product.</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Outside the United States, international operations are generally subject to extensive governmental price controls and other market regulations, and we believe the increasing emphasis on cost -containment initiatives in Europe and other countries has and will continue to put pressure on the pricing and usage of products like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United States, the reimbursement for our product candidates may be lower than in the United States and may be insufficient to generate meaningful revenue and profits.</w:t>
      </w:r>
    </w:p>
    <w:p>
      <w:pPr>
        <w:spacing w:after="0" w:line="24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if approved. We expect to experience pricing pressures for any of our product candidates that may be approved due to the continuing trend toward managed healthcare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3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obtain or maintain orphan drug designations for certain of our product candidates, and we may be unable to maintain the benefits associated with orphan drug designation, including the potential for market exclusivity.</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Regulatory authorities in some jurisdictions, including the United States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The FDA has granted orphan drug designation to obexelimab for IgG4-RD and we plan to seek orphan drug designation for obexelimab for AIHA, which will include wAIHA. We may not be able to obtain orphan drug designation for any additional indications for our product candidates, and we may not be able to maintain such designations if granted.</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maintain orphan drug designation for IgG4-RD or obtain orphan drug exclusivity for obexelimab in wAIHA or any other product candidate,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w:t>
      </w:r>
    </w:p>
    <w:p>
      <w:pPr>
        <w:spacing w:after="0" w:line="2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The decision of the U.S. Court of Appeals for the 11th Circuit in </w:t>
      </w:r>
      <w:r>
        <w:rPr>
          <w:rFonts w:ascii="Times New Roman" w:cs="Times New Roman" w:eastAsia="Times New Roman" w:hAnsi="Times New Roman"/>
          <w:sz w:val="15"/>
          <w:szCs w:val="15"/>
          <w:i w:val="1"/>
          <w:iCs w:val="1"/>
          <w:color w:val="auto"/>
        </w:rPr>
        <w:t>Catalyst Pharms., Inc. v. Becerra</w:t>
      </w:r>
      <w:r>
        <w:rPr>
          <w:rFonts w:ascii="Times New Roman" w:cs="Times New Roman" w:eastAsia="Times New Roman" w:hAnsi="Times New Roman"/>
          <w:sz w:val="15"/>
          <w:szCs w:val="15"/>
          <w:color w:val="auto"/>
        </w:rPr>
        <w:t>, 14 F.4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1299 (11 </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Cir. 2021) has created uncertainty regarding the scope of orphan drug exclusivity. Although the FDA subsequently announced that it intends to continue to apply its longstanding interpretation of the regulations to matters outside of the scope of the </w:t>
      </w:r>
      <w:r>
        <w:rPr>
          <w:rFonts w:ascii="Times New Roman" w:cs="Times New Roman" w:eastAsia="Times New Roman" w:hAnsi="Times New Roman"/>
          <w:sz w:val="15"/>
          <w:szCs w:val="15"/>
          <w:i w:val="1"/>
          <w:iCs w:val="1"/>
          <w:color w:val="auto"/>
        </w:rPr>
        <w:t>Catalyst</w:t>
      </w:r>
      <w:r>
        <w:rPr>
          <w:rFonts w:ascii="Times New Roman" w:cs="Times New Roman" w:eastAsia="Times New Roman" w:hAnsi="Times New Roman"/>
          <w:sz w:val="15"/>
          <w:szCs w:val="15"/>
          <w:color w:val="auto"/>
        </w:rPr>
        <w:t xml:space="preserve"> order and continue tying the scope of orphan- drug exclusivity to the uses or indications for which a drug is approved, it is unclear how future litigation, legislation, agency decisions, and administrative actions will impact the scope of the orphan drug exclusivity.</w:t>
      </w:r>
    </w:p>
    <w:p>
      <w:pPr>
        <w:spacing w:after="0" w:line="245"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p>
    <w:p>
      <w:pPr>
        <w:spacing w:after="0" w:line="9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FDA has established various designations to facilitate more rapid and efficient development and approval of certain types of drugs intended to treat serious conditions that fill an unmet medical need. Such</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designations include fast track designation, breakthrough therapy designation, and priority review designation. We intend to seek priority review designation for obexelimab for IgG4-RD. The FDA has broad discretion whether or not to grant this designation, so even if we believe a particular product candidate is eligible for this designation, we cannot assure you that the FDA would decide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w:t>
      </w:r>
    </w:p>
    <w:p>
      <w:pPr>
        <w:spacing w:after="0" w:line="16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seek accelerated approval for some of our product candidates but may not be able to obtain it as the sufficiency of our clinical trial results for accelerated approval are subject to the FDA’s discretion.</w:t>
      </w:r>
    </w:p>
    <w:p>
      <w:pPr>
        <w:spacing w:after="0" w:line="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accelerated approval.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Business and Operations</w:t>
      </w:r>
    </w:p>
    <w:p>
      <w:pPr>
        <w:spacing w:after="0" w:line="17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business depends entirely on the success of our product candidates, and we may fail to successfully develop, receive regulatory approval for, or successfully commercialize any or all of our product candidates.</w:t>
      </w:r>
    </w:p>
    <w:p>
      <w:pPr>
        <w:spacing w:after="0" w:line="8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do not have any products approved for commercial sale. We have invested substantially all of our efforts and financial resources in the development of our product candidates, each of which is still in clinical development, and we expect that we will continue to invest heavily in these product candidates and any future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w:t>
      </w:r>
    </w:p>
    <w:p>
      <w:pPr>
        <w:spacing w:after="0" w:line="26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(see “—Risks Related to Product Candidate Development and Commercialization— Clinical development is lengthy and expensive, characterized by uncertain outcomes, with results of earlier studies and trials often failing to predict future trial results. We may incur additional costs or experience delays in completing, or fail to complete, the development and commercialization of our current product candidates or any future product candidates.”). Our product candidates are susceptible to the risks of failure inherent at any stage of product development, including the appearance of unexpected AEs or failure to achieve primary endpoints in clinical trials.</w:t>
      </w:r>
    </w:p>
    <w:p>
      <w:pPr>
        <w:spacing w:after="0" w:line="10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United States or elsewhere in the foreseeable future, or at all.</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have never submitted a BLA for our product candidates to the FDA, or a similar marketing application to a comparable foreign regulatory authority, and our current or any future product candidates may not be successful in clinical trials or receive regulatory approval.</w:t>
      </w:r>
    </w:p>
    <w:p>
      <w:pPr>
        <w:spacing w:after="0" w:line="8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If approved for marketing by applicable regulatory authorities, our ability to generate revenue from our product candidates will depend on our ability to:</w:t>
      </w:r>
    </w:p>
    <w:p>
      <w:pPr>
        <w:spacing w:after="0" w:line="52" w:lineRule="exact"/>
        <w:rPr>
          <w:sz w:val="20"/>
          <w:szCs w:val="20"/>
          <w:color w:val="auto"/>
        </w:rPr>
      </w:pPr>
    </w:p>
    <w:p>
      <w:pPr>
        <w:jc w:val="both"/>
        <w:ind w:left="1600" w:right="1179" w:hanging="143"/>
        <w:spacing w:after="0" w:line="257"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 regulatory approval for the targeted patient populations and claims that are necessary or desirable for successful marketing and maintain an acceptable safety profile for the products following approval;</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 our products competitively such that third-party and government reimbursement permits broad product adoption;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and maintain healthcare coverage and adequate reimbursement;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 market acceptance of our products by patients, the medical community and third-party payors;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demonstrate the superiority of our products compared to the standard of care, as well as other therapies in development;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market demand for our product candidates through our own marketing and sales activities or any co-promotion or other arrangements that we may otherwise establish;</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manufacture product candidates through CMOs in sufficient quantities and at acceptable quality and cost to meet commercial demand at launch and thereafter;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sales and marketing capabilities, whether alone or through a collaboration, to support commercialization of our product candidates;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and maintain agreements with wholesalers, distributors, pharmacies and group purchasing organizations on commercially reasonable terms;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maintain, protect and enforce patent and other intellectual property protection and regulatory exclusivity for our products;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compliance with applicable laws, regulations and guidance including interactions with healthcare professionals, patient advocacy groups and communication of healthcare economic information to payors and formularies;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a distribution and logistics network capable of product storage within our specifications and regulatory guidelines, and capable of timely product delivery;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assure that our product will be used as directed and that additional unexpected safety risks will not arise.</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Any significant delays in obtaining approval for or inability to successfully commercialize our product candidates would adversely affect our business, financial condition, results of operations and prospects.</w:t>
      </w:r>
    </w:p>
    <w:p>
      <w:pPr>
        <w:spacing w:after="0" w:line="13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success depends in part on our continued ability to attract, retain and motivate highly qualified management, clinical and scientific personnel. We are highly dependent upon our Founder and Chief Executive Officer, Leon O. Moulder, Jr. We are also dependent on our President and Chief Operating Officer, Joseph Farmer, Chief Business Officer and Chief Financial Officer, Jennifer Fox, Head of Research and Development and Chief Medical Officer, Tanya Z. Fischer and other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not currently maintain “key person” life insurance on the lives of our executives or any of our employees. This lack of insurance means that we may not have adequate compensation for the loss of the services of these individuals.</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Boston area. If we are not able to attract, integrate, retain and motivate personnel necessary to accomplish our business objectives, we may experience constraints that significantly impede the achievement of our development objectives, our ability to raise additional capital and our ability to implement our business strategy.</w:t>
      </w:r>
    </w:p>
    <w:p>
      <w:pPr>
        <w:spacing w:after="0" w:line="30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will need to grow our organization, and we may experience difficulties in managing our growth and expanding our operations, which could adversely affect our business.</w:t>
      </w:r>
    </w:p>
    <w:p>
      <w:pPr>
        <w:spacing w:after="0" w:line="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As of May 15, 2024, we had 107 full-time employees. As our development and commercialization plans and strategies develop, and as we transition into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w:t>
      </w:r>
    </w:p>
    <w:p>
      <w:pPr>
        <w:spacing w:after="0" w:line="14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9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Our product candidates are biopharmaceuticals and the process of manufacturing biopharmaceuticals is complex, time-consuming,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marketing approval.</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study subjects in clinical trials and products to patients, if approved.</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Any delay or interruption in clinical trial supplies will likely delay the completion of planned clinical trials, increases the costs associated with maintaining clinical trial programs and, depending upon the period of delay, could require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future product candidates to perform differently or affect the results of our future clinical trials. In some circumstances, changes in the manufacturing process require us to perform ex vivo comparability studies and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8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Revenue from our product candidates, if approved, will be limited if the product does not achieve broad market acceptance.</w:t>
      </w:r>
    </w:p>
    <w:p>
      <w:pPr>
        <w:spacing w:after="0" w:line="8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9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degree of market acceptance of any of our product candidates will depend on a number of factors, some of which are beyond our control, including:</w:t>
      </w:r>
    </w:p>
    <w:p>
      <w:pPr>
        <w:spacing w:after="0" w:line="53" w:lineRule="exact"/>
        <w:rPr>
          <w:sz w:val="20"/>
          <w:szCs w:val="20"/>
          <w:color w:val="auto"/>
        </w:rPr>
      </w:pPr>
    </w:p>
    <w:p>
      <w:pPr>
        <w:ind w:left="1600" w:hanging="143"/>
        <w:spacing w:after="0"/>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safety, efficacy, tolerability and ease of administration of our product candidates;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prevalence and severity of side effects and AEs associated with our product candidates, and how the safety and tolerability profile of our product candidates compares to those of existing or emerging therapies;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clinical indications for which the products are approved and the approved claims that we may make for the products;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or warnings contained in the product’s FDA-approved labeling, including potential limitations or warnings that may be more restrictive than competitive products;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 and use restrictions imposed by the FDA with respect to such product candidates or to which we agree as part of a mandatory REMS or voluntary risk management plan;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standard of care for the targeted indications for such product candidates;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treatment as compared to the clinical benefit in relation to alternative treatments or therapies;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adequate coverage and reimbursement by third parties, such as insurance companies and other healthcare payors, and by government healthcare programs, including Medicare and Medicaid;</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and strength of our marketing and distribution of such product candidates;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safety, efficacy and other potential advantages of, and availability of, alternative treatments already used or that may later be approved for any of our intended indications;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market introduction of such product candidates, as well as competitive products;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reluctance of physicians to switch their patients’ current standard of care;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reluctance of patients to switch from their existing therapy regardless of the safety and efficacy of newer products;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offer such product candidates for sale at competitive prices;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and strength of our third-party manufacturer and supplier support;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publicity about our product or favorable publicity about competitive products;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product liability claims.</w:t>
      </w:r>
    </w:p>
    <w:p>
      <w:pPr>
        <w:spacing w:after="0" w:line="12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5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p>
    <w:p>
      <w:pPr>
        <w:spacing w:after="0" w:line="83"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145"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The estimates of commercial opportunities for product candidates and forecasts of market growth included in this prospectus may prove to be smaller than we believe, and even if the markets in which we compete achieve the forecasted growth, our business may not grow at similar rates, or at all.</w:t>
      </w:r>
    </w:p>
    <w:p>
      <w:pPr>
        <w:spacing w:after="0" w:line="8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intend to initially focus our product candidate development on treatments for various I&amp;I indications. Our projections of addressable patient populations within any particular disease state that may benefit from treatment with our product candidates are based on our estimates.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For example, IgG4- 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w:t>
      </w:r>
    </w:p>
    <w:p>
      <w:pPr>
        <w:spacing w:after="0" w:line="30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future growth may depend, in part, on our ability to operate in foreign markets, where we would be subject to additional regulatory burdens and other risks and uncertainties.</w:t>
      </w:r>
    </w:p>
    <w:p>
      <w:pPr>
        <w:spacing w:after="0" w:line="7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future growth may depend, in part, on our ability to develop and commercialize our product candidates in foreign markets, including in the European Union (“EU”), United Kingdom (“UK”), Japan and China for which we may rely on collaboration with third parties. We are not permitted to market or promote any of our product candidates before we receive regulatory approval from the applicable regulatory authority in that foreign market, and we may not obtain foreign regulatory approvals on a timely basis, if at all. To obtain separate regulatory approval in other countries, we must comply with numerous and varying regulatory requirements of such countries regarding safety and efficacy and governing, among other things, clinical trials and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54"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Strategic transactions could impact our liquidity, increase our expenses and present significant distractions to our management.</w:t>
      </w:r>
    </w:p>
    <w:p>
      <w:pPr>
        <w:spacing w:after="0" w:line="7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As a core part of our strategy, we intend to enter into strategic transactions, which could include acquisitions of companies, asset purchases and in-licensing and out-licensing of intellectual property. For example, we in-licensed the exclusive global rights to develop and commercialize obexelimab, ZB002 and</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ZB004 from Xencor, and, in August 2023, we entered into a strategic license and collaboration with Bristol Myers Squibb (“BMS”), pursuant to which we granted the exclusive rights to develop and, if approved, commercialize obexelimab in Japan, South Korea, Taiwan, Hong Kong, Singapore and Australia. The expected synergies in development programs, pipelines and other areas of focus between Zenas, Xencor and BMS may not be realized on a timely basis or at all, and there may be risks associated with the acquisition that we did not previously anticipate, such as unanticipated liabilities.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Recent and future changes to tax laws could adversely affect our company.</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adversely affect our company. For example, the Tax Cuts and Jobs Act, the Coronavirus Aid, Relief, and Economic Security Act, and the Inflation Reduction Act of 2022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w:t>
      </w:r>
    </w:p>
    <w:p>
      <w:pPr>
        <w:spacing w:after="0" w:line="164"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b w:val="1"/>
          <w:bCs w:val="1"/>
          <w:i w:val="1"/>
          <w:iCs w:val="1"/>
          <w:color w:val="auto"/>
        </w:rPr>
        <w:t>If our internal information technology systems, or those used by our CROs, CMOs, clinical sites or other contractors or consultants,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our business and other adverse consequences.</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8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internal information technology systems and those of our CROs, CMOs, clinical sites and other contractors and consultants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funds. To alleviate the negative impact of a ransomware attack, it may be preferable to make extortion payments, but we may be unwilling or unable to do so (including, for example, if applicable laws or regulations prohibit such payments, or our insurance carrier objects to payment).</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Some actors, including nation -state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retaliatory cyber-attacks, that could materially disrupt our systems and operations, supply chain and ability to conduct our development activities, including clinical trials. In addition to experiencing a security incident, third parties may gather, collect or infer sensitive information about us from public sources, data brokers or other means that reveals competitively sensitive details about our organization and could be used against us.</w:t>
      </w:r>
    </w:p>
    <w:p>
      <w:pPr>
        <w:spacing w:after="0" w:line="254"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Additionally, remote work increases risks to our information technology systems and data,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information technology environment and security program.</w:t>
      </w:r>
    </w:p>
    <w:p>
      <w:pPr>
        <w:spacing w:after="0" w:line="9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may not be able to detect and remediate all vulnerabilities and the threats and techniques used to exploit such vulnerabilities change frequently and are often sophisticated in nature. Therefore, vulnerabilities could be exploited but may not be detected until after a security incident has occurred. Further, we may experience delays in developing and deploying remedial measures designed to address any such identified vulnerabilities.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rely on third-party service providers and technologies to operate critical business systems to process sensitive information in a variety of contexts, including cloud-based infrastructure, encryption and authentication technology, 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 party service providers fail to satisfy their privacy or security-related obligations to us, any award may be insufficient to cover our damages, or we may be unable to recover such award.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w:t>
      </w:r>
    </w:p>
    <w:p>
      <w:pPr>
        <w:spacing w:after="0" w:line="21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 security incident or other interruption could result in unauthorized, unlawful or accidental acquisition, modification, destruction, loss, alteration, encryption, disclosure of, or access to our sensitive data or our information technology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data or applications, or inappropriate disclosure of personal, confidential or proprietary information. Applicable data privacy and security obligations also may require us to notify relevant stakeholders of security incidents. Such</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color w:val="auto"/>
        </w:rPr>
        <w:t>disclosures are costly, and the disclosure or the failure to comply with such requirements could lead to adverse consequences. Any disruption or security incident could result in legal claims or proceedings, liability under laws that protect the privacy of personal information and significant regulatory penalties, damage to our reputation or a loss of confidence in us and our ability to conduct clinical trials, which could delay the clinical development of our product candidates. Although we have obtained cyber insurance, we cannot be sure that our insurance coverage will be adequate or sufficient to protect us from or to mitigate liabilities arising out of a cybersecurity incident or that such coverage will continue to be available on commercially reasonable terms in the future.</w:t>
      </w:r>
    </w:p>
    <w:p>
      <w:pPr>
        <w:spacing w:after="0" w:line="15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70"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As we conduct clinical trials of our current or future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343"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Public opinion and scrutiny of I&amp;I treatments may impact public perception of our company and product candidates, or may adversely affect our ability to conduct our business and our business plans.</w:t>
      </w:r>
    </w:p>
    <w:p>
      <w:pPr>
        <w:spacing w:after="0" w:line="70"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Public perception may be influenced by claims, such as claims that our product candidates are unsafe, unethical or immoral and, consequently, our approach may not gain the acceptance of the public or the medical community. Negative public reaction to I&amp;I treatments in general could result in greater government regulation and stricter labeling requirements of products to treat immunological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Intellectual Property</w:t>
      </w:r>
    </w:p>
    <w:p>
      <w:pPr>
        <w:spacing w:after="0" w:line="17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9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rely upon a combination of patents, know-how and confidentiality agreements to protect the intellectual property related to our product candidates and to prevent third parties from copying and surpassing our achievements, thus eroding our competitive position in our market.</w:t>
      </w:r>
    </w:p>
    <w:p>
      <w:pPr>
        <w:spacing w:after="0" w:line="9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United States and abroad related to our novel discoveries and technologies that are important to our business. Although we in-license issued patents, we do not own any issued patents and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third parties from using our technology that is in the public domain.</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Composition of matter patents for biological and pharmaceutical product candidates often provide a strong form of intellectual property protection for those types of products, as such patents provide protection without regard to any method of use. However, the claims in our or our collaborators’ or licensors’ pending patent applications directed to composition of matter of our product candidates may not be considered patentable by the United States Patent and Trademark Office (“USPTO”) or by patent offices in foreign countries, or the claims in any of our or our licensors’ issued patents may not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0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 application can also be</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significantly reduced before the patent is issued, and its scope can be reinterpreted after issuance. In addition, the laws of foreign countries may not protect our rights to the same extent as the laws of the United States, or vice versa.</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patent application process is subject to numerous risks and uncertainties, and we may not be successful in protecting our product candidates by obtaining and defending patents. For example, we may not be aware of all third -party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pacing w:after="0" w:line="23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 party pre-issuance submissions of prior art to the USPTO or our issued patents may be subject to post-grant review proceedings, oppositions, derivations, reexaminations, interferences,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proceedings or other similar proceedings, in the United States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21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3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have in-licensed patent portfolios, but have no solely owned issued patents relating to our product candidates.</w:t>
      </w:r>
    </w:p>
    <w:p>
      <w:pPr>
        <w:spacing w:after="0" w:line="12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Although we exclusively in-license patent portfolios from Xencor related to obexelimab, ZB002 and ZB004, we have no solely owned issued patents. Although the exclusively in-licensed patent portfolios contain pending patent applications, we may not obtain any issued patents from the pending applications directed to our product candidates. Claims in our U.S. pending patent applications, corresponding international patent applications and patent applications in certain foreign jurisdictions, or those of our licensors, may not be</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considered patentable by the USPTO, courts in the United States or by the patent offices and courts in foreign countries, and any issued claims may be found invalid or unenforceable if challenged. Additionally, our provisional applications may never result in issued patents. Accordingly, we or our licensors may never obtain issued patents or that any issued patents we or our licensors obtain may not provide us with any competitive advantage. Failure to obtain adequate patent protection for our product candidates and technology could adversely affect our business, financial condition, results of operations and prospects.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not obtain or maintain necessary rights to our product candidates through acquisitions and in-licenses.</w:t>
      </w:r>
    </w:p>
    <w:p>
      <w:pPr>
        <w:spacing w:after="0" w:line="14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growth of our business depends in part on our ability to acquire, in-license, or use third-party proprietary rights, and we may not be able to do so on commercially reasonable terms or at all. Licenses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23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For example, under our license and collaboration agreements with Xencor, Xencor is responsible for patent prosecution of certain licensed intellectual property.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14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Patent rights relating to inventions described and claimed in our or our licensors’ pending patent applications may not issue and patents based on our or our licensors’ patent applications could be challenged and rendered invalid and/or unenforceable.</w:t>
      </w:r>
    </w:p>
    <w:p>
      <w:pPr>
        <w:spacing w:after="0" w:line="8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w:t>
      </w:r>
    </w:p>
    <w:p>
      <w:pPr>
        <w:spacing w:after="0" w:line="62" w:lineRule="exact"/>
        <w:rPr>
          <w:sz w:val="20"/>
          <w:szCs w:val="20"/>
          <w:color w:val="auto"/>
        </w:rPr>
      </w:pPr>
    </w:p>
    <w:p>
      <w:pPr>
        <w:ind w:left="1600" w:hanging="143"/>
        <w:spacing w:after="0"/>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when patents may issue based on our and our licensors’ patent applications;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protection of any patent issuing based on our and our licensors’ patent applications;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claims of any patent issuing based on our and our licensors’ patent applications will provide protection against competitors;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third parties will find ways to invalidate or circumvent our and our licensors’ patent rights;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others will obtain patents claiming aspects similar to those covered by our and our licensors’ patents and patent applications;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will need to initiate litigation or administrative proceedings to enforce and/or defend our and our licensors’ patent rights which will be costly whether we win or lose;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patent applications that we own will result in issued patents with claims that cover our product candidates or uses thereof in the United States or in other foreign countries; 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may experience patent office interruption or delays to our ability to timely secure patent coverage to our product candidates due to global pandemics and epidemics.</w:t>
      </w:r>
    </w:p>
    <w:p>
      <w:pPr>
        <w:spacing w:after="0" w:line="7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claims in our or our licensors’ pending patent applications directed to our product candidates may not be considered patentable by the USPTO or by patent offices in foreign countries, and any such patent 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 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2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our intellectual property rights throughout the world.</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United States. These competitor products may compete with our product candidates, and our and our licensors’ patents or other intellectual property rights may not be effective or sufficient to prevent them from competing.</w:t>
      </w:r>
    </w:p>
    <w:p>
      <w:pPr>
        <w:spacing w:after="0" w:line="9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rights do not necessarily address all potential threats to our competitive advantage.</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1" w:lineRule="exact"/>
        <w:rPr>
          <w:sz w:val="20"/>
          <w:szCs w:val="20"/>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be able to make product candidates that are similar to ours but that are not covered by the pending patent applications that we own or the patents or patent applications that we license;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licensors or future collaborators might not have been the first to make the inventions covered by the pending patent application that we own or have exclusively licensed;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licensors or future collaborators might not have been the first to file patent applications covering certain of our or their inventions;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independently develop similar or alternative technologies or duplicate any of our technologies without infringing or otherwise violating our owned or licensed intellectual property rights;</w:t>
      </w:r>
    </w:p>
    <w:p>
      <w:pPr>
        <w:spacing w:after="0" w:line="7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possible that our pending owned or licensed patent applications or those that we may own or license in the future will not lead to issued patents;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patents that we either own or have exclusively licensed may be revoked, modified, or held invalid or unenforceable, as a result of legal challenges by our competitors;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have access to the same intellectual property rights licensed to us in the future on a non-exclusive basis;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develop additional proprietary technologies that are patentable;</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United States or in other foreign countries;</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claims of any patent issuing based on our patent applications may not provide protection against competitors or any competitive advantages, or may be challenged by third parties;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enforced, a court may not hold that our patents, if they issue in the future, are valid, enforceable and infringed;</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4" w:name="page45"/>
    <w:bookmarkEnd w:id="4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need to initiate litigation or administrative proceedings to enforce and/or defend our patent rights which will be costly whether we win or lose;</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choose not to file a patent application in order to maintain certain trade secrets or know-how, and a third party may subsequently file a patent application covering such intellectual property;</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fail to adequately protect and police our trademarks and trade secrets; and</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patents of others may have an adverse effect on our business, including if others obtain patents claiming subject matter similar to or improving that covered by our patent applications.</w:t>
      </w:r>
    </w:p>
    <w:p>
      <w:pPr>
        <w:spacing w:after="0" w:line="7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Should any of these or similar events occur, they could significantly harm our business, financial condition, results of operations and prospects.</w:t>
      </w:r>
    </w:p>
    <w:p>
      <w:pPr>
        <w:spacing w:after="0" w:line="13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be involved in lawsuits to protect or enforce our patents or other intellectual property, which could be expensive, time-consuming and unsuccessful.</w:t>
      </w:r>
    </w:p>
    <w:p>
      <w:pPr>
        <w:spacing w:after="0" w:line="81"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8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b w:val="1"/>
          <w:bCs w:val="1"/>
          <w:i w:val="1"/>
          <w:iCs w:val="1"/>
          <w:color w:val="auto"/>
        </w:rPr>
        <w:t>Intellectual property rights of third parties could adversely affect our ability to commercialize obexelimab, or future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obexelimab or future product candidates. Such litigation or licenses could be costly or not available on commercially reasonable terms.</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 -party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25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which could adversely effect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23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 -party patents or other intellectual property rights, but we might not be able to do so on reasonable terms. Proving patent invalidity may be difficult. For example, in the United States, proving invalidity in court requires a showing of clear and convincing evidence to overcome the presumption of validity enjoyed by issued patents. As this burden is a high one, there is no assurance that a court of competent jurisdiction would invalidate the claims of any such</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United States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3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We may choose to challenge the enforceability or validity of claims in a third party’s U.S. patent by requesting that the USPTO review the patent claims in an </w:t>
      </w:r>
      <w:r>
        <w:rPr>
          <w:rFonts w:ascii="Times New Roman" w:cs="Times New Roman" w:eastAsia="Times New Roman" w:hAnsi="Times New Roman"/>
          <w:sz w:val="15"/>
          <w:szCs w:val="15"/>
          <w:i w:val="1"/>
          <w:iCs w:val="1"/>
          <w:color w:val="auto"/>
        </w:rPr>
        <w:t>ex-parte</w:t>
      </w:r>
      <w:r>
        <w:rPr>
          <w:rFonts w:ascii="Times New Roman" w:cs="Times New Roman" w:eastAsia="Times New Roman" w:hAnsi="Times New Roman"/>
          <w:sz w:val="15"/>
          <w:szCs w:val="15"/>
          <w:color w:val="auto"/>
        </w:rPr>
        <w:t xml:space="preserve"> reexamination,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w:t>
      </w:r>
    </w:p>
    <w:p>
      <w:pPr>
        <w:spacing w:after="0" w:line="28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 xml:space="preserve">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 Smith America Invents Act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and derivation proceedings.</w:t>
      </w:r>
    </w:p>
    <w:p>
      <w:pPr>
        <w:spacing w:after="0" w:line="10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 Thus, the Leahy -Smith Act and its implementation could increase the uncertainties and costs surrounding the prosecution of our or our licensors’ patent applications and the enforcement or defense</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of our or our licensors’ future issued patents, all of which could adversely affect our business, financial condition, results of operations and prospects.</w:t>
      </w:r>
    </w:p>
    <w:p>
      <w:pPr>
        <w:spacing w:after="0" w:line="7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10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In addition, the patent positions of companies in the development and commercialization of pharmaceuticals are particularly uncertain. 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products and enforce our intellectual property rights. We cannot assure you that subsequent rulings will not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w:t>
      </w:r>
      <w:r>
        <w:rPr>
          <w:rFonts w:ascii="Times New Roman" w:cs="Times New Roman" w:eastAsia="Times New Roman" w:hAnsi="Times New Roman"/>
          <w:sz w:val="15"/>
          <w:szCs w:val="15"/>
          <w:i w:val="1"/>
          <w:iCs w:val="1"/>
          <w:color w:val="auto"/>
        </w:rPr>
        <w:t>Amgen v. Sanofi</w:t>
      </w:r>
      <w:r>
        <w:rPr>
          <w:rFonts w:ascii="Times New Roman" w:cs="Times New Roman" w:eastAsia="Times New Roman" w:hAnsi="Times New Roman"/>
          <w:sz w:val="15"/>
          <w:szCs w:val="15"/>
          <w:color w:val="auto"/>
        </w:rPr>
        <w:t xml:space="preserve">, held that broad functional antibody claims are invalid for lack of enablement. As such, our ability to obtain patents with functional claims, or to protect our patent rights with functional claims from third party challenges seeking to invalidate these claims for lacking enablement or adequate support in the specification, is uncertain. In addition, in </w:t>
      </w:r>
      <w:r>
        <w:rPr>
          <w:rFonts w:ascii="Times New Roman" w:cs="Times New Roman" w:eastAsia="Times New Roman" w:hAnsi="Times New Roman"/>
          <w:sz w:val="15"/>
          <w:szCs w:val="15"/>
          <w:i w:val="1"/>
          <w:iCs w:val="1"/>
          <w:color w:val="auto"/>
        </w:rPr>
        <w:t>Juno v. Kite</w:t>
      </w:r>
      <w:r>
        <w:rPr>
          <w:rFonts w:ascii="Times New Roman" w:cs="Times New Roman" w:eastAsia="Times New Roman" w:hAnsi="Times New Roman"/>
          <w:sz w:val="15"/>
          <w:szCs w:val="15"/>
          <w:color w:val="auto"/>
        </w:rPr>
        <w:t xml:space="preserve">, the Federal Circuit held broad antibody claims supported by few examples invalid for lack of written description. Recently, the Federal Circuit issued a precedential decision in </w:t>
      </w:r>
      <w:r>
        <w:rPr>
          <w:rFonts w:ascii="Times New Roman" w:cs="Times New Roman" w:eastAsia="Times New Roman" w:hAnsi="Times New Roman"/>
          <w:sz w:val="15"/>
          <w:szCs w:val="15"/>
          <w:i w:val="1"/>
          <w:iCs w:val="1"/>
          <w:color w:val="auto"/>
        </w:rPr>
        <w:t>In re Cellect</w:t>
      </w:r>
      <w:r>
        <w:rPr>
          <w:rFonts w:ascii="Times New Roman" w:cs="Times New Roman" w:eastAsia="Times New Roman" w:hAnsi="Times New Roman"/>
          <w:sz w:val="15"/>
          <w:szCs w:val="15"/>
          <w:color w:val="auto"/>
        </w:rPr>
        <w:t xml:space="preserve"> (No. 22-1293) that could shorten or eliminate extended patent term awarded under Patent Term Adjustment (“PTA”) if challenged on the basis of Obvious-Type Double Patenting. Furthermore, the U.S. Supreme Court and Federal Circuits have repeatedly held that the use of biomarkers in diagnosis or monitoring therapeutic treatment is not patent eligible.</w:t>
      </w:r>
    </w:p>
    <w:p>
      <w:pPr>
        <w:spacing w:after="0" w:line="213"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or our licensors’ or collaborators’ existing patents and patents that we might obtain in the future.</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2012, the European Union Patent Package (EU Patent Package) regulations were passed with the goal of providing a single pan- 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jurisdiction 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become subject to claims challenging the inventorship or ownership of our or our licensors’ patents and other intellectual property.</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23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9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52"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Patent terms may be inadequate to protect our competitive position on products or product candidates for an adequate amount of time.</w:t>
      </w:r>
    </w:p>
    <w:p>
      <w:pPr>
        <w:spacing w:after="0" w:line="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identical to ours. For example, the patent covering obexelimab’s composition of matter expires in May 2028, excluding any extension of patent term that may be available.</w:t>
      </w:r>
    </w:p>
    <w:p>
      <w:pPr>
        <w:spacing w:after="0" w:line="12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8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Periodic maintenance fees, renewal fees, annuity fees and various other government fees on patents and/or applications will be due to be paid to the USPTO and various government patent agencies outside of the United States over the lifetime of our owned or licensed patents and patent applications. We rely on our outside counsel or our licensing partners to pay these fees due to U.S. and non- U.S. patent agencies. The USPTO and various non-U.S. government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patent term extension for our product candidates, our business may be materially harmed.</w:t>
      </w:r>
    </w:p>
    <w:p>
      <w:pPr>
        <w:spacing w:after="0" w:line="14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(the “Hatch- 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 -license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56"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approved, our product candidates that are regulated as biological products (“biologics”), may face competition from biosimilars approved through an abbreviated regulatory pathway.</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Biologics Price Competition and Innovation Act of 2009 (“BPCIA”) was enacted as part of the Patient Protection and Affordable Care Act, as amended by the Health Care and Education Reconciliation Act of 2010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company may still develop and receive approval of a competing biologic,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24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China, the Fourth Amendments to the PRC Patent Law became effective on June 1, 2021, and for the first time, provides for PTE, PTA and a patent linkage system for eligible Chinese patents. To date, no PTE or PTA has been granted for any Chinese patent, and the patent linkage system is still in its early stage. In view of the potential changes and development in the implementation rules in PTE, PTA, patent linkage and data exclusivity in China, a lower-cost generic drug can emerge onto the market much more quickly, which would result in weaker protection for us against generic competition in China than could be available to us in the United States, and would materially harm our business, financial condition, results of operations, and prospects.</w:t>
      </w:r>
    </w:p>
    <w:p>
      <w:pPr>
        <w:spacing w:after="0" w:line="16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protect the confidentiality of our trade secrets, our business and competitive position would be harmed.</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1" w:name="page52"/>
    <w:bookmarkEnd w:id="5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21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5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28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addition, former employees, consultants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patent protection covering our product candidates. Such challenges may also result in our inability to develop, manufacture or commercialize our product candidates without infringing third- 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adversely affect our business, financial condition, results of operations and prospects.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Government Regulation</w:t>
      </w:r>
    </w:p>
    <w:p>
      <w:pPr>
        <w:spacing w:after="0" w:line="17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The regulatory approval process is highly uncertain, and we may be unable to obtain, or may be delayed in obtaining, U.S. or foreign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spacing w:after="0" w:line="9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and clinical trials and an extensive regulatory approval process are required to be completed successfully in the United States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9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Our company has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comparable foreign regulatory authorities use when regulating us require judgment and can change, which makes it difficult to predict with certainty their application. Any analysis we perform of data from preclinical studies and clinical trials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obexelimab or any of our other product candidates or any future product candidates.</w:t>
      </w:r>
    </w:p>
    <w:p>
      <w:pPr>
        <w:spacing w:after="0" w:line="103"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Further, the FDA and its foreign counterparts may respond to any BLA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submissions.</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also are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4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9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addition, if the FDA or a comparable foreign regulatory authority approves any of our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 -market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If we or our existing or future collaborators, manufacturers or service providers fail to comply with applicable continuing regulatory requirements in the United States or foreign jurisdictions in which we seek to market our product candidates, we or they may be subject to,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2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also cannot predict the likelihood, nature or extent of government regulation that may arise from future legislation or administrative or executive action, either in the United States or abroad. Changes in FDA staffing could result in delays in the FDA’s responsiveness or in its ability to review submissions or applications, issue regulations or guidance, or implement or enforce regulatory requirements in a timely fashion or at all.</w:t>
      </w:r>
    </w:p>
    <w:p>
      <w:pPr>
        <w:spacing w:after="0" w:line="145"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b w:val="1"/>
          <w:bCs w:val="1"/>
          <w:i w:val="1"/>
          <w:iCs w:val="1"/>
          <w:color w:val="auto"/>
        </w:rPr>
        <w:t>Disruptions at the FDA or comparable foreign regulatory authorities caused by funding shortages or global health concerns could hinder their ability to hire, retain or deploy key leadership and other personnel, or otherwise prevent new products from being developed, approved or commercialized in a timely manner or otherwise prevent those authorities from performing normal business functions on which the operation of our business may rely, which could negatively impact our business.</w:t>
      </w:r>
    </w:p>
    <w:p>
      <w:pPr>
        <w:spacing w:after="0" w:line="9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ability of the FDA and comparable foreign regulatory authorities to review and approve new products is affected by a variety of factors, including government budget and funding levels, statutory,</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to the political process, which is inherently fluid and unpredictable. Disruptions at the FDA and other regulatory authorities may also slow the time necessary for new biologics or modifications to approved or licensed biologics to be reviewed and/or approved, which would adversely affect our business. For example, over the last several years, the U.S. government has shut down several times and certain regulatory authorities, such as the FDA, have had to furlough critical employees and stop critical activities.</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1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8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the United States and some foreign jurisdictions, there have been, and we expect there will continue to be, a number of legislative and regulatory changes to the delivery of, and payment for, healthcare services, including cost-containment measures that may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See also “Business—Government Regulation-Healthcare Reform.”</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For example, in March 2010, the ACA was enacted in the United States, which substantially changed the way healthcare is financed by both governmental and private insurers in the United States and significantly affected the pharmaceutical industry. Since its enactment, there have been judicial, congressional, and executive branch challenges to the ACA. For example, tax reform legislation was enacted that eliminated the tax penalty established by ACA for individuals who do not maintain mandated health insurance coverage beginning in 2019 and, in 2021, the U.S. Supreme Court dismissed the latest judicial challenge to the ACA brought by several states without specifically ruling on the constitutionality of the ACA.</w:t>
      </w:r>
    </w:p>
    <w:p>
      <w:pPr>
        <w:spacing w:after="0" w:line="26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Beyond the ACA, there have been ongoing healthcare reform efforts, including under the Biden administration. Notably, the IRA includes a number of healthcare reform provisions, which have varying implementation dates. The IRA extends enhanced subsidies for individuals purchasing health insurance coverage in ACA marketplaces through plan year 2025; lowers the beneficiary maximum out -of-pocket cost; establishes a new manufacturer discount program; imposes new Medicare Part B and Part D drug price inflation rebates, and implements a drug price negotiation program for certain high spend Medicare Part B and D drugs. Such provisions have been and likely will continue to be subject to legal challenge.</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Further, there has been heightened governmental scrutiny in the United States of pharmaceutical pricing practices in light of the rising cost of prescription drugs.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addition to the IRA drug pricing reforms, federal legislation enacted in 2021 eliminates the statutory cap on Medicaid drug rebate program rebates (currently set at 100% of a drug’s “average manufacturer price”), effective January 1, 2024.</w:t>
      </w:r>
    </w:p>
    <w:p>
      <w:pPr>
        <w:spacing w:after="0" w:line="9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measures, and, in some cases,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financial condition, results of operations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financial condition, results of operations and prospects.</w:t>
      </w:r>
    </w:p>
    <w:p>
      <w:pPr>
        <w:spacing w:after="0" w:line="28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0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expect that current and any future healthcare or budget reform measures may result in more rigorous coverage criteria, new payment methodologies and additional downward pressure on the payment that we receive or price that we may charge for any approved product. The implementation of such reforms may prevent us from being able to generate revenue, attain profitability or commercialize our product candidates, if approved.</w:t>
      </w:r>
    </w:p>
    <w:p>
      <w:pPr>
        <w:spacing w:after="0" w:line="152"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fail to comply with healthcare and other regulations, we could face substantial penalties and our business, operations and financial condition could be adversely affected.</w:t>
      </w:r>
    </w:p>
    <w:p>
      <w:pPr>
        <w:spacing w:after="0" w:line="7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marketing of biopharmaceutical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Restrictions under applicable federal and state healthcare laws and regulations, some of which will apply only if and when we receive marketing approval for a product candidate, include the following:</w:t>
      </w:r>
    </w:p>
    <w:p>
      <w:pPr>
        <w:spacing w:after="0" w:line="259" w:lineRule="exact"/>
        <w:rPr>
          <w:sz w:val="20"/>
          <w:szCs w:val="20"/>
          <w:color w:val="auto"/>
        </w:rPr>
      </w:pPr>
    </w:p>
    <w:p>
      <w:pPr>
        <w:jc w:val="both"/>
        <w:ind w:left="1600" w:right="1179" w:hanging="143"/>
        <w:spacing w:after="0" w:line="252"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anti-kickback statute;</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Food, Drug, and Cosmetic Act (“FDCA”), which among other things, strictly regulates drug marketing, prohibits manufacturers from marketing such products for off-label use and regulates the distribution of samples;</w:t>
      </w:r>
    </w:p>
    <w:p>
      <w:pPr>
        <w:spacing w:after="0" w:line="7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0" w:lineRule="auto"/>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so-called “federal sunshine” law, which requires pharmaceutical and medical device companies to monitor and report certain financial interactions with physicians, certain non-physician healthcare practitioners and teaching hospitals to the federal government, as well as certain ownership and investment interests held by these physicians and their immediate family members for re-disclosure to the public;</w:t>
      </w:r>
    </w:p>
    <w:p>
      <w:pPr>
        <w:spacing w:after="0" w:line="79"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2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54"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Governments outside the United States tend to impose strict price controls, which may adversely affect our revenue, if any.</w:t>
      </w:r>
    </w:p>
    <w:p>
      <w:pPr>
        <w:spacing w:after="0" w:line="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56" w:lineRule="exact"/>
        <w:rPr>
          <w:sz w:val="20"/>
          <w:szCs w:val="20"/>
          <w:color w:val="auto"/>
        </w:rPr>
      </w:pPr>
    </w:p>
    <w:p>
      <w:pPr>
        <w:jc w:val="both"/>
        <w:ind w:left="1160" w:right="117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7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standards, external and internal privacy and security policies, contractual requirements, and other obligations relating to data privacy and security.</w:t>
      </w:r>
    </w:p>
    <w:p>
      <w:pPr>
        <w:spacing w:after="0" w:line="7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(“HITECH”), imposes specific requirements relating to the privacy, security, and transmission of individually identifiable health information. Additionally, the California Consumer Privacy Act (“CCPA”) applies to personal information of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At least 11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 regulatory standards that may place additional burdens on us.</w:t>
      </w:r>
    </w:p>
    <w:p>
      <w:pPr>
        <w:spacing w:after="0" w:line="18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There are also various laws and regulations in other jurisdictions outside the United States relating to data privacy and security, with which we may need to comply. For example, the EU GDPR and the UK’s equivalent (“UK GDPR” and collectively, “GDPR”), impose strict requirements for processing personal data. We also have operations in Asia, and may be subject to new and emerging data privacy regimes such as Japan’s Act on the Protection of Personal Information and China’s Personal Information Protection Law.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United States and which formed the basis of the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new EU-US Data Privacy Framework (and corresponding UK data protection framework, collectively the “DPF”), as released on December 13, 2022. The European Commission adoption of its Adequacy Decision means the DPF is effective as an EU GDPR transfer mechanism to U.S. entities self -certified under the DPF. While we have certified as a participant in the DPF, we cannot guarantee that the validity of the DPF will not undergo further legal challenge as occurred with previous transfer mechanisms like the EU/US Privacy Shield.</w:t>
      </w:r>
    </w:p>
    <w:p>
      <w:pPr>
        <w:spacing w:after="0" w:line="26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and the recently approved DPF,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9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addition to data privacy and security laws, we are also bound by other contractual obligations related to data privacy and security, and our efforts to comply with such obligations may not be successful.</w:t>
      </w:r>
    </w:p>
    <w:p>
      <w:pPr>
        <w:spacing w:after="0" w:line="85"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business associates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personal data that we process, including in clinical trials,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EEA and other jurisdictions, and we cannot determine the impact such future laws, regulations and standards may have on our business.</w:t>
      </w:r>
    </w:p>
    <w:p>
      <w:pPr>
        <w:spacing w:after="0" w:line="11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Any actual or perceived failure by us or our third-party service providers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cannot assure you that our CROs, CMOs or other third-party service providers with access to our or our suppliers’, manufacturers’, trial participants’ and employees’ sensitive information for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330"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8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Reliance on Third Parties</w:t>
      </w:r>
    </w:p>
    <w:p>
      <w:pPr>
        <w:spacing w:after="0" w:line="177" w:lineRule="exact"/>
        <w:rPr>
          <w:sz w:val="20"/>
          <w:szCs w:val="20"/>
          <w:color w:val="auto"/>
        </w:rPr>
      </w:pPr>
    </w:p>
    <w:p>
      <w:pPr>
        <w:jc w:val="both"/>
        <w:ind w:left="1160" w:right="117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 party manufacturer fails to comply with applicable regulatory requirements, we will not be able to complete our clinical trials on time and the development of our product candidates may be delayed.</w:t>
      </w:r>
    </w:p>
    <w:p>
      <w:pPr>
        <w:spacing w:after="0" w:line="6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do not own or operate facilities for drug manufacturing, storage, distribution or quality testing. We currently rely on a single third-party manufacturer, WuXi Biologics, located in China, to manufacture and supply the drug substances and drug products for our product candidates, and currently do not have any redundant supply outside of WuXi Biologics, for drug substance and drug product. Reliance on a single third-party manufacturer exposes us to different risks than if we were to manufacture product candidates ourselves. Our preclinical and clinical development product supplies may be limited, interrupted, terminated or be of unsatisfactory quality or unavailable at acceptable prices. In addition, replacing our manufacturer would require significant effort and time and there may be a limited number of qualified replacements.</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order obexelimab drug substance and drug product pursuant to a master services agreement with WuXi Biologics. If any of our product candidates receives marketing approval, we intend to rely on a third-party CMO for commercial manufacturing. As our product candidates advance through development, we expect to enter into longer-term commercial supply agreements to fulfill and secure our production needs. We are establishing redundant supply for drug substance and drug product commercial manufacturing at WuXi Biologics’ facilities in Europe. In addition, we plan to establish a second source supplier for drug substance and drug product with a third-party manufacturer that is not affiliated with WuXi Biologics. For the medical device component of our product (i.e., prefilled syringe or autoinjector), we plan to utilize device assembly facilities in the US/EU for the global supply.</w:t>
      </w:r>
    </w:p>
    <w:p>
      <w:pPr>
        <w:spacing w:after="0" w:line="99"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do not have long-term supply contracts with any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Additionally, we have not entered into any agreements for commercial supply or our products, if approved. We may be unsuccessful in negotiating and entering into long-term master supply agreements with certain of our current or future CMOs on favorable terms or at all, which would likely jeopardize our ability to provide any product candidates to participants in clinical trials and products to patients, if approved. Any change in our relationship with our CMO or changes to contractual terms of our agreements with them could adversely affect our business, financial condition, results of operations and prospects. Additionally, legislation and regulations, such as the proposed BIOSECURE Act, a draft of which is in the legislative process in the U.S. Congress, could restrict our ability to enter into long-term commercial agreements with certain CMOs if the proposed legislation and regulations are enacted into law. Please see “—Risks Related to Our Reliance on Third Parties—The operations of our suppliers, many of which are located outside of the United States.,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28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Furthermore, any of the sole source and limited source suppliers upon whom we rely could stop producing our supplies, cease operations or be acquired by, or enter into exclusive arrangements with, our competitors. While we could move our manufacturing process of our product candidates to another CMO without the involvement of our current sole supplier of clinical products, establishing additional or replacement suppliers for these supplies, and obtaining regulatory clearance or approvals that may result from adding or replacing suppliers, could take a substantial amount of time, result in increased costs and impair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color w:val="auto"/>
        </w:rPr>
        <w:t>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regulatory requirements of the FDA or comparable foreign regulatory authorities, we may not be able to rely on their facilities for the manufacture of elements of our product candidates. Additionally, our CMOs may face resource constraints due to labor disputes or unstable political environments that impact their ability to supply product candidates on schedule, which would impact the timing of our clinical trials or commercial supply for any products that may be approved.</w:t>
      </w:r>
    </w:p>
    <w:p>
      <w:pPr>
        <w:spacing w:after="0" w:line="98"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We expect to continue to rely on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99" w:lineRule="exact"/>
        <w:rPr>
          <w:sz w:val="20"/>
          <w:szCs w:val="20"/>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initiate or continue preclinical studies or clinical trials of product candidates;</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in submitting regulatory applications, or receiving regulatory approvals, for product candidates;</w:t>
      </w:r>
    </w:p>
    <w:p>
      <w:pPr>
        <w:spacing w:after="0" w:line="27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the cooperation of existing or future collaborators;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requirements to cease distribution or to recall batches of our product candidates; and</w:t>
      </w:r>
    </w:p>
    <w:p>
      <w:pPr>
        <w:spacing w:after="0" w:line="11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approval to market and commercialize a product candidate, an inability to meet commercial demands for our products.</w:t>
      </w:r>
    </w:p>
    <w:p>
      <w:pPr>
        <w:spacing w:after="0" w:line="86"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In the event that any of our manufacturers fails to comply with regulatory requirements or to perform its obligations in relation to quality, timing or otherwise, or if our projected manufacturing capacity or supply of materials becomes limited, interrupted or more costly than anticipated, we may need to secure manufacturing from a different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2" w:name="page63"/>
    <w:bookmarkEnd w:id="6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8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rely and intend to continue to rely on third-party clinical investigators, CROs and clinical data management organizations to conduct, supervise and monitor preclinical studies and clinical trials of our current and future product candidates. 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w:t>
      </w:r>
    </w:p>
    <w:p>
      <w:pPr>
        <w:spacing w:after="0" w:line="10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are conducted in accordance with good laboratory practices (“GLPs”)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w:t>
      </w:r>
    </w:p>
    <w:p>
      <w:pPr>
        <w:spacing w:after="0" w:line="27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283"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3" w:name="page64"/>
    <w:bookmarkEnd w:id="6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have conflicts with our current or future licensors or collaborators that could delay or prevent the development or commercialization of our product candidates.</w:t>
      </w:r>
    </w:p>
    <w:p>
      <w:pPr>
        <w:spacing w:after="0" w:line="8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currently party to license and collaboration agreements with Xencor and BMS,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333"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Our rights to develop and commercialize our product candidates are subject, in large part, to the terms and conditions of licenses granted to us by others, such as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9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heavily reliant upon licenses to certain patent rights and other intellectual property that are important or necessary to the development of our current or future product candidates. For example, we depend on licenses from Xencor for certain intellectual property relating to the development and commercialization of obexelimab, ZB002 and ZB004. However, we have no development and commercialization rights for obexelimab in Japan, South Korea, Taiwan, Hong Kong, Singapore, and Australia, all of which rights have been sublicensed to BMS.</w:t>
      </w:r>
    </w:p>
    <w:p>
      <w:pPr>
        <w:spacing w:after="0" w:line="9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Xencor may have relied upon, and any future licensors may rely upon, third-party companies, consultants or collaborators, or on funds from third parties such that our licensors are not the sole and exclusive owners of the patents we in-licensed. If our licensors, including Xencor, fail to prosecute, maintain, enforce, and defend such patents, or lose rights to those patents, the rights we have licensed may be reduced or eliminated, and our right to develop and commercialize our current or future product candidates that are or may be the subject of such licensed rights could be adversely affected. Further development and commercialization of our product candidates and development of any future product candidates may require us to enter into additional license or collaboration agreements. For example, our licensors or other third parties may obtain intellectual property covering our current or future product candidates which we have not licensed.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future product candidates.</w:t>
      </w:r>
    </w:p>
    <w:p>
      <w:pPr>
        <w:spacing w:after="0" w:line="10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spite of our efforts, Xencor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4" w:name="page65"/>
    <w:bookmarkEnd w:id="6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intellectual property that is subject to our existing licenses and compete with our existing product candidates. Any of these events could adversely affect our business, financial condition, results of operations, and prospects.</w:t>
      </w:r>
    </w:p>
    <w:p>
      <w:pPr>
        <w:spacing w:after="0" w:line="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Disputes may arise regarding intellectual property subject to a licensing agreement, including:</w:t>
      </w:r>
    </w:p>
    <w:p>
      <w:pPr>
        <w:spacing w:after="0" w:line="91" w:lineRule="exact"/>
        <w:rPr>
          <w:sz w:val="20"/>
          <w:szCs w:val="20"/>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rights granted under the license agreement and other interpretation-related issues;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or other obligations under the license agreement;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processes infringe on intellectual property of the licensor that is not subject to the licensing agreement;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sublicensing of patent and other rights under our collaborative development relationships;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diligence obligations under the license agreement and what activities satisfy those obligations;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inventorship or ownership of inventions and know-how resulting from the joint creation or use of intellectual property by our licensors and us and our partners;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priority of invention of patented technology.</w:t>
      </w:r>
    </w:p>
    <w:p>
      <w:pPr>
        <w:spacing w:after="0" w:line="1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30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The operations of our suppliers, many of which are located outside of the United States,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Currently, many of our suppliers primarily operate outside of the United States, including our current sole CMO, WuXi Biologics, which provides its services to us from facilities located in China. As a result of our global suppliers, we are subject to risks associated with doing business abroad, including:</w:t>
      </w:r>
    </w:p>
    <w:p>
      <w:pPr>
        <w:spacing w:after="0" w:line="56" w:lineRule="exact"/>
        <w:rPr>
          <w:sz w:val="20"/>
          <w:szCs w:val="20"/>
          <w:color w:val="auto"/>
        </w:rPr>
      </w:pPr>
    </w:p>
    <w:p>
      <w:pPr>
        <w:jc w:val="both"/>
        <w:ind w:left="1600" w:right="1179" w:hanging="143"/>
        <w:spacing w:after="0" w:line="262" w:lineRule="auto"/>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tensions, political unrest, terrorism, labor disputes and economic instability resulting in the disruption of trade from foreign countries in which our products are manufactured, particularly China;</w:t>
      </w:r>
    </w:p>
    <w:p>
      <w:pPr>
        <w:spacing w:after="0" w:line="238"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 including China, pursuant to our master supply agreement with WuXi Biologics;</w:t>
      </w:r>
    </w:p>
    <w:p>
      <w:pPr>
        <w:spacing w:after="0" w:line="57"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greater challenges and increased costs with enforcing and periodically auditing or reviewing our suppliers’ and manufacturers’ compliance with cGMPs or status acceptable to the FDA or comparable foreign regulatory authorities;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protection for intellectual property rights, including trademark protection, in some countries, particularly China;</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in operations due to global, regional, or local public health crises or other emergencies or natural disasters;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or delays in shipments;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local economic conditions in countries where our manufacturers or suppliers are located.</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5" w:name="page66"/>
    <w:bookmarkEnd w:id="6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If enacted, the BIOSECURE Act that was recently introduced in Congress would prohibit U.S. federal agencies from contracting with, or extending loans or grants to, any company with current or future commercial arrangements with a “biotechnology company of concern.” This legislation would restrict the ability of biopharmaceutical companies that receive funding or reimbursement from U.S. federal agencies from purchasing services or products from certain Chinese biotechnology companies, including those that are specifically named in the proposed BIOSECURE Act. If approved, the BIOSECURE Act in its current form would not prevent us from sourcing drug product from WuXi Biologics for clinical use. We would, however, be potentially restricted from entering into long-term commercial arrangements with WuXi Biologics or other suppliers or partners determined to be “biotechnology companies of concern”. Additionally, the legislation could adversely impact WuXi Biologics’ operations or financial position, which, in turn, could impact its and ability to supply us with product in the future. We may also face additional manufacturing and supply-chain risks due to the regulatory and political structure of China, or as a result of the international relationship between China and the U.S., including but not limited to potential sanctions imposed by the U.S. government on WuXi Biologics, or any of the other countries in which our products are marketed.</w:t>
      </w:r>
    </w:p>
    <w:p>
      <w:pPr>
        <w:spacing w:after="0" w:line="233"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this Offering and Ownership of Our Common Stock</w:t>
      </w:r>
    </w:p>
    <w:p>
      <w:pPr>
        <w:spacing w:after="0" w:line="17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An active and liquid trading market for our common stock may not develop, and you may not be able to resell your shares of common stock at or above the public offering price, if at all.</w:t>
      </w:r>
    </w:p>
    <w:p>
      <w:pPr>
        <w:spacing w:after="0" w:line="70"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Prior to this offering, no market for shares of our common stock existed. We have applied to list our common stock on Nasdaq under the symbol “ZBIO,” and this offering is contingent upon obtaining such approval. Assuming that our common stock is listed, an active or liquid trading market for our common stock may never develop or be sustained following the completion of this offering. To the extent certain of our existing stockholders and their affiliated entities participate in this offering, such purchases would reduce the non- 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Moreover, the initial public offering price for our common stock will be determined through negotiations with the underwriters, and may vary from the market price of our common stock following the completion of this offering. As a result of these and other factors, you may be unable to resell your shares of our common stock at or above the initial public offering price or at a price that you consider reasonable. Furthermore, an inactive market may reduce the fair market value of your shares,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61"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may be volatile, which could result in substantial losses for investors purchasing shares in this offering.</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initial public offering price for our common stock was determined through negotiations with the underwriters. This initial public offering price may vary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233" w:lineRule="exact"/>
        <w:rPr>
          <w:sz w:val="20"/>
          <w:szCs w:val="20"/>
          <w:color w:val="auto"/>
        </w:rPr>
      </w:pPr>
    </w:p>
    <w:p>
      <w:pPr>
        <w:ind w:left="1600" w:right="1179" w:hanging="143"/>
        <w:spacing w:after="0" w:line="26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in our operating results or the failure of our operating results to meet the expectations of investors or securities analysts;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existing or new competitive product candidates or technologies;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results of preclinical and clinical studies for any product candidates that we may develop;</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or discontinuation of any of our product development and research programs;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commercialize our product candidates;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6" w:name="page67"/>
    <w:bookmarkEnd w:id="6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the development of companion diagnostics, if required, for use with our product candidates;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of preclinical studies, clinical trials, or regulatory approvals of product candidates of our competitors, or announcements about new research programs or product candidates of our competitors;</w:t>
      </w:r>
    </w:p>
    <w:p>
      <w:pPr>
        <w:spacing w:after="0" w:line="227"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commencement or termination of collaborations for our product development and research programs;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or legal developments in the United States and other countries;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patent applications, issued patents, or other proprietary rights;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recruitment or departure of key personnel;</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expenses related to any of our research programs or product candidates that we may develop;</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our efforts to develop additional product candidates or products;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changes in estimates as to financial results, development timelines, or recommendations by securities analysts;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 or expectation of additional financing efforts;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or perceived potential sales of our common stock by us, our insiders or other stockholders;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expiration of market stand-off or lock-up agreements;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changes to our relationship with manufacturers, suppliers, collaborators or other strategic partners;</w:t>
      </w:r>
    </w:p>
    <w:p>
      <w:pPr>
        <w:spacing w:after="0" w:line="245"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or supply shortages;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our financial results or those of companies that are perceived to be similar to us;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estimates or recommendations by securities analysts, if any, that cover our stock;</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press reports, whether or not true, about our business;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meet the estimates and projections of the investment community or that we may otherwise provide to the public;</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structure of healthcare payment systems;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valuation of companies perceived by investors to be comparable to us;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 or expectation of additional financing efforts;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obtain additional funding;</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in the pharmaceutical and biotechnology sectors;</w:t>
      </w:r>
    </w:p>
    <w:p>
      <w:pPr>
        <w:spacing w:after="0" w:line="8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global economic, industry, political and market conditions, such as military conflict or war, inflation and financial institution instability, or pandemic or epidemic disease outbreaks, such as COVID-19, many of which are beyond our control; and</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other factors described in this “Risk Factors” section and elsewhere in this prospectus, including those which are outside of our control.</w:t>
      </w:r>
    </w:p>
    <w:p>
      <w:pPr>
        <w:spacing w:after="0" w:line="7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the completion of this offering. The market price of our common stock may decline below the initial public offering price, and you may lose some or all of your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7" w:name="page68"/>
    <w:bookmarkEnd w:id="6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You will incur immediate and substantial dilution as a result of the completion of this offering.</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If you purchase common stock in this offering, you will incur immediate and substantial dilution of $        per share, representing the difference between the assumed initial public offering price of $        per share, which is the midpoint of the estimated price range set forth on the cover page of this prospectus, and our pro forma net tangible book value per share as of March 31, 2024 after giving effect to the completion of this offering. To the extent that shares are issued upon the exercise of options or the underwriters exercise their over-allotment option, you will incur further dilution. For a further description of the dilution you will experience immediately after the completion of this offering, see the section titled “Dilution.”</w:t>
      </w:r>
    </w:p>
    <w:p>
      <w:pPr>
        <w:spacing w:after="0" w:line="150"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8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could occur at any time. These sales upon the expiration of the lock-up agreements (described in the “Underwriting” section of this prospectus), the early release of the lock-ups, or the perception in the market that the holders of a large number of shares of common stock intend to sell shares, could reduce the market price of our common stock. After the completion of this offering, we will have                     shares of common stock outstanding, or            shares if the underwriters exercise their over-allotment option in full, in each case based on the</w:t>
      </w:r>
    </w:p>
    <w:p>
      <w:pPr>
        <w:jc w:val="right"/>
        <w:ind w:left="1160" w:right="1179"/>
        <w:spacing w:after="0" w:line="234" w:lineRule="auto"/>
        <w:rPr>
          <w:sz w:val="20"/>
          <w:szCs w:val="20"/>
          <w:color w:val="auto"/>
        </w:rPr>
      </w:pPr>
      <w:r>
        <w:rPr>
          <w:rFonts w:ascii="Times New Roman" w:cs="Times New Roman" w:eastAsia="Times New Roman" w:hAnsi="Times New Roman"/>
          <w:sz w:val="15"/>
          <w:szCs w:val="15"/>
          <w:color w:val="auto"/>
        </w:rPr>
        <w:t>shares of our common stock outstanding as of                     2024. Of these shares, the        shares (or shares if the underwriters exercise their over-allotment option in full) we are selling in this offering may be resold in the public market immediately, unless purchased by our affiliates. The remaining shares</w:t>
      </w:r>
    </w:p>
    <w:p>
      <w:pPr>
        <w:spacing w:after="0" w:line="1"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are currently restricted under securities laws or as a result of lock-up or other agreements, but will be able to be sold after the completion of this offering as described in the “Shares Eligible for Future Sale” section of this prospectus. The representatives of the underwriters may release some or all of the shares of common stock subject to lock -up agreements at any time in their sole discretion and without notice, except for directors and officers, which would allow for earlier sales of shares in the public market.</w:t>
      </w:r>
    </w:p>
    <w:p>
      <w:pPr>
        <w:spacing w:after="0" w:line="9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Moreover, after the completion of this offering, holders of an aggregate of 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or that are issuable upon exercise of outstanding options. Once we register these shares, they can be freely sold in the public market upon issuance and once vested, subject to volume limitations applicable to affiliates and the lock-up agreements described in the “Underwriting” section of this prospectus. If any of these additional shares are sold, or if it is perceived that they will be sold, in the public market, the market price of our common stock could decline.</w:t>
      </w:r>
    </w:p>
    <w:p>
      <w:pPr>
        <w:spacing w:after="0" w:line="14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Insiders will continue to have substantial influence over us after the completion of this offering, which could limit your ability to affect the outcome of key transactions, including a change of control.</w:t>
      </w:r>
    </w:p>
    <w:p>
      <w:pPr>
        <w:spacing w:after="0" w:line="8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After the completion of this offering, our directors, executive officers and greater than 5% stockholders and their affiliates, in the aggregate, will beneficially own shares representing approximately         % of our outstanding common stock (assuming no exercise of the underwriters’ over-allotment option and no exercise of outstanding options).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16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Because we do not anticipate paying any cash dividends on our common stock in the foreseeable future, capital appreciation, if any, will be your sole source of gain.</w:t>
      </w:r>
    </w:p>
    <w:p>
      <w:pPr>
        <w:spacing w:after="0" w:line="8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have never declared or paid any cash dividends on our common stock. We currently anticipate that we will retain future earnings for the development, operation and expansion of our business and do not anticipate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8" w:name="page69"/>
    <w:bookmarkEnd w:id="6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declaring or paying any cash dividends in the foreseeable future. As a result, capital appreciation, if any, of our common stock will be your sole source of gain on an investment in our common stock in the foreseeable future. See the section titled “Dividend Policy” for additional information.</w:t>
      </w:r>
    </w:p>
    <w:p>
      <w:pPr>
        <w:spacing w:after="0" w:line="14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the reduced disclosure requirements applicable to emerging growth companies may make our common stock less attractive to investors.</w:t>
      </w:r>
    </w:p>
    <w:p>
      <w:pPr>
        <w:spacing w:after="0" w:line="70"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and we may remain an emerging growth company until December 31, 2029.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30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Provisions in our Restated Charter, our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9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Restated Charter and Restated Bylaws, which will become effective prior to the completion of this offering,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Restated Charter and Restated Bylaws, which will become effective prior to the completion of this offering, include provisions that:</w:t>
      </w:r>
    </w:p>
    <w:p>
      <w:pPr>
        <w:spacing w:after="0" w:line="236" w:lineRule="exact"/>
        <w:rPr>
          <w:sz w:val="20"/>
          <w:szCs w:val="20"/>
          <w:color w:val="auto"/>
        </w:rPr>
      </w:pPr>
    </w:p>
    <w:p>
      <w:pPr>
        <w:jc w:val="both"/>
        <w:ind w:left="1600" w:right="1179" w:hanging="143"/>
        <w:spacing w:after="0" w:line="257" w:lineRule="auto"/>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“blank check” preferred stock, which could be issued by our board of directors without stockholder approval and may contain voting, liquidation, dividend and other rights superior to our common stock;</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a classified board of directors whose members serve staggered three-year terms;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specify that special meetings of our stockholders can be called only by our board of directors;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prohibit stockholder action by written consent;</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 advance notice procedure for stockholder approvals to be brought before an annual meeting of our stockholders, including proposed nominations of persons for election to our board of directors;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vacancies on our board of directors may be filled only by a majority of directors then in office, even though less than a quorum;</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our directors may be removed only for cause;</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9" w:name="page70"/>
    <w:bookmarkEnd w:id="6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specify that no stockholder is permitted to cumulate votes at any election of directors;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expressly authorize our board of directors to modify, alter or repeal our Restated Bylaws; and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supermajority votes of the holders of our common stock to amend specified provisions of our Restated Charter and Restated Bylaws.</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8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Restated Charter will designate specific courts as the sole and exclusive forum for certain claims or causes of action that may be brought by our stockholders, which could discourage lawsuits against us and our directors and officers.</w:t>
      </w:r>
    </w:p>
    <w:p>
      <w:pPr>
        <w:spacing w:after="0" w:line="8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Restated Charter will provide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(a)(i) through (v) herein above (each a “Covered Claim”). This provision would not apply to claims brought to enforce a duty or liability created by the Exchange Act.</w:t>
      </w:r>
    </w:p>
    <w:p>
      <w:pPr>
        <w:spacing w:after="0" w:line="28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Restated Charter will further provide that the federal district courts of the United States of America will be the exclusive forum for resolving any complaint asserting a cause of action arising under the Securities Act. In addition, our Restated Charter will provide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choice of forum provisions to be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Charter are inapplicable or unenforceable if they 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0" w:name="page71"/>
    <w:bookmarkEnd w:id="7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left="1160" w:right="1179" w:firstLine="293"/>
        <w:spacing w:after="0" w:line="228" w:lineRule="auto"/>
        <w:rPr>
          <w:sz w:val="20"/>
          <w:szCs w:val="20"/>
          <w:color w:val="auto"/>
        </w:rPr>
      </w:pPr>
      <w:r>
        <w:rPr>
          <w:rFonts w:ascii="Times New Roman" w:cs="Times New Roman" w:eastAsia="Times New Roman" w:hAnsi="Times New Roman"/>
          <w:sz w:val="15"/>
          <w:szCs w:val="15"/>
          <w:color w:val="auto"/>
        </w:rPr>
        <w:t>We cannot specify with certainty the particular uses of the net proceeds we will receive from this offering. Our management will have broad discretion in the application of the net proceeds, including for any of the purposes described in the “Use of Proceeds” section of this prospectus.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Participation in this offering by our existing stockholders and/or their affiliated entities may reduce the public float for our common stock.</w:t>
      </w:r>
    </w:p>
    <w:p>
      <w:pPr>
        <w:spacing w:after="0" w:line="71" w:lineRule="exact"/>
        <w:rPr>
          <w:sz w:val="20"/>
          <w:szCs w:val="20"/>
          <w:color w:val="auto"/>
        </w:rPr>
      </w:pPr>
    </w:p>
    <w:p>
      <w:pPr>
        <w:jc w:val="both"/>
        <w:ind w:left="1160" w:right="1179" w:firstLine="293"/>
        <w:spacing w:after="0" w:line="230" w:lineRule="auto"/>
        <w:rPr>
          <w:sz w:val="20"/>
          <w:szCs w:val="20"/>
          <w:color w:val="auto"/>
        </w:rPr>
      </w:pPr>
      <w:r>
        <w:rPr>
          <w:rFonts w:ascii="Times New Roman" w:cs="Times New Roman" w:eastAsia="Times New Roman" w:hAnsi="Times New Roman"/>
          <w:sz w:val="15"/>
          <w:szCs w:val="15"/>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66"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Unstable economic and market conditions may have serious adverse consequences on our business, financial condition and stock price.</w:t>
      </w:r>
    </w:p>
    <w:p>
      <w:pPr>
        <w:spacing w:after="0" w:line="10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53"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4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70"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After the completion of this offering, as a public company, and particularly after we are no longer an emerging growth company, we will incur significant legal, accounting and other expenses that we did not incur</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1" w:name="page72"/>
    <w:bookmarkEnd w:id="7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not currently required to comply with the rules of the Securities and Exchange Commission (“SEC”) implementing Section 404 of the Sarbanes -Oxley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our internal control over financial reporting until our second annual report on Form 10-K. However,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22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disclosure controls and procedures may not prevent or detect all errors or acts of fraud.</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93"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2" w:name="page73"/>
    <w:bookmarkEnd w:id="7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5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insurance policies are expensive and only protect us from some business risks, which will leave us exposed to significant uninsured liabilities.</w:t>
      </w:r>
    </w:p>
    <w:p>
      <w:pPr>
        <w:spacing w:after="0" w:line="8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market price of our common stock is likely to be volatile. The stock market in general, and Nasdaq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time-consuming, damage our reputation and divert our management’s attention from other business concerns, which could seriously harm our business.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could be subject to securities class action litigation.</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the past, securities class action litigation has often been instituted against companies following periods of volatility in the trading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329"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could be subject to changes in tax rates, the adoption of new tax legislation or could otherwise have exposure to additional tax liabilities, which could harm our business.</w:t>
      </w:r>
    </w:p>
    <w:p>
      <w:pPr>
        <w:spacing w:after="0" w:line="8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Changes to tax laws or regulations in the jurisdictions in which we operate, or in the interpretation of such laws or regulations, could significantly increase our effective tax rate, and otherwise materially affect our financial condition. In addition, other factors or events, including business combinations and investments, changes in stock-based compensation,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3" w:name="page74"/>
    <w:bookmarkEnd w:id="7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This prospectus contains forward-looking statements. All statements other than statements of historical facts contained in this prospectus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69" w:lineRule="exact"/>
        <w:rPr>
          <w:sz w:val="20"/>
          <w:szCs w:val="20"/>
          <w:color w:val="auto"/>
        </w:rPr>
      </w:pPr>
    </w:p>
    <w:p>
      <w:pPr>
        <w:ind w:left="1600" w:right="1179" w:hanging="143"/>
        <w:spacing w:after="0" w:line="254"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commercial opportunities stemming from the development of obexelimab for multiple I&amp;I diseases;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if approved, ultimately commercialize obexelimab and, with partners, our other programs;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or maintain orphan drug designation for certain of our product candidates;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p>
      <w:pPr>
        <w:spacing w:after="0" w:line="77"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cost and timing of our clinical development of our product candidates;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clinical differentiation of our product candidates;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product candidates that have broad therapeutic potential;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utilize our business development strategy and expertise to build a balanced portfolio;</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collaborations and strategic partnerships to maximize the value of our portfolio;</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build our operational and commercial capabilities for supplying and marketing our products, if approved, in key markets;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in the biopharmaceutical sector and issuance of securities analysts’ reports or recommendations;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trading volume of our common stock;</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obtain additional funding;</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initiate, recruit and enroll patients in and conduct our clinical trials at the pace that we project;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regulatory approval of our product candidates, and any related restrictions, limitations or warnings in the label of any of our product candidates, if approved;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third parties to manufacture drug substance for use in our clinical trials;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recruit key personnel;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adequate intellectual property rights;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government and third-party payor coverage and reimbursement;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our expenses, ongoing losses, capital requirements and our needs for or ability to obtain additional financing;</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uses of the net proceeds to us from this offering and our existing cash and the sufficiency of our existing cash and proceeds from this offering to fund our future operating expenses and capital expenditure requirements;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benefits of strategic collaboration agreements;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4" w:name="page75"/>
    <w:bookmarkEnd w:id="7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stock by us, our insiders or our stockholders, as well as the anticipation of lock-up releases or expiration of market stand-off or lock-up agreements;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time during which we will be an emerging growth company and smaller reporting company under the JOBS Act;</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senior management, directors or key personnel;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and projections relating to our competitors or our industry;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including those included in the section titled “Risk Factors.”</w:t>
      </w:r>
    </w:p>
    <w:p>
      <w:pPr>
        <w:spacing w:after="0" w:line="124"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The forward-looking statements in this prospectus may prove incorrect. These forward-looking statements speak only as of the date of this prospectus and are subject to a number of known and unknown risks, uncertainties and assumptions, including those described under the sections in this prospectus titled “Risk Factors” and “Management’s Discussion and Analysis of Financial Condition and Results of Operations” and elsewhere in this prospectus.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5" w:name="page76"/>
    <w:bookmarkEnd w:id="75"/>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MARKET AND INDUSTRY DATA</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Unless otherwise indicated, market and industry data contained in this prospectus, including potential market opportunities, is based on our management’s estimates and research, as well as industry and general publications and research and studies conducted by third parties. Although we believe that the information from these third-party publications, research and studies included in this prospectus is reliable, neither we nor the underwriters have independently verified the accuracy or completeness of this information. Management’s estimates are derived from publicly available information, their knowledge of our industry and their assumptions based on such information and knowledge, which we believe to be reasonable. This data involves a number of assumptions and limitations and the industry in which we operate is subject to a high degree of uncertainty and risk due to a variety of factors, including those described in the sections titled “Risk Factors” and “Special Note Regarding Forward-Looking Statements.”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6" w:name="page77"/>
    <w:bookmarkEnd w:id="7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estimate that the net proceeds from this offering will be approximately $            million, or approximately $            million if the underwriters exercise their over-allotment option in full,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Each $1.00 increase or decrease in the assumed initial public offering price of $            per share, which is the midpoint of the price range set forth on the cover page of this prospectus, would increase or decrease, as applicable, the net proceeds to us from this offering by approximately $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1,000,000 shares in the number of shares offered by us, as set forth on the cover page of this prospectus, would increase or decrease, as applicable, the net proceeds to us from this offering by approximately $            million, assuming no change in the assumed initial public offering price per share, and after deducting the estimated underwriting discounts and commissions and estimated offering expenses payable by us.</w:t>
      </w:r>
    </w:p>
    <w:p>
      <w:pPr>
        <w:spacing w:after="0" w:line="9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As of March 31, 2024, we had cash of $37.2 million. In addition, on May 3, 2024, we received $179.0 million of gross proceeds from the issuance and sale of our Series C Preferred Stock.</w:t>
      </w:r>
    </w:p>
    <w:p>
      <w:pPr>
        <w:spacing w:after="0" w:line="7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together with our existing cash, as follows:</w:t>
      </w:r>
    </w:p>
    <w:p>
      <w:pPr>
        <w:spacing w:after="0" w:line="246" w:lineRule="exact"/>
        <w:rPr>
          <w:sz w:val="20"/>
          <w:szCs w:val="20"/>
          <w:color w:val="auto"/>
        </w:rPr>
      </w:pPr>
    </w:p>
    <w:p>
      <w:pPr>
        <w:jc w:val="both"/>
        <w:ind w:left="1600" w:right="1179" w:hanging="143"/>
        <w:spacing w:after="0" w:line="257" w:lineRule="auto"/>
        <w:tabs>
          <w:tab w:leader="none" w:pos="16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approximately $            million to advance the clinical development of obexelimab, including to advance the Phase 3 trial for patients with IgG4-RD, the Phase 2 trial for patients with MS, the Phase 2 trial for patients with SLE and the Phase 2/3 trial for patients with wAIHA; and</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remainder for working capital and other general corporate purposes.</w:t>
      </w:r>
    </w:p>
    <w:p>
      <w:pPr>
        <w:spacing w:after="0" w:line="12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also may also use a portion of the net proceeds from this offering to acquire, in-license or invest in products, technologies or businesses. The amounts and timing of our actual expenditures will depend on numerous factors, including the progress of our preclinical development efforts, our operating costs and other factors described under “Risk Factors” in this prospectus.</w:t>
      </w:r>
    </w:p>
    <w:p>
      <w:pPr>
        <w:spacing w:after="0" w:line="9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Based upon our current operating plan, we believe that the anticipated net proceeds from this offering, together with our existing cash, will be sufficient to fund our operating expenses and capital expenditure requirements for                   from the date of this prospectus. This estimate and our expectation regarding the sufficiency of the net proceeds from this offering to advance the clinical development of obexelimab for IgG4- RD, MS, SLE and wAIHA, and any other product candidates are based on assumptions that may prove to be wrong, and we could exhaust our available capital resources sooner than we expect. We do not anticipate that the expected net proceeds from this offering, together with our existing cash, will be sufficient for us to fund all of our product candidates through regulatory approval, and we will need to raise substantial additional capital to complete the development and commercialization of our product candidates.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spacing w:after="0" w:line="9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w:t>
      </w:r>
    </w:p>
    <w:p>
      <w:pPr>
        <w:spacing w:after="0" w:line="9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the anticipated growth of our business, and we may find it necessary or advisable to use the net proceeds for other purposes. Pending the uses described above, we plan to invest the net proceeds from this offering in short-term, interest-bearing obligations, investment-grade instruments, certificates of deposit or direct or guaranteed obligations of the U.S. government.</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7" w:name="page78"/>
    <w:bookmarkEnd w:id="7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never declared or paid any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Our ability to pay cash dividends on our capital stock in the future may also be limited by the terms of any preferred securities we may issue or agreements governing any indebtedness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8" w:name="page79"/>
    <w:bookmarkEnd w:id="7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table sets forth our cash and capitalization as of March 31, 2024:</w:t>
      </w:r>
    </w:p>
    <w:p>
      <w:pPr>
        <w:spacing w:after="0" w:line="91" w:lineRule="exact"/>
        <w:rPr>
          <w:sz w:val="20"/>
          <w:szCs w:val="20"/>
          <w:color w:val="auto"/>
        </w:rPr>
      </w:pPr>
    </w:p>
    <w:p>
      <w:pPr>
        <w:ind w:left="1600" w:hanging="143"/>
        <w:spacing w:after="0"/>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basis, giving effect to (i) the automatic conversion of all outstanding shares of our</w:t>
      </w:r>
    </w:p>
    <w:p>
      <w:pPr>
        <w:spacing w:after="0" w:line="18" w:lineRule="exact"/>
        <w:rPr>
          <w:sz w:val="20"/>
          <w:szCs w:val="20"/>
          <w:color w:val="auto"/>
        </w:rPr>
      </w:pPr>
    </w:p>
    <w:p>
      <w:pPr>
        <w:jc w:val="both"/>
        <w:ind w:left="1600" w:right="1179"/>
        <w:spacing w:after="0" w:line="182" w:lineRule="auto"/>
        <w:rPr>
          <w:sz w:val="20"/>
          <w:szCs w:val="20"/>
          <w:color w:val="auto"/>
        </w:rPr>
      </w:pPr>
      <w:r>
        <w:rPr>
          <w:rFonts w:ascii="Times New Roman" w:cs="Times New Roman" w:eastAsia="Times New Roman" w:hAnsi="Times New Roman"/>
          <w:sz w:val="10"/>
          <w:szCs w:val="10"/>
          <w:color w:val="auto"/>
        </w:rPr>
        <w:t>convertible preferred stock as of March 31, 2024 into an aggregate of shares of our common stock and (ii) the automatic conversion of 116,275,239 shares of Series C Preferred Stock issued after March 31, 2024, including 12,284,686 shares of Series C Preferred Stock issued upon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600" w:right="1179"/>
        <w:spacing w:after="0" w:line="254" w:lineRule="auto"/>
        <w:rPr>
          <w:sz w:val="20"/>
          <w:szCs w:val="20"/>
          <w:color w:val="auto"/>
        </w:rPr>
      </w:pPr>
      <w:r>
        <w:rPr>
          <w:rFonts w:ascii="Times New Roman" w:cs="Times New Roman" w:eastAsia="Times New Roman" w:hAnsi="Times New Roman"/>
          <w:sz w:val="15"/>
          <w:szCs w:val="15"/>
          <w:color w:val="auto"/>
        </w:rPr>
        <w:t>conversion of all outstanding convertible notes, into an aggregate of            shares of our common stock, in each case, based on an assumed initial public offering price of $ per share, which is the</w:t>
      </w:r>
    </w:p>
    <w:p>
      <w:pPr>
        <w:spacing w:after="0" w:line="1" w:lineRule="exact"/>
        <w:rPr>
          <w:sz w:val="20"/>
          <w:szCs w:val="20"/>
          <w:color w:val="auto"/>
        </w:rPr>
      </w:pPr>
    </w:p>
    <w:p>
      <w:pPr>
        <w:jc w:val="both"/>
        <w:ind w:left="1600" w:right="1179"/>
        <w:spacing w:after="0" w:line="246" w:lineRule="auto"/>
        <w:rPr>
          <w:sz w:val="20"/>
          <w:szCs w:val="20"/>
          <w:color w:val="auto"/>
        </w:rPr>
      </w:pPr>
      <w:r>
        <w:rPr>
          <w:rFonts w:ascii="Times New Roman" w:cs="Times New Roman" w:eastAsia="Times New Roman" w:hAnsi="Times New Roman"/>
          <w:sz w:val="15"/>
          <w:szCs w:val="15"/>
          <w:color w:val="auto"/>
        </w:rPr>
        <w:t>midpoint of the price range set forth on the cover page of this prospectus, and the related reclassification of the carrying value of the convertible preferred stock to permanent equity immediately prior to the completion of this offering, and (ii) the filing and effectiveness of our Restated Charter, which will be effective immediately prior to the completion of this offering; and</w:t>
      </w:r>
    </w:p>
    <w:p>
      <w:pPr>
        <w:spacing w:after="0" w:line="69" w:lineRule="exact"/>
        <w:rPr>
          <w:sz w:val="20"/>
          <w:szCs w:val="20"/>
          <w:color w:val="auto"/>
        </w:rPr>
      </w:pPr>
    </w:p>
    <w:p>
      <w:pPr>
        <w:ind w:left="1600" w:hanging="143"/>
        <w:spacing w:after="0"/>
        <w:tabs>
          <w:tab w:leader="none" w:pos="16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giving effect to: (i) the pro forma adjustments set forth above and</w:t>
      </w:r>
    </w:p>
    <w:p>
      <w:pPr>
        <w:spacing w:after="0" w:line="17" w:lineRule="exact"/>
        <w:rPr>
          <w:rFonts w:ascii="Times New Roman" w:cs="Times New Roman" w:eastAsia="Times New Roman" w:hAnsi="Times New Roman"/>
          <w:sz w:val="15"/>
          <w:szCs w:val="15"/>
          <w:color w:val="auto"/>
        </w:rPr>
      </w:pPr>
    </w:p>
    <w:p>
      <w:pPr>
        <w:jc w:val="both"/>
        <w:ind w:left="1600" w:right="1179" w:firstLine="4"/>
        <w:spacing w:after="0" w:line="246" w:lineRule="auto"/>
        <w:tabs>
          <w:tab w:leader="none" w:pos="1851"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and issuance of               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9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pro forma as adjusted information below is illustrative only and our capitalization following the completion of this offering will change based on the initial public offering price and other terms of this offering determined at pricing. You should read the information in this table together with the financial statements and related notes as appearing at the end of this prospectus and the information set forth under the sections titled “Selected Financial Data” and “Management’s Discussion and Analysis of Financial Condition and Results of Operations.”</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2"/>
                <w:szCs w:val="12"/>
                <w:b w:val="1"/>
                <w:bCs w:val="1"/>
                <w:color w:val="auto"/>
              </w:rPr>
              <w:t>As of March 31, 2024</w:t>
            </w:r>
          </w:p>
        </w:tc>
        <w:tc>
          <w:tcPr>
            <w:tcW w:w="100" w:type="dxa"/>
            <w:vAlign w:val="bottom"/>
            <w:tcBorders>
              <w:bottom w:val="single" w:sz="8" w:color="auto"/>
            </w:tcBorders>
          </w:tcPr>
          <w:p>
            <w:pPr>
              <w:spacing w:after="0"/>
              <w:rPr>
                <w:sz w:val="16"/>
                <w:szCs w:val="16"/>
                <w:color w:val="auto"/>
              </w:rPr>
            </w:pP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8"/>
        </w:trPr>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w w:val="92"/>
              </w:rPr>
              <w:t>Pro Forma</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83"/>
        </w:trPr>
        <w:tc>
          <w:tcPr>
            <w:tcW w:w="1020" w:type="dxa"/>
            <w:vAlign w:val="bottom"/>
          </w:tcPr>
          <w:p>
            <w:pPr>
              <w:spacing w:after="0"/>
              <w:rPr>
                <w:sz w:val="15"/>
                <w:szCs w:val="15"/>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74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spacing w:after="0"/>
              <w:rPr>
                <w:sz w:val="15"/>
                <w:szCs w:val="15"/>
                <w:color w:val="auto"/>
              </w:rPr>
            </w:pPr>
          </w:p>
        </w:tc>
        <w:tc>
          <w:tcPr>
            <w:tcW w:w="3060" w:type="dxa"/>
            <w:vAlign w:val="bottom"/>
            <w:gridSpan w:val="9"/>
          </w:tcPr>
          <w:p>
            <w:pPr>
              <w:jc w:val="right"/>
              <w:ind w:right="910"/>
              <w:spacing w:after="0" w:line="183" w:lineRule="exact"/>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Pro Forma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As Adjusted</w:t>
            </w:r>
            <w:r>
              <w:rPr>
                <w:rFonts w:ascii="Times New Roman" w:cs="Times New Roman" w:eastAsia="Times New Roman" w:hAnsi="Times New Roman"/>
                <w:sz w:val="13"/>
                <w:szCs w:val="13"/>
                <w:b w:val="1"/>
                <w:bCs w:val="1"/>
                <w:color w:val="auto"/>
                <w:vertAlign w:val="superscript"/>
              </w:rPr>
              <w:t>(1)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b w:val="1"/>
                <w:bCs w:val="1"/>
                <w:color w:val="auto"/>
                <w:vertAlign w:val="subscript"/>
              </w:rPr>
              <w:t>​</w:t>
            </w:r>
          </w:p>
        </w:tc>
      </w:tr>
      <w:tr>
        <w:trPr>
          <w:trHeight w:val="20"/>
        </w:trPr>
        <w:tc>
          <w:tcPr>
            <w:tcW w:w="10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2"/>
        </w:trPr>
        <w:tc>
          <w:tcPr>
            <w:tcW w:w="1020" w:type="dxa"/>
            <w:vAlign w:val="bottom"/>
          </w:tcPr>
          <w:p>
            <w:pPr>
              <w:spacing w:after="0"/>
              <w:rPr>
                <w:sz w:val="21"/>
                <w:szCs w:val="21"/>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7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shd w:val="clear" w:color="auto" w:fill="CCEEFF"/>
          </w:tcPr>
          <w:p>
            <w:pPr>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1320" w:type="dxa"/>
            <w:vAlign w:val="bottom"/>
            <w:gridSpan w:val="5"/>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37,154</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 ​</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100" w:type="dxa"/>
            <w:vAlign w:val="bottom"/>
            <w:shd w:val="clear" w:color="auto" w:fill="CCEEFF"/>
          </w:tcPr>
          <w:p>
            <w:pPr>
              <w:spacing w:after="0"/>
              <w:rPr>
                <w:sz w:val="21"/>
                <w:szCs w:val="21"/>
                <w:color w:val="auto"/>
              </w:rPr>
            </w:pP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3580" w:type="dxa"/>
            <w:vAlign w:val="bottom"/>
            <w:tcBorders>
              <w:top w:val="single" w:sz="8" w:color="CCEEFF"/>
            </w:tcBorders>
            <w:gridSpan w:val="3"/>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020" w:type="dxa"/>
            <w:vAlign w:val="bottom"/>
          </w:tcPr>
          <w:p>
            <w:pPr>
              <w:spacing w:after="0"/>
              <w:rPr>
                <w:sz w:val="13"/>
                <w:szCs w:val="13"/>
                <w:color w:val="auto"/>
              </w:rPr>
            </w:pPr>
          </w:p>
        </w:tc>
        <w:tc>
          <w:tcPr>
            <w:tcW w:w="3580" w:type="dxa"/>
            <w:vAlign w:val="bottom"/>
            <w:gridSpan w:val="3"/>
          </w:tcPr>
          <w:p>
            <w:pPr>
              <w:spacing w:after="0" w:line="151" w:lineRule="exact"/>
              <w:rPr>
                <w:sz w:val="20"/>
                <w:szCs w:val="20"/>
                <w:color w:val="auto"/>
              </w:rPr>
            </w:pPr>
            <w:r>
              <w:rPr>
                <w:rFonts w:ascii="Times New Roman" w:cs="Times New Roman" w:eastAsia="Times New Roman" w:hAnsi="Times New Roman"/>
                <w:sz w:val="15"/>
                <w:szCs w:val="15"/>
                <w:color w:val="auto"/>
              </w:rPr>
              <w:t>Convertible notes, at fair value</w:t>
            </w:r>
          </w:p>
        </w:tc>
        <w:tc>
          <w:tcPr>
            <w:tcW w:w="740" w:type="dxa"/>
            <w:vAlign w:val="bottom"/>
          </w:tcPr>
          <w:p>
            <w:pPr>
              <w:spacing w:after="0"/>
              <w:rPr>
                <w:sz w:val="13"/>
                <w:szCs w:val="13"/>
                <w:color w:val="auto"/>
              </w:rPr>
            </w:pPr>
          </w:p>
        </w:tc>
        <w:tc>
          <w:tcPr>
            <w:tcW w:w="32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5"/>
                <w:szCs w:val="15"/>
                <w:color w:val="auto"/>
              </w:rPr>
              <w:t>​ ​​$</w:t>
            </w:r>
          </w:p>
        </w:tc>
        <w:tc>
          <w:tcPr>
            <w:tcW w:w="1140" w:type="dxa"/>
            <w:vAlign w:val="bottom"/>
            <w:gridSpan w:val="3"/>
          </w:tcPr>
          <w:p>
            <w:pPr>
              <w:jc w:val="right"/>
              <w:ind w:right="440"/>
              <w:spacing w:after="0" w:line="151" w:lineRule="exact"/>
              <w:rPr>
                <w:sz w:val="20"/>
                <w:szCs w:val="20"/>
                <w:color w:val="auto"/>
              </w:rPr>
            </w:pPr>
            <w:r>
              <w:rPr>
                <w:rFonts w:ascii="Times New Roman" w:cs="Times New Roman" w:eastAsia="Times New Roman" w:hAnsi="Times New Roman"/>
                <w:sz w:val="15"/>
                <w:szCs w:val="15"/>
                <w:color w:val="auto"/>
              </w:rPr>
              <w:t>20,994​​ ​​$</w:t>
            </w:r>
          </w:p>
        </w:tc>
        <w:tc>
          <w:tcPr>
            <w:tcW w:w="1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910"/>
              <w:spacing w:after="0" w:line="15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194"/>
        </w:trPr>
        <w:tc>
          <w:tcPr>
            <w:tcW w:w="1020" w:type="dxa"/>
            <w:vAlign w:val="bottom"/>
          </w:tcPr>
          <w:p>
            <w:pPr>
              <w:spacing w:after="0"/>
              <w:rPr>
                <w:sz w:val="16"/>
                <w:szCs w:val="16"/>
                <w:color w:val="auto"/>
              </w:rPr>
            </w:pPr>
          </w:p>
        </w:tc>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Seed convertible preferred stock, par value $0.0001 per share;</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76"/>
        </w:trPr>
        <w:tc>
          <w:tcPr>
            <w:tcW w:w="1020" w:type="dxa"/>
            <w:vAlign w:val="bottom"/>
          </w:tcPr>
          <w:p>
            <w:pPr>
              <w:spacing w:after="0"/>
              <w:rPr>
                <w:sz w:val="15"/>
                <w:szCs w:val="15"/>
                <w:color w:val="auto"/>
              </w:rPr>
            </w:pPr>
          </w:p>
        </w:tc>
        <w:tc>
          <w:tcPr>
            <w:tcW w:w="43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1,785,714 shares authorized, issued and outstanding, actual; no</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43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shares authorized, issued and outstanding, pro forma and pro forma</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1020" w:type="dxa"/>
            <w:vAlign w:val="bottom"/>
          </w:tcPr>
          <w:p>
            <w:pPr>
              <w:spacing w:after="0"/>
              <w:rPr>
                <w:sz w:val="16"/>
                <w:szCs w:val="16"/>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as adjusted</w:t>
            </w:r>
          </w:p>
        </w:tc>
        <w:tc>
          <w:tcPr>
            <w:tcW w:w="7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956​​ ​​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4"/>
        </w:trPr>
        <w:tc>
          <w:tcPr>
            <w:tcW w:w="1020" w:type="dxa"/>
            <w:vAlign w:val="bottom"/>
          </w:tcPr>
          <w:p>
            <w:pPr>
              <w:spacing w:after="0"/>
              <w:rPr>
                <w:sz w:val="16"/>
                <w:szCs w:val="16"/>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Series A convertible preferred stock, par value $0.0001 per share;</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6"/>
        </w:trPr>
        <w:tc>
          <w:tcPr>
            <w:tcW w:w="1020" w:type="dxa"/>
            <w:vAlign w:val="bottom"/>
          </w:tcPr>
          <w:p>
            <w:pPr>
              <w:spacing w:after="0"/>
              <w:rPr>
                <w:sz w:val="15"/>
                <w:szCs w:val="15"/>
                <w:color w:val="auto"/>
              </w:rPr>
            </w:pPr>
          </w:p>
        </w:tc>
        <w:tc>
          <w:tcPr>
            <w:tcW w:w="432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17,589,380 shares authorized, issued and outstanding, actual; no</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432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shares authorized, issued and outstanding, pro forma and pro forma</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1020" w:type="dxa"/>
            <w:vAlign w:val="bottom"/>
          </w:tcPr>
          <w:p>
            <w:pPr>
              <w:spacing w:after="0"/>
              <w:rPr>
                <w:sz w:val="16"/>
                <w:szCs w:val="16"/>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as adjusted</w:t>
            </w:r>
          </w:p>
        </w:tc>
        <w:tc>
          <w:tcPr>
            <w:tcW w:w="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gridSpan w:val="7"/>
          </w:tcPr>
          <w:p>
            <w:pPr>
              <w:ind w:left="60"/>
              <w:spacing w:after="0"/>
              <w:rPr>
                <w:sz w:val="20"/>
                <w:szCs w:val="20"/>
                <w:color w:val="auto"/>
              </w:rPr>
            </w:pPr>
            <w:r>
              <w:rPr>
                <w:rFonts w:ascii="Times New Roman" w:cs="Times New Roman" w:eastAsia="Times New Roman" w:hAnsi="Times New Roman"/>
                <w:sz w:val="15"/>
                <w:szCs w:val="15"/>
                <w:color w:val="auto"/>
              </w:rPr>
              <w:t>​ ​​ ​ 55,840​​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194"/>
        </w:trPr>
        <w:tc>
          <w:tcPr>
            <w:tcW w:w="1020" w:type="dxa"/>
            <w:vAlign w:val="bottom"/>
          </w:tcPr>
          <w:p>
            <w:pPr>
              <w:spacing w:after="0"/>
              <w:rPr>
                <w:sz w:val="16"/>
                <w:szCs w:val="16"/>
                <w:color w:val="auto"/>
              </w:rPr>
            </w:pPr>
          </w:p>
        </w:tc>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convertible preferred stock, par value $0.0001 per share;</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76"/>
        </w:trPr>
        <w:tc>
          <w:tcPr>
            <w:tcW w:w="1020" w:type="dxa"/>
            <w:vAlign w:val="bottom"/>
          </w:tcPr>
          <w:p>
            <w:pPr>
              <w:spacing w:after="0"/>
              <w:rPr>
                <w:sz w:val="15"/>
                <w:szCs w:val="15"/>
                <w:color w:val="auto"/>
              </w:rPr>
            </w:pPr>
          </w:p>
        </w:tc>
        <w:tc>
          <w:tcPr>
            <w:tcW w:w="43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81,242,587 shares authorized, issued and outstanding, actual; no</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43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shares authorized, issued and outstanding, pro forma and pro forma</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1020" w:type="dxa"/>
            <w:vAlign w:val="bottom"/>
          </w:tcPr>
          <w:p>
            <w:pPr>
              <w:spacing w:after="0"/>
              <w:rPr>
                <w:sz w:val="16"/>
                <w:szCs w:val="16"/>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as adjusted</w:t>
            </w:r>
          </w:p>
        </w:tc>
        <w:tc>
          <w:tcPr>
            <w:tcW w:w="7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6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​193,290​​ ​​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1020" w:type="dxa"/>
            <w:vAlign w:val="bottom"/>
          </w:tcPr>
          <w:p>
            <w:pPr>
              <w:spacing w:after="0"/>
              <w:rPr>
                <w:sz w:val="17"/>
                <w:szCs w:val="17"/>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Stockholders’ (deficit) equity:</w:t>
            </w:r>
          </w:p>
        </w:tc>
        <w:tc>
          <w:tcPr>
            <w:tcW w:w="1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spacing w:after="0"/>
              <w:rPr>
                <w:sz w:val="17"/>
                <w:szCs w:val="17"/>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205"/>
        </w:trPr>
        <w:tc>
          <w:tcPr>
            <w:tcW w:w="1020" w:type="dxa"/>
            <w:vAlign w:val="bottom"/>
          </w:tcPr>
          <w:p>
            <w:pPr>
              <w:spacing w:after="0"/>
              <w:rPr>
                <w:sz w:val="17"/>
                <w:szCs w:val="17"/>
                <w:color w:val="auto"/>
              </w:rPr>
            </w:pPr>
          </w:p>
        </w:tc>
        <w:tc>
          <w:tcPr>
            <w:tcW w:w="43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$0.0001 par value; 175,000,000 shares authorized,</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3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13,569,355 shares issued and outstanding, actual;</w:t>
            </w: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shares</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1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authorized,</w:t>
            </w:r>
          </w:p>
        </w:tc>
        <w:tc>
          <w:tcPr>
            <w:tcW w:w="31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shares issued and outstanding, pro forma and</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1020" w:type="dxa"/>
            <w:vAlign w:val="bottom"/>
          </w:tcPr>
          <w:p>
            <w:pPr>
              <w:spacing w:after="0"/>
              <w:rPr>
                <w:sz w:val="16"/>
                <w:szCs w:val="16"/>
                <w:color w:val="auto"/>
              </w:rPr>
            </w:pPr>
          </w:p>
        </w:tc>
        <w:tc>
          <w:tcPr>
            <w:tcW w:w="1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pro forma as adjusted</w:t>
            </w:r>
          </w:p>
        </w:tc>
        <w:tc>
          <w:tcPr>
            <w:tcW w:w="17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1​​ ​​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5"/>
        </w:trPr>
        <w:tc>
          <w:tcPr>
            <w:tcW w:w="1020" w:type="dxa"/>
            <w:vAlign w:val="bottom"/>
          </w:tcPr>
          <w:p>
            <w:pPr>
              <w:spacing w:after="0"/>
              <w:rPr>
                <w:sz w:val="17"/>
                <w:szCs w:val="17"/>
                <w:color w:val="auto"/>
              </w:rPr>
            </w:pPr>
          </w:p>
        </w:tc>
        <w:tc>
          <w:tcPr>
            <w:tcW w:w="432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Preferred stock, $0.0001 par value; no shares authorized, issued or</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outstanding, actual;</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shares authorized and no shares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1020" w:type="dxa"/>
            <w:vAlign w:val="bottom"/>
          </w:tcPr>
          <w:p>
            <w:pPr>
              <w:spacing w:after="0"/>
              <w:rPr>
                <w:sz w:val="16"/>
                <w:szCs w:val="16"/>
                <w:color w:val="auto"/>
              </w:rPr>
            </w:pPr>
          </w:p>
        </w:tc>
        <w:tc>
          <w:tcPr>
            <w:tcW w:w="4320" w:type="dxa"/>
            <w:vAlign w:val="bottom"/>
            <w:gridSpan w:val="4"/>
          </w:tcPr>
          <w:p>
            <w:pPr>
              <w:ind w:left="300"/>
              <w:spacing w:after="0"/>
              <w:rPr>
                <w:sz w:val="20"/>
                <w:szCs w:val="20"/>
                <w:color w:val="auto"/>
              </w:rPr>
            </w:pPr>
            <w:r>
              <w:rPr>
                <w:rFonts w:ascii="Times New Roman" w:cs="Times New Roman" w:eastAsia="Times New Roman" w:hAnsi="Times New Roman"/>
                <w:sz w:val="15"/>
                <w:szCs w:val="15"/>
                <w:color w:val="auto"/>
              </w:rPr>
              <w:t>issued or outstanding, pro forma and pro forma as adjusted</w:t>
            </w:r>
          </w:p>
        </w:tc>
        <w:tc>
          <w:tcPr>
            <w:tcW w:w="3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color w:val="auto"/>
              </w:rPr>
              <w:t>—​​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527"/>
        </w:trPr>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76</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-3215640</wp:posOffset>
            </wp:positionV>
            <wp:extent cx="378841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9" w:name="page80"/>
    <w:bookmarkEnd w:id="7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2"/>
                <w:szCs w:val="12"/>
                <w:b w:val="1"/>
                <w:bCs w:val="1"/>
                <w:color w:val="auto"/>
              </w:rPr>
              <w:t>As of March 31, 2024</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6"/>
        </w:trPr>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b w:val="1"/>
                <w:bCs w:val="1"/>
                <w:color w:val="auto"/>
                <w:w w:val="92"/>
              </w:rPr>
              <w:t>Pro Forma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2040" w:type="dxa"/>
            <w:vAlign w:val="bottom"/>
            <w:gridSpan w:val="9"/>
          </w:tcPr>
          <w:p>
            <w:pPr>
              <w:ind w:left="2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Pro Forma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As Adjusted</w:t>
            </w:r>
            <w:r>
              <w:rPr>
                <w:rFonts w:ascii="Times New Roman" w:cs="Times New Roman" w:eastAsia="Times New Roman" w:hAnsi="Times New Roman"/>
                <w:sz w:val="13"/>
                <w:szCs w:val="13"/>
                <w:b w:val="1"/>
                <w:bCs w:val="1"/>
                <w:color w:val="auto"/>
                <w:vertAlign w:val="superscript"/>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5,633​​ ​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74​​ ​ ​</w:t>
            </w:r>
          </w:p>
        </w:tc>
        <w:tc>
          <w:tcPr>
            <w:tcW w:w="3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60" w:type="dxa"/>
            <w:vAlign w:val="bottom"/>
          </w:tcPr>
          <w:p>
            <w:pPr>
              <w:jc w:val="right"/>
              <w:ind w:right="13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5"/>
                <w:szCs w:val="15"/>
                <w:color w:val="auto"/>
              </w:rPr>
              <w:t>Accumulated deficit</w:t>
            </w: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left w:val="single" w:sz="8" w:color="CCEEFF"/>
            </w:tcBorders>
            <w:gridSpan w:val="4"/>
            <w:shd w:val="clear" w:color="auto" w:fill="CCEEFF"/>
          </w:tcPr>
          <w:p>
            <w:pPr>
              <w:jc w:val="right"/>
              <w:ind w:right="280"/>
              <w:spacing w:after="0" w:line="165" w:lineRule="exact"/>
              <w:rPr>
                <w:sz w:val="20"/>
                <w:szCs w:val="20"/>
                <w:color w:val="auto"/>
              </w:rPr>
            </w:pPr>
            <w:r>
              <w:rPr>
                <w:rFonts w:ascii="Times New Roman" w:cs="Times New Roman" w:eastAsia="Times New Roman" w:hAnsi="Times New Roman"/>
                <w:sz w:val="15"/>
                <w:szCs w:val="15"/>
                <w:color w:val="auto"/>
              </w:rPr>
              <w:t>​(258,203)</w:t>
            </w:r>
          </w:p>
        </w:tc>
        <w:tc>
          <w:tcPr>
            <w:tcW w:w="32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left w:val="single" w:sz="8" w:color="CCEEFF"/>
            </w:tcBorders>
            <w:shd w:val="clear" w:color="auto" w:fill="CCEEFF"/>
          </w:tcPr>
          <w:p>
            <w:pPr>
              <w:jc w:val="right"/>
              <w:ind w:right="119"/>
              <w:spacing w:after="0" w:line="165"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43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40" w:type="dxa"/>
            <w:vAlign w:val="bottom"/>
            <w:gridSpan w:val="2"/>
            <w:shd w:val="clear" w:color="auto" w:fill="CCEEFF"/>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 ​ ​</w:t>
            </w:r>
          </w:p>
        </w:tc>
        <w:tc>
          <w:tcPr>
            <w:tcW w:w="32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 ​ ​</w:t>
            </w:r>
          </w:p>
        </w:tc>
        <w:tc>
          <w:tcPr>
            <w:tcW w:w="24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4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Total stockholders’ (deficit) equity</w:t>
            </w: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4"/>
          </w:tcPr>
          <w:p>
            <w:pPr>
              <w:jc w:val="right"/>
              <w:ind w:right="280"/>
              <w:spacing w:after="0" w:line="156" w:lineRule="exact"/>
              <w:rPr>
                <w:sz w:val="20"/>
                <w:szCs w:val="20"/>
                <w:color w:val="auto"/>
              </w:rPr>
            </w:pPr>
            <w:r>
              <w:rPr>
                <w:rFonts w:ascii="Times New Roman" w:cs="Times New Roman" w:eastAsia="Times New Roman" w:hAnsi="Times New Roman"/>
                <w:sz w:val="15"/>
                <w:szCs w:val="15"/>
                <w:color w:val="auto"/>
              </w:rPr>
              <w:t>​(252,495)</w:t>
            </w:r>
          </w:p>
        </w:tc>
        <w:tc>
          <w:tcPr>
            <w:tcW w:w="320" w:type="dxa"/>
            <w:vAlign w:val="bottom"/>
          </w:tcPr>
          <w:p>
            <w:pPr>
              <w:ind w:left="1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119"/>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160" w:type="dxa"/>
            <w:vAlign w:val="bottom"/>
          </w:tcPr>
          <w:p>
            <w:pPr>
              <w:jc w:val="right"/>
              <w:ind w:right="13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43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gridSpan w:val="2"/>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 ​ ​</w:t>
            </w:r>
          </w:p>
        </w:tc>
        <w:tc>
          <w:tcPr>
            <w:tcW w:w="320" w:type="dxa"/>
            <w:vAlign w:val="bottom"/>
          </w:tcPr>
          <w:p>
            <w:pPr>
              <w:spacing w:after="0"/>
              <w:rPr>
                <w:sz w:val="4"/>
                <w:szCs w:val="4"/>
                <w:color w:val="auto"/>
              </w:rPr>
            </w:pPr>
          </w:p>
        </w:tc>
        <w:tc>
          <w:tcPr>
            <w:tcW w:w="22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 ​ ​</w:t>
            </w:r>
          </w:p>
        </w:tc>
        <w:tc>
          <w:tcPr>
            <w:tcW w:w="2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capitalization</w:t>
            </w: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right w:val="single" w:sz="8" w:color="CCEEFF"/>
            </w:tcBorders>
            <w:gridSpan w:val="2"/>
            <w:shd w:val="clear" w:color="auto" w:fill="CCEEFF"/>
          </w:tcPr>
          <w:p>
            <w:pPr>
              <w:jc w:val="right"/>
              <w:ind w:right="136"/>
              <w:spacing w:after="0" w:line="167" w:lineRule="exact"/>
              <w:rPr>
                <w:sz w:val="20"/>
                <w:szCs w:val="20"/>
                <w:color w:val="auto"/>
              </w:rPr>
            </w:pPr>
            <w:r>
              <w:rPr>
                <w:rFonts w:ascii="Times New Roman" w:cs="Times New Roman" w:eastAsia="Times New Roman" w:hAnsi="Times New Roman"/>
                <w:sz w:val="15"/>
                <w:szCs w:val="15"/>
                <w:color w:val="auto"/>
              </w:rPr>
              <w:t>(2,409)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135"/>
              <w:spacing w:after="0" w:line="167"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34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rPr>
              <w:t>​​</w:t>
            </w:r>
          </w:p>
        </w:tc>
        <w:tc>
          <w:tcPr>
            <w:tcW w:w="120" w:type="dxa"/>
            <w:vAlign w:val="bottom"/>
            <w:tcBorders>
              <w:left w:val="single" w:sz="8" w:color="CCEEFF"/>
            </w:tcBorders>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
                <w:szCs w:val="2"/>
                <w:color w:val="auto"/>
              </w:rPr>
              <w:t>​​ ​ ​</w:t>
            </w:r>
          </w:p>
        </w:tc>
        <w:tc>
          <w:tcPr>
            <w:tcW w:w="320" w:type="dxa"/>
            <w:vAlign w:val="bottom"/>
            <w:shd w:val="clear" w:color="auto" w:fill="CCEEFF"/>
          </w:tcPr>
          <w:p>
            <w:pPr>
              <w:spacing w:after="0"/>
              <w:rPr>
                <w:sz w:val="5"/>
                <w:szCs w:val="5"/>
                <w:color w:val="auto"/>
              </w:rPr>
            </w:pPr>
          </w:p>
        </w:tc>
        <w:tc>
          <w:tcPr>
            <w:tcW w:w="220" w:type="dxa"/>
            <w:vAlign w:val="bottom"/>
            <w:tcBorders>
              <w:left w:val="single" w:sz="8" w:color="CCEEFF"/>
            </w:tcBorders>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-732155</wp:posOffset>
            </wp:positionV>
            <wp:extent cx="380936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0936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104775</wp:posOffset>
            </wp:positionV>
            <wp:extent cx="44640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7" w:lineRule="exact"/>
        <w:rPr>
          <w:sz w:val="20"/>
          <w:szCs w:val="20"/>
          <w:color w:val="auto"/>
        </w:rPr>
      </w:pPr>
    </w:p>
    <w:p>
      <w:pPr>
        <w:jc w:val="both"/>
        <w:ind w:left="1460" w:right="1179" w:hanging="296"/>
        <w:spacing w:after="0"/>
        <w:tabs>
          <w:tab w:leader="none" w:pos="14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$1.00 increase or decrease in the assumed initial public offering price of $            per share, which is the midpoint of the price range set forth on the cover page of this prospectus, would increase or decrease, as applicable, each of cash, additional paid-in capital, total stockholders’ (deficit) equity and total capitalization on a pro forma as adjusted basis by approximately $            million, assuming that the number of shares offered by us, as set forth on the cover page of this prospectus, remains the same, and after deducting estimated underwriting discounts and commissions and estimated offering expenses. Similarly, each increase or decrease of 1,000,000 shares in the number of shares offered by us, as set forth on the cover page of this prospectus, would increase or decrease, as applicable, each of cash, additional paid-in capital, total stockholders’ (deficit) equity and total capitalization on a pro forma as adjusted basis by approximately $            million, assuming that the assumed initial public offering price remains the same, and after deducting the estimated underwriting discounts and commissions and estimated offering expenses.</w:t>
      </w:r>
    </w:p>
    <w:p>
      <w:pPr>
        <w:spacing w:after="0" w:line="20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If the underwriters’ over-allotment option is exercised in full, our pro forma as adjusted cash, additional paid-in capital, total stockholders’ (deficit) equity and total capitalization as of March 31, 2024, would be $            million, $            million, $            million and $            million, respectively.</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after this offering on a pro forma and pro forma as adjusted basis is based on           shares of common stock outstanding as of March 31, 2024 (including 32,711 shares of unvested restricted common stock) after giving effect to (i) the automatic conversion of all outstanding shares of our convertible preferred stock as of March 31, 2024 into an</w:t>
      </w:r>
    </w:p>
    <w:p>
      <w:pPr>
        <w:spacing w:after="0" w:line="2" w:lineRule="exact"/>
        <w:rPr>
          <w:sz w:val="20"/>
          <w:szCs w:val="20"/>
          <w:color w:val="auto"/>
        </w:rPr>
      </w:pPr>
    </w:p>
    <w:p>
      <w:pPr>
        <w:ind w:left="1160"/>
        <w:spacing w:after="0"/>
        <w:tabs>
          <w:tab w:leader="none" w:pos="2460" w:val="left"/>
        </w:tabs>
        <w:rPr>
          <w:sz w:val="20"/>
          <w:szCs w:val="20"/>
          <w:color w:val="auto"/>
        </w:rPr>
      </w:pPr>
      <w:r>
        <w:rPr>
          <w:rFonts w:ascii="Times New Roman" w:cs="Times New Roman" w:eastAsia="Times New Roman" w:hAnsi="Times New Roman"/>
          <w:sz w:val="15"/>
          <w:szCs w:val="15"/>
          <w:color w:val="auto"/>
        </w:rPr>
        <w:t>aggregate of</w:t>
      </w:r>
      <w:r>
        <w:rPr>
          <w:sz w:val="20"/>
          <w:szCs w:val="20"/>
          <w:color w:val="auto"/>
        </w:rPr>
        <w:tab/>
      </w:r>
      <w:r>
        <w:rPr>
          <w:rFonts w:ascii="Times New Roman" w:cs="Times New Roman" w:eastAsia="Times New Roman" w:hAnsi="Times New Roman"/>
          <w:sz w:val="15"/>
          <w:szCs w:val="15"/>
          <w:color w:val="auto"/>
        </w:rPr>
        <w:t>shares of our common stock and (ii) the automatic conversion of 116,275,239 shares of</w:t>
      </w:r>
    </w:p>
    <w:tbl>
      <w:tblPr>
        <w:tblLayout w:type="fixed"/>
        <w:tblInd w:w="1160" w:type="dxa"/>
        <w:tblCellMar>
          <w:top w:w="0" w:type="dxa"/>
          <w:left w:w="0" w:type="dxa"/>
          <w:bottom w:w="0" w:type="dxa"/>
          <w:right w:w="0" w:type="dxa"/>
        </w:tblCellMar>
      </w:tblPr>
      <w:tr>
        <w:trPr>
          <w:trHeight w:val="164"/>
        </w:trPr>
        <w:tc>
          <w:tcPr>
            <w:tcW w:w="608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Series C Preferred Stock issued after March 31, 2024, including 12,284,686 shares of Series C</w:t>
            </w: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Preferred</w:t>
            </w:r>
          </w:p>
        </w:tc>
      </w:tr>
      <w:tr>
        <w:trPr>
          <w:trHeight w:val="176"/>
        </w:trPr>
        <w:tc>
          <w:tcPr>
            <w:tcW w:w="6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Stock issued upon the conversion of all outstanding convertible notes, into an aggregate of            </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shares of</w:t>
            </w:r>
          </w:p>
        </w:tc>
      </w:tr>
      <w:tr>
        <w:trPr>
          <w:trHeight w:val="190"/>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our common stock, in each case, based on an assumed initial public offering price of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per share, which</w:t>
            </w:r>
          </w:p>
        </w:tc>
      </w:tr>
    </w:tbl>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is the midpoint of the price range set forth on the cover page of this prospectus immediately prior to the completion of this offering, and excludes:</w:t>
      </w:r>
    </w:p>
    <w:p>
      <w:pPr>
        <w:spacing w:after="0" w:line="67" w:lineRule="exact"/>
        <w:rPr>
          <w:sz w:val="20"/>
          <w:szCs w:val="20"/>
          <w:color w:val="auto"/>
        </w:rPr>
      </w:pPr>
    </w:p>
    <w:p>
      <w:pPr>
        <w:ind w:left="1600" w:right="1179" w:hanging="143"/>
        <w:spacing w:after="0" w:line="269" w:lineRule="auto"/>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20,867,081 shares of common stock issuable upon the exercise of stock options outstanding as of March 31, 2024, with a weighted-average exercise price of $0.99 per share;</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474,739 shares of common stock reserved for issuance as of March 31, 2024 under the 2020 Plan;</w:t>
      </w:r>
    </w:p>
    <w:p>
      <w:pPr>
        <w:spacing w:after="0" w:line="91" w:lineRule="exact"/>
        <w:rPr>
          <w:rFonts w:ascii="Times New Roman" w:cs="Times New Roman" w:eastAsia="Times New Roman" w:hAnsi="Times New Roman"/>
          <w:sz w:val="15"/>
          <w:szCs w:val="15"/>
          <w:color w:val="auto"/>
        </w:rPr>
      </w:pPr>
    </w:p>
    <w:p>
      <w:pPr>
        <w:ind w:left="2280" w:hanging="823"/>
        <w:spacing w:after="0"/>
        <w:tabs>
          <w:tab w:leader="none" w:pos="22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issuable upon the exercise of stock options granted subsequent to</w:t>
      </w:r>
    </w:p>
    <w:p>
      <w:pPr>
        <w:spacing w:after="0" w:line="18" w:lineRule="exact"/>
        <w:rPr>
          <w:sz w:val="20"/>
          <w:szCs w:val="20"/>
          <w:color w:val="auto"/>
        </w:rPr>
      </w:pPr>
    </w:p>
    <w:p>
      <w:pPr>
        <w:ind w:left="1600"/>
        <w:spacing w:after="0"/>
        <w:tabs>
          <w:tab w:leader="none" w:pos="7020" w:val="left"/>
        </w:tabs>
        <w:rPr>
          <w:sz w:val="20"/>
          <w:szCs w:val="20"/>
          <w:color w:val="auto"/>
        </w:rPr>
      </w:pPr>
      <w:r>
        <w:rPr>
          <w:rFonts w:ascii="Times New Roman" w:cs="Times New Roman" w:eastAsia="Times New Roman" w:hAnsi="Times New Roman"/>
          <w:sz w:val="15"/>
          <w:szCs w:val="15"/>
          <w:color w:val="auto"/>
        </w:rPr>
        <w:t>March 31, 2024, under the 2020 Plan, with a weighted-average exercise price of $</w:t>
      </w:r>
      <w:r>
        <w:rPr>
          <w:sz w:val="20"/>
          <w:szCs w:val="20"/>
          <w:color w:val="auto"/>
        </w:rPr>
        <w:tab/>
      </w:r>
      <w:r>
        <w:rPr>
          <w:rFonts w:ascii="Times New Roman" w:cs="Times New Roman" w:eastAsia="Times New Roman" w:hAnsi="Times New Roman"/>
          <w:sz w:val="15"/>
          <w:szCs w:val="15"/>
          <w:color w:val="auto"/>
        </w:rPr>
        <w:t>per share;</w:t>
      </w:r>
    </w:p>
    <w:p>
      <w:pPr>
        <w:spacing w:after="0" w:line="76" w:lineRule="exact"/>
        <w:rPr>
          <w:sz w:val="20"/>
          <w:szCs w:val="20"/>
          <w:color w:val="auto"/>
        </w:rPr>
      </w:pPr>
    </w:p>
    <w:p>
      <w:pPr>
        <w:jc w:val="both"/>
        <w:ind w:left="1600" w:right="1179" w:hanging="143"/>
        <w:spacing w:after="0" w:line="250" w:lineRule="auto"/>
        <w:tabs>
          <w:tab w:leader="none" w:pos="2072"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the 2024 Plan, which will become effective in connection with this offering (which includes up to approximately            million shares of common stock underlying stock option awards that our board of directors may grant under the 2024 Plan upon the pricing of this offering with an exercise price per share equal to the initial public offering price per share); and</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205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the 2024 ESPP, which will become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0" w:name="page81"/>
    <w:bookmarkEnd w:id="8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2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historical net tangible book value (deficit) as of March 31, 2024 was $            million, or $            per share of common stock. Our historical net tangible book value (deficit) is the amount of our total tangible assets less our total liabilities and the carrying value of our preferred stock, which is not included within stockholders’ (deficit) equity. Historical net tangible book value (deficit) per share represents historical net tangible book value (deficit) divided by the shares of common stock outstanding as of March 31, 2024.</w:t>
      </w:r>
    </w:p>
    <w:p>
      <w:pPr>
        <w:spacing w:after="0" w:line="25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Our pro forma net tangible book value as of March 31, 2024 was $            million, or $            per share of common stock. Pro forma net tangible book value represents the amount of our total tangible assets less our liabilities, assuming an initial offering price of $            per share, which is the midpoint of the price range set forth on the cover page of this prospectus, and gives effect to (i) the automatic conversion of all outstanding shares of our convertible preferred stock as of March 31, 2024 into an aggregate of</w:t>
      </w:r>
    </w:p>
    <w:p>
      <w:pPr>
        <w:spacing w:after="0" w:line="3" w:lineRule="exact"/>
        <w:rPr>
          <w:sz w:val="20"/>
          <w:szCs w:val="20"/>
          <w:color w:val="auto"/>
        </w:rPr>
      </w:pPr>
    </w:p>
    <w:p>
      <w:pPr>
        <w:jc w:val="both"/>
        <w:ind w:left="1160" w:right="1179" w:firstLine="601"/>
        <w:spacing w:after="0" w:line="234" w:lineRule="auto"/>
        <w:rPr>
          <w:sz w:val="20"/>
          <w:szCs w:val="20"/>
          <w:color w:val="auto"/>
        </w:rPr>
      </w:pPr>
      <w:r>
        <w:rPr>
          <w:rFonts w:ascii="Times New Roman" w:cs="Times New Roman" w:eastAsia="Times New Roman" w:hAnsi="Times New Roman"/>
          <w:sz w:val="15"/>
          <w:szCs w:val="15"/>
          <w:color w:val="auto"/>
        </w:rPr>
        <w:t>shares of our common stock and (ii) the automatic conversion of 116,275,239 shares of Series C Preferred Stock issued after March 31, 2024, including 12,284,686 shares of Series C Preferred Stock issued upon the conversion of all outstanding convertible notes, into an aggregate of             shares of our common</w:t>
      </w:r>
    </w:p>
    <w:p>
      <w:pPr>
        <w:spacing w:after="0" w:line="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stock, in each case, based on an assumed initial public offering price of $ per share, which is the midpoint of the price range set forth on the cover page of this prospectus upon the completion of this offering. Pro forma net tangible book value per share represents pro forma net tangible book value divided by the total number of shares outstanding as of March 31, 2024 after giving effect to the pro forma adjustments described above.</w:t>
      </w:r>
    </w:p>
    <w:p>
      <w:pPr>
        <w:spacing w:after="0" w:line="25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After giving further effect to our issuance and sale of           shares of common stock in this offering at an assumed initial public offering price of $            per share, which is the midpoint of the price range set forth on the cover page of this prospectus, and after deducting estimated underwriting discounts and commissions and estimated offering expenses payable by us, our pro forma as adjusted net tangible book value as of March 31, 2024 would have been $            million, or $            per share. This represents an immediate increase in pro forma as adjusted net tangible book value of $             per share to existing stockholders and an immediate dilution of $            in pro forma as adjusted net tangible book value per share to new investors participating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71"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initial public offering price per share</w:t>
            </w:r>
          </w:p>
        </w:tc>
        <w:tc>
          <w:tcPr>
            <w:tcW w:w="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Historical net tangible book value (deficit) per share as of March 31, 2024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8"/>
                <w:szCs w:val="18"/>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Increase attributable to pro forma adjustments</w:t>
            </w:r>
          </w:p>
        </w:tc>
        <w:tc>
          <w:tcPr>
            <w:tcW w:w="760" w:type="dxa"/>
            <w:vAlign w:val="bottom"/>
            <w:gridSpan w:val="6"/>
            <w:shd w:val="clear" w:color="auto" w:fill="CCEEFF"/>
          </w:tcPr>
          <w:p>
            <w:pPr>
              <w:ind w:left="2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 xml:space="preserve">​         </w:t>
            </w:r>
            <w:r>
              <w:rPr>
                <w:rFonts w:ascii="Times New Roman" w:cs="Times New Roman" w:eastAsia="Times New Roman" w:hAnsi="Times New Roman"/>
                <w:sz w:val="13"/>
                <w:szCs w:val="13"/>
                <w:color w:val="auto"/>
              </w:rPr>
              <w:t xml:space="preserve"> ​​​​ ​</w:t>
            </w:r>
          </w:p>
        </w:tc>
        <w:tc>
          <w:tcPr>
            <w:tcW w:w="38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 forma net tangible book value per share as of March 31, 2024</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100" w:type="dxa"/>
            <w:vAlign w:val="bottom"/>
            <w:shd w:val="clear" w:color="auto" w:fill="CCEEFF"/>
          </w:tcPr>
          <w:p>
            <w:pPr>
              <w:spacing w:after="0"/>
              <w:rPr>
                <w:sz w:val="15"/>
                <w:szCs w:val="15"/>
                <w:color w:val="auto"/>
              </w:rPr>
            </w:pPr>
          </w:p>
        </w:tc>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Increase in pro forma net tangible book value per share attributable to new investors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participating in this offering</w:t>
            </w:r>
          </w:p>
        </w:tc>
        <w:tc>
          <w:tcPr>
            <w:tcW w:w="7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3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5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4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Pro forma as adjusted net tangible book value per share immediately after this offering</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 xml:space="preserve">​ 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10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54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54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Dilution per share to new investors participating in this offering</w:t>
            </w:r>
          </w:p>
        </w:tc>
        <w:tc>
          <w:tcPr>
            <w:tcW w:w="16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xml:space="preserve">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rPr>
              <w:t>​</w:t>
            </w:r>
          </w:p>
        </w:tc>
        <w:tc>
          <w:tcPr>
            <w:tcW w:w="544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
                <w:szCs w:val="2"/>
                <w:b w:val="1"/>
                <w:bCs w:val="1"/>
                <w:color w:val="auto"/>
              </w:rPr>
              <w:t>​</w:t>
            </w:r>
            <w:r>
              <w:rPr>
                <w:rFonts w:ascii="Times New Roman" w:cs="Times New Roman" w:eastAsia="Times New Roman" w:hAnsi="Times New Roman"/>
                <w:sz w:val="2"/>
                <w:szCs w:val="2"/>
                <w:color w:val="auto"/>
              </w:rPr>
              <w:t>​​​</w:t>
            </w: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1350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13505"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dilution information discussed above is illustrative only and will change based on the actual initial public offering price and other terms of this offering determined at pricing. Each $1.00 increase or decrease in the assumed initial price to the public of $            per share, which is the midpoint of the price range set forth on the cover page of this prospectus, would increase or decrease, as applicable, the pro forma as adjusted net tangible book value by approximately $            million, or approximately $            per share, and increase or decrease, as applicable, the dilution per share to investors participating in this offering by approximately $            per share, assuming that the number of shares offered by us, as set forth on the cover page of this prospectus, remains the same, and after deducting the estimated underwriting discounts and commissions and estimated offering expenses payable by us. Similarly, each increase or decrease of 1,000,000 in the number of shares offered by us, as set forth on the cover page of this prospectus, would increase or decrease, as applicable, the pro forma as adjusted net tangible book value by approximately $            million, or approximately</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1" w:name="page82"/>
    <w:bookmarkEnd w:id="8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            per share, and the dilution per share to new investors participating in this offering would be approximately $            per share, assuming that the assumed initial price to the public remains the same, and after deducting the estimated underwriting discounts and commissions and estimated offering expenses payable by us.</w:t>
      </w:r>
    </w:p>
    <w:p>
      <w:pPr>
        <w:spacing w:after="0" w:line="9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If the underwriters exercise in full their over-allotment option of common stock from us in this offering, our pro forma as adjusted net tangible book value per share after the offering would be approximately $            , representing an immediate increase in pro forma as adjusted net tangible book value per share of approximately $            to existing stockholders and immediate dilution in pro forma as adjusted net tangible book value per share of approximately $            to new investors purchasing common stock in this offering, assuming an initial public offering price of approximately $            per share, which is the midpoint of the price range set forth on the cover page of this prospectus, and after deducting estimated underwriting discounts and commissions and estimated offering expenses payable by us.</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following table summarizes, as of March 31, 2024, on the pro forma as adjusted basis described above, the total number of shares of common stock purchased from us, the total consideration and the weighted-average price per share (1) paid by existing stockholders and (2) to be paid by new investors participating in this offering at the assumed initial public offering price of $            per share, which is the midpoint of the price range set forth on the cover page of this prospectus, before deducting estimated underwriting discounts and commissions and estimated offering expenses payable by us. As the table shows, new investors purchasing common stock in this offering will pay an average price per share substantially higher than our existing stockholders paid.</w:t>
      </w:r>
    </w:p>
    <w:p>
      <w:pPr>
        <w:spacing w:after="0" w:line="12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0" w:type="dxa"/>
            <w:vAlign w:val="bottom"/>
          </w:tcPr>
          <w:p>
            <w:pPr>
              <w:spacing w:after="0"/>
              <w:rPr>
                <w:sz w:val="1"/>
                <w:szCs w:val="1"/>
                <w:color w:val="auto"/>
              </w:rPr>
            </w:pPr>
          </w:p>
        </w:tc>
      </w:tr>
      <w:tr>
        <w:trPr>
          <w:trHeight w:val="132"/>
        </w:trPr>
        <w:tc>
          <w:tcPr>
            <w:tcW w:w="3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5"/>
            <w:vMerge w:val="restart"/>
          </w:tcPr>
          <w:p>
            <w:pPr>
              <w:ind w:left="40"/>
              <w:spacing w:after="0" w:line="229"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Shares Purchased</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Total Consideration</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8"/>
              </w:rPr>
              <w:t>Average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4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160" w:type="dxa"/>
            <w:vAlign w:val="bottom"/>
            <w:gridSpan w:val="5"/>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4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Price Per</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Number</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Percent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Percent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Share</w:t>
            </w:r>
          </w:p>
        </w:tc>
        <w:tc>
          <w:tcPr>
            <w:tcW w:w="4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Existing stockholders</w:t>
            </w:r>
          </w:p>
        </w:tc>
        <w:tc>
          <w:tcPr>
            <w:tcW w:w="6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
                <w:szCs w:val="1"/>
                <w:color w:val="auto"/>
                <w:w w:val="4294942296"/>
              </w:rPr>
              <w:t>​</w:t>
            </w:r>
          </w:p>
        </w:tc>
        <w:tc>
          <w:tcPr>
            <w:tcW w:w="7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4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3400" w:type="dxa"/>
            <w:vAlign w:val="bottom"/>
            <w:shd w:val="clear" w:color="auto" w:fill="CCEEFF"/>
          </w:tcPr>
          <w:p>
            <w:pPr>
              <w:spacing w:after="0"/>
              <w:rPr>
                <w:sz w:val="3"/>
                <w:szCs w:val="3"/>
                <w:color w:val="auto"/>
              </w:rPr>
            </w:pPr>
          </w:p>
        </w:tc>
        <w:tc>
          <w:tcPr>
            <w:tcW w:w="620" w:type="dxa"/>
            <w:vAlign w:val="bottom"/>
            <w:gridSpan w:val="3"/>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tcBorders>
              <w:right w:val="single" w:sz="8" w:color="CCEEFF"/>
            </w:tcBorders>
            <w:vMerge w:val="continue"/>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ind w:left="40"/>
              <w:spacing w:after="0" w:line="44"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Borders>
              <w:right w:val="single" w:sz="8" w:color="CCEEFF"/>
            </w:tcBorders>
            <w:shd w:val="clear" w:color="auto" w:fill="CCEEFF"/>
          </w:tcPr>
          <w:p>
            <w:pPr>
              <w:ind w:left="20"/>
              <w:spacing w:after="0" w:line="44" w:lineRule="exact"/>
              <w:rPr>
                <w:sz w:val="20"/>
                <w:szCs w:val="20"/>
                <w:color w:val="auto"/>
              </w:rPr>
            </w:pPr>
            <w:r>
              <w:rPr>
                <w:rFonts w:ascii="Times New Roman" w:cs="Times New Roman" w:eastAsia="Times New Roman" w:hAnsi="Times New Roman"/>
                <w:sz w:val="5"/>
                <w:szCs w:val="5"/>
                <w:color w:val="auto"/>
              </w:rPr>
              <w:t>​​</w:t>
            </w:r>
          </w:p>
        </w:tc>
        <w:tc>
          <w:tcPr>
            <w:tcW w:w="48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60" w:type="dxa"/>
            <w:vAlign w:val="bottom"/>
            <w:gridSpan w:val="2"/>
            <w:shd w:val="clear" w:color="auto" w:fill="CCEEFF"/>
          </w:tcPr>
          <w:p>
            <w:pPr>
              <w:ind w:left="40"/>
              <w:spacing w:after="0" w:line="44" w:lineRule="exact"/>
              <w:rPr>
                <w:sz w:val="20"/>
                <w:szCs w:val="20"/>
                <w:color w:val="auto"/>
              </w:rPr>
            </w:pPr>
            <w:r>
              <w:rPr>
                <w:rFonts w:ascii="Times New Roman" w:cs="Times New Roman" w:eastAsia="Times New Roman" w:hAnsi="Times New Roman"/>
                <w:sz w:val="5"/>
                <w:szCs w:val="5"/>
                <w:color w:val="auto"/>
              </w:rPr>
              <w:t>​ ​ ​</w:t>
            </w:r>
          </w:p>
        </w:tc>
        <w:tc>
          <w:tcPr>
            <w:tcW w:w="4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New investors</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 xml:space="preserve">​ 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4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 xml:space="preserve"> ​          </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 xml:space="preserve">​           </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4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 xml:space="preserve">​           </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34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gridSpan w:val="2"/>
          </w:tcPr>
          <w:p>
            <w:pPr>
              <w:jc w:val="right"/>
              <w:ind w:right="327"/>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tcPr>
          <w:p>
            <w:pPr>
              <w:spacing w:after="0"/>
              <w:rPr>
                <w:sz w:val="4"/>
                <w:szCs w:val="4"/>
                <w:color w:val="auto"/>
              </w:rPr>
            </w:pPr>
          </w:p>
        </w:tc>
        <w:tc>
          <w:tcPr>
            <w:tcW w:w="520" w:type="dxa"/>
            <w:vAlign w:val="bottom"/>
            <w:gridSpan w:val="2"/>
          </w:tcPr>
          <w:p>
            <w:pPr>
              <w:jc w:val="right"/>
              <w:ind w:right="369"/>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gridSpan w:val="2"/>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vMerge w:val="continue"/>
          </w:tcPr>
          <w:p>
            <w:pPr>
              <w:spacing w:after="0"/>
              <w:rPr>
                <w:sz w:val="4"/>
                <w:szCs w:val="4"/>
                <w:color w:val="auto"/>
              </w:rPr>
            </w:pPr>
          </w:p>
        </w:tc>
        <w:tc>
          <w:tcPr>
            <w:tcW w:w="48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CEEFF"/>
          </w:tcPr>
          <w:p>
            <w:pPr>
              <w:ind w:left="16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7"/>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11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100.0% $</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100.0%</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340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20" w:type="dxa"/>
            <w:vAlign w:val="bottom"/>
            <w:gridSpan w:val="2"/>
            <w:shd w:val="clear" w:color="auto" w:fill="CCEEFF"/>
          </w:tcPr>
          <w:p>
            <w:pPr>
              <w:jc w:val="right"/>
              <w:ind w:right="327"/>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shd w:val="clear" w:color="auto" w:fill="CCEEFF"/>
          </w:tcPr>
          <w:p>
            <w:pPr>
              <w:spacing w:after="0"/>
              <w:rPr>
                <w:sz w:val="4"/>
                <w:szCs w:val="4"/>
                <w:color w:val="auto"/>
              </w:rPr>
            </w:pPr>
          </w:p>
        </w:tc>
        <w:tc>
          <w:tcPr>
            <w:tcW w:w="520" w:type="dxa"/>
            <w:vAlign w:val="bottom"/>
            <w:gridSpan w:val="2"/>
            <w:shd w:val="clear" w:color="auto" w:fill="CCEEFF"/>
          </w:tcPr>
          <w:p>
            <w:pPr>
              <w:jc w:val="right"/>
              <w:ind w:right="369"/>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Borders>
              <w:right w:val="single" w:sz="8" w:color="CCEEFF"/>
            </w:tcBorders>
            <w:shd w:val="clear" w:color="auto" w:fill="CCEEFF"/>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20" w:type="dxa"/>
            <w:vAlign w:val="bottom"/>
            <w:gridSpan w:val="2"/>
            <w:shd w:val="clear" w:color="auto" w:fill="CCEEFF"/>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right w:val="single" w:sz="8" w:color="CCEEFF"/>
            </w:tcBorders>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vMerge w:val="continue"/>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-153035</wp:posOffset>
            </wp:positionV>
            <wp:extent cx="44640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46405" cy="698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-153035</wp:posOffset>
            </wp:positionV>
            <wp:extent cx="11874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06959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69590" cy="698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-431800</wp:posOffset>
            </wp:positionV>
            <wp:extent cx="11176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390652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06520" cy="6985"/>
                    </a:xfrm>
                    <a:prstGeom prst="rect">
                      <a:avLst/>
                    </a:prstGeom>
                    <a:noFill/>
                  </pic:spPr>
                </pic:pic>
              </a:graphicData>
            </a:graphic>
          </wp:anchor>
        </w:drawing>
      </w:r>
    </w:p>
    <w:p>
      <w:pPr>
        <w:spacing w:after="0" w:line="14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table above assumes no exercise of the underwriters’ over-allotment option in this offering. If the underwriters’ over-allotment option is exercised in full, the number of shares of common stock held by existing stockholders would be reduced to        % of the total number of shares of common stock to be outstanding upon completion of this offering, and the number of shares of common stock held by new investors participating in this offering will be increased to        % of the total number of shares of our common stock to be outstanding upon completion of the offering.</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Each $1.00 increase or decrease in the assumed initial public offering price of $            per share, which is the midpoint of the price range set forth on the cover page of this prospectus, would increase or decrease, as applicable, the total consideration paid by new investors by approximately $            million, assuming that the number of shares offered by us, as set forth on the cover page of this prospectus, remains the same. We may also increase or decrease the number of shares we are offering. Similarly, each increase or decrease of 1,000,000 in the number of shares offered by us would increase or decrease, as applicable, total consideration paid by new investors by approximately $            million, assuming no change in the assumed initial public offering price.</w:t>
      </w:r>
    </w:p>
    <w:p>
      <w:pPr>
        <w:spacing w:after="0" w:line="9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foregoing tables and calculations (other than historical net tangible book value) are based on</w:t>
      </w:r>
    </w:p>
    <w:p>
      <w:pPr>
        <w:spacing w:after="0" w:line="18" w:lineRule="exact"/>
        <w:rPr>
          <w:sz w:val="20"/>
          <w:szCs w:val="20"/>
          <w:color w:val="auto"/>
        </w:rPr>
      </w:pPr>
    </w:p>
    <w:p>
      <w:pPr>
        <w:jc w:val="both"/>
        <w:ind w:left="1160" w:right="1179" w:firstLine="4"/>
        <w:spacing w:after="0" w:line="246" w:lineRule="auto"/>
        <w:tabs>
          <w:tab w:leader="none" w:pos="123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outstanding as of March 31, 2024 (including 32,711 shares of unvested restricted common stock), after giving effect to (i) the automatic conversion of all outstanding shares of our convertible</w:t>
      </w:r>
    </w:p>
    <w:p>
      <w:pPr>
        <w:spacing w:after="0" w:line="1" w:lineRule="exact"/>
        <w:rPr>
          <w:sz w:val="20"/>
          <w:szCs w:val="20"/>
          <w:color w:val="auto"/>
        </w:rPr>
      </w:pPr>
    </w:p>
    <w:p>
      <w:pPr>
        <w:ind w:left="1160"/>
        <w:spacing w:after="0"/>
        <w:tabs>
          <w:tab w:leader="none" w:pos="5780" w:val="left"/>
        </w:tabs>
        <w:rPr>
          <w:sz w:val="20"/>
          <w:szCs w:val="20"/>
          <w:color w:val="auto"/>
        </w:rPr>
      </w:pPr>
      <w:r>
        <w:rPr>
          <w:rFonts w:ascii="Times New Roman" w:cs="Times New Roman" w:eastAsia="Times New Roman" w:hAnsi="Times New Roman"/>
          <w:sz w:val="15"/>
          <w:szCs w:val="15"/>
          <w:color w:val="auto"/>
        </w:rPr>
        <w:t>preferred stock as of March 31, 2024 including an aggregate of</w:t>
      </w:r>
      <w:r>
        <w:rPr>
          <w:sz w:val="20"/>
          <w:szCs w:val="20"/>
          <w:color w:val="auto"/>
        </w:rPr>
        <w:tab/>
      </w:r>
      <w:r>
        <w:rPr>
          <w:rFonts w:ascii="Times New Roman" w:cs="Times New Roman" w:eastAsia="Times New Roman" w:hAnsi="Times New Roman"/>
          <w:sz w:val="15"/>
          <w:szCs w:val="15"/>
          <w:color w:val="auto"/>
        </w:rPr>
        <w:t>shares of our common stock and</w:t>
      </w:r>
    </w:p>
    <w:p>
      <w:pPr>
        <w:spacing w:after="0" w:line="2" w:lineRule="exact"/>
        <w:rPr>
          <w:sz w:val="20"/>
          <w:szCs w:val="20"/>
          <w:color w:val="auto"/>
        </w:rPr>
      </w:pPr>
    </w:p>
    <w:p>
      <w:pPr>
        <w:jc w:val="both"/>
        <w:ind w:left="1160" w:right="1179" w:firstLine="4"/>
        <w:spacing w:after="0" w:line="235" w:lineRule="auto"/>
        <w:tabs>
          <w:tab w:leader="none" w:pos="139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automatic conversion of 116,275,239 shares of Series C Preferred Stock issued after March 31, 2024, including 12,284,686 shares of Series C Preferred Stock issued upon the conversion of all outstanding convertible notes, into an aggregate of             shares of our common stock, in each case, based on an assumed initial public offering price of $ per share, which is the midpoint of the price range set forth on the cover page of this prospectus immediately prior to the completion of this offering and excludes:</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20,867,081 shares of common stock issuable upon the exercise of stock options outstanding as of March 31, 2024, with a weighted-average exercise price of $0.99 per share;</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2" w:name="page83"/>
    <w:bookmarkEnd w:id="8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474,739 shares of common stock reserved for issuance as of March 31, 2024 under the 2020 Plan;</w:t>
      </w:r>
    </w:p>
    <w:p>
      <w:pPr>
        <w:spacing w:after="0" w:line="91" w:lineRule="exact"/>
        <w:rPr>
          <w:rFonts w:ascii="Times New Roman" w:cs="Times New Roman" w:eastAsia="Times New Roman" w:hAnsi="Times New Roman"/>
          <w:sz w:val="15"/>
          <w:szCs w:val="15"/>
          <w:color w:val="auto"/>
        </w:rPr>
      </w:pPr>
    </w:p>
    <w:p>
      <w:pPr>
        <w:ind w:left="2220" w:hanging="763"/>
        <w:spacing w:after="0"/>
        <w:tabs>
          <w:tab w:leader="none" w:pos="22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issuable upon the exercise of stock options granted subsequent to</w:t>
      </w:r>
    </w:p>
    <w:p>
      <w:pPr>
        <w:spacing w:after="0" w:line="18" w:lineRule="exact"/>
        <w:rPr>
          <w:sz w:val="20"/>
          <w:szCs w:val="20"/>
          <w:color w:val="auto"/>
        </w:rPr>
      </w:pPr>
    </w:p>
    <w:p>
      <w:pPr>
        <w:ind w:left="1600"/>
        <w:spacing w:after="0"/>
        <w:tabs>
          <w:tab w:leader="none" w:pos="7020" w:val="left"/>
        </w:tabs>
        <w:rPr>
          <w:sz w:val="20"/>
          <w:szCs w:val="20"/>
          <w:color w:val="auto"/>
        </w:rPr>
      </w:pPr>
      <w:r>
        <w:rPr>
          <w:rFonts w:ascii="Times New Roman" w:cs="Times New Roman" w:eastAsia="Times New Roman" w:hAnsi="Times New Roman"/>
          <w:sz w:val="15"/>
          <w:szCs w:val="15"/>
          <w:color w:val="auto"/>
        </w:rPr>
        <w:t>March 31, 2024, under the 2020 Plan, with a weighted-average exercise price of $</w:t>
      </w:r>
      <w:r>
        <w:rPr>
          <w:sz w:val="20"/>
          <w:szCs w:val="20"/>
          <w:color w:val="auto"/>
        </w:rPr>
        <w:tab/>
      </w:r>
      <w:r>
        <w:rPr>
          <w:rFonts w:ascii="Times New Roman" w:cs="Times New Roman" w:eastAsia="Times New Roman" w:hAnsi="Times New Roman"/>
          <w:sz w:val="15"/>
          <w:szCs w:val="15"/>
          <w:color w:val="auto"/>
        </w:rPr>
        <w:t>per share;</w:t>
      </w:r>
    </w:p>
    <w:p>
      <w:pPr>
        <w:spacing w:after="0" w:line="76" w:lineRule="exact"/>
        <w:rPr>
          <w:sz w:val="20"/>
          <w:szCs w:val="20"/>
          <w:color w:val="auto"/>
        </w:rPr>
      </w:pPr>
    </w:p>
    <w:p>
      <w:pPr>
        <w:jc w:val="both"/>
        <w:ind w:left="1600" w:right="1179" w:hanging="143"/>
        <w:spacing w:after="0" w:line="250" w:lineRule="auto"/>
        <w:tabs>
          <w:tab w:leader="none" w:pos="2072"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the 2024 Plan, which will become effective in connection with this offering (which includes up to approximately            million shares of common stock underlying stock option awards that our board of directors may grant under the 2024 Plan upon the pricing of this offering with an exercise price per share equal to the initial public offering price per share); and</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205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the 2024 ESPP, which will become effective in connection with this offering.</w:t>
      </w:r>
    </w:p>
    <w:p>
      <w:pPr>
        <w:spacing w:after="0" w:line="8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New investors participating in this offering will experience further dilution when any new options are issued and exercised under our equity incentive plans or we issue additional shares of common stock, other equity securities or convertible debt securities for lower consideration per share than in this offering in the future. In addition, we may choose to raise additional capital through the sale of equity or convertible debt securities due to market conditions or strategic considerations, even if we believe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3" w:name="page84"/>
    <w:bookmarkEnd w:id="8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5"/>
          <w:szCs w:val="15"/>
          <w:b w:val="1"/>
          <w:bCs w:val="1"/>
          <w:color w:val="auto"/>
        </w:rPr>
        <w:t>FINANCIAL CONDITION AND RESULTS OF OPERATIONS</w:t>
      </w:r>
    </w:p>
    <w:p>
      <w:pPr>
        <w:spacing w:after="0" w:line="10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Our actual results and the timing of events could differ materially from those anticipated in these forward-looking statements as a result of various factors, including those set forth under “Risk Factors” and elsewhere in this prospectus. See “Special Note Regarding Forward-Looking Statements” and “Risk Factors” for a discussion of forward-looking statements and important factors that could cause actual results to differ materially from the results described in or implied by these forward-looking statements.</w:t>
      </w:r>
    </w:p>
    <w:p>
      <w:pPr>
        <w:spacing w:after="0" w:line="3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may effectively deplete B cells in systemic circulation, these agents do not fully impact B cells in relevant tissue, and the intermittent dosing regimens of these agents may not provide optimal benefits for all patients. In addition, anti-CD20 and other anti-CD19 targeting agents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POC for obexelimab as a B cell inhibitor for the treatment of patients living with certain autoimmune diseases.</w:t>
      </w:r>
    </w:p>
    <w:p>
      <w:pPr>
        <w:spacing w:after="0" w:line="10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planned Phase 2, double-blind, randomized, placebo-controlled trials, each of which we plan to initiate in                   ,                   and                   wAIHA through an ongoing Phase 2/3 trial, currently in the Phase 2 open label portion.</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VRDN-001, an IGF-1R monoclonal antibody), and related programs, and ZB005 (also known as DNTH103, an anti-active C1s monoclonal antibody), both of which we hold the development and commercialization rights for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4" w:name="page85"/>
    <w:bookmarkEnd w:id="8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Through March 31, 2024, we have financed our operations primarily with the proceeds from the issuance of shares of our Series Seed convertible preferred stock (“Series Seed Preferred Stock”), Series A convertible preferred stock (“Series A Preferred Stock”), and Series B convertible preferred stock (“Series B Preferred Stock”), which we refer to collectively as our “Preferred Stock”, and from payments received under our strategic license and collaboration agreement with BMS (the “BMS Agreement”), and from the issuance of our convertible notes. From inception through March 31, 2024, we have raised aggregate gross proceeds of $159.0 million through the sale and issuance of our convertible promissory notes in November 2021 (the “2021 Notes”) and Preferred Stock, $50.0 million through our BMS Agreement, and $20.0 million from our convertible note issued to BMS (the “BMS Note”) in connection with the BMS Agreement. In addition, on May 3, 2024, we received $179.0 million of gross proceeds from the sale of our Series C Preferred Stock.</w:t>
      </w:r>
    </w:p>
    <w:p>
      <w:pPr>
        <w:spacing w:after="0" w:line="10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To date, we have no product candidates approved for commercial sale in any country and have not generated any revenue from product sales.</w:t>
      </w:r>
    </w:p>
    <w:p>
      <w:pPr>
        <w:spacing w:after="0" w:line="8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three months ended March 31, 2024 and 2023 were $27.8 million and $19.1 million, respectively. Our net losses for the years ended December 31, 2023 and 2022 were $37.1 million and $119.3 million, respectively. As of March 31, 2024, we had an accumulated deficit of $258.2 million. We expect to continue to incur significant and increasing losses for the foreseeable future. We expect that our expenses and capital requirements will increase substantially in connection with our ongoing activities, particularly if and as we:</w:t>
      </w:r>
    </w:p>
    <w:p>
      <w:pPr>
        <w:spacing w:after="0" w:line="65" w:lineRule="exact"/>
        <w:rPr>
          <w:sz w:val="20"/>
          <w:szCs w:val="20"/>
          <w:color w:val="auto"/>
        </w:rPr>
      </w:pPr>
    </w:p>
    <w:p>
      <w:pPr>
        <w:ind w:left="1600" w:hanging="143"/>
        <w:spacing w:after="0"/>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clinical development of obexelimab and our other programs;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our obexelimab program and our other product candidates through preclinical development and clinical trials;</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royalty, milestone or other payments under current, and any future, license or collaboration agreements;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procure the manufacturing of preclinical, clinical and commercial supply of our current or any future product candidates;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marketing regulatory approvals for our current or any future product candidates that successfully complete clinical trials;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commercialize our current or any future product candidates, if approved;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steps toward our goal of being an integrated biopharma company capable of supporting commercial activities, including establishing sales, marketing and distribution infrastructure;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develop, maintain and defend our intellectual property portfolio, including against third-party interference, infringement and other intellectual property claims, if any;</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attract, hire and retain qualified clinical, scientific, operations and management personnel;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and maintain operational, financial and information management systems;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attempt to address any competing therapies and market developments;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5" w:name="page86"/>
    <w:bookmarkEnd w:id="8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agreements with CROs and CMOs;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94"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will not generate revenue from product sales unless and until we successfully complete clinical development and obtain regulatory approval for a product candidate, and we cannot assure you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Our net losses may fluctuate significantly from period to period, depending on the timing of our planned clinical studies and expenditures related to our research and development activities.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Furthermore, following the closing of this offering, we expect to incur additional costs associated with operating as a public company, including significant audit, legal, regulatory and tax-related expenses, as well as director and officer insurance premiums and investor relations costs that we did not incur as a private company. As a result, we will need substantial additional funding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w:t>
      </w:r>
    </w:p>
    <w:p>
      <w:pPr>
        <w:spacing w:after="0" w:line="23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As of March 31, 2024, we had $37.2 million in cash. In addition, on May 3, 2024, we received $179.0 million of gross proceeds from the sale of our Series C Preferred Stock. We believe that our existing cash as of March 31, 2024, and the gross proceeds from our Series C Preferred Stock financing in May 2024, together with the anticipated net proceeds from this offering will be sufficient to fund our operations and capital expenditure requirements through                                . We have based this estimate on our current assumptions, which may prove to be wrong, and we may exhaust our available capital resources sooner than we expect. See section titled “—Liquidity and Capital Resources.”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Redomicile</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On August 2, 2023, we (“Zenas BioPharma Cayman Limited” or “Zenas Cayman”) de-registered in the Cayman Islands and registered by way of continuation in the State of Delaware, whereby we filed a Certificate of Domestication to incorporate in the State of Delaware under the name of Zenas BioPharma, Inc. In connection with this redomicile, (i) the existing holders of convertible preferred stock and ordinary stockholders of Zenas Cayman exchanged their shares of Zenas Cayman for the same number and classes of common stock and convertible preferred stock of Zenas BioPharma, Inc. on a one-to-one basis, with rights identical to the exchanged shares of Zenas Cayman; and (ii) all of our outstanding stock under the 2020 Plan, previously exercisable for ordinary stock, became outstanding awards of Zenas BioPharma, Inc., exercisable for our common stock, with no other changes to the underlying terms of our awards.</w:t>
      </w:r>
    </w:p>
    <w:p>
      <w:pPr>
        <w:spacing w:after="0" w:line="9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Upon the completion of the redomicile and name change, the historical consolidated financial statements of Zenas Cayman became the historical financial statements of Zenas BioPharma, Inc. There was no impact on our consolidated financial statements as a result of the redomicile.</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6" w:name="page87"/>
    <w:bookmarkEnd w:id="8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Components of Our Results of Operations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To date, we have no product candidates approved for commercial sale in any country, and we have not generated any revenues from the sale of products. Our revenue has been derived from collaboration arrangements and license fees.</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Collaboration Revenue</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Collaboration revenue is generated exclusively from our collaboration arrangement with BMS. 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w:t>
      </w:r>
    </w:p>
    <w:p>
      <w:pPr>
        <w:spacing w:after="0" w:line="23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For a more detailed description of this agreement, see the section titled “Business—Licensing and Collaborations,” Note 7 to our unaudited condensed consolidated financial statements and Note 8 to our audited consolidated financial statements included elsewhere in this prospectus.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operating expenses consists of (i) research and development expenses, (ii) general and administrative expenses and (iii) acquired in-process research and development expenses.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Research and development expenses account for a significant portion of our operating expenses and consist primarily of external and internal costs incurred in connection with the preclinical and clinical development of obexelimab, ZB002, ZB004, ZB001 and ZB005, and include:</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Direct Costs:</w:t>
      </w:r>
    </w:p>
    <w:p>
      <w:pPr>
        <w:spacing w:after="0" w:line="93" w:lineRule="exact"/>
        <w:rPr>
          <w:sz w:val="20"/>
          <w:szCs w:val="20"/>
          <w:color w:val="auto"/>
        </w:rPr>
      </w:pPr>
    </w:p>
    <w:p>
      <w:pPr>
        <w:ind w:left="1600" w:right="1179" w:hanging="143"/>
        <w:spacing w:after="0" w:line="269"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external research and development expenses incurred under agreements with CROs and consultants that conduct our clinical studies and other scientific development services;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incurred under agreements with CMOs for manufacturing material for our preclinical studies and clinical trials;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to obtain and maintain licenses to intellectual property, and related future payments should milestones described in those agreements be achieved; and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compliance with regulatory requirements.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Indirect Costs:</w:t>
      </w:r>
    </w:p>
    <w:p>
      <w:pPr>
        <w:spacing w:after="0" w:line="93" w:lineRule="exact"/>
        <w:rPr>
          <w:sz w:val="20"/>
          <w:szCs w:val="20"/>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employee-related expenses including salaries, bonuses, benefits, stock-based compensation and other related costs for those employees involved in research and development activities;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outside consultants, including their fees, stock-based compensation and related travel expenses.</w:t>
      </w:r>
    </w:p>
    <w:p>
      <w:pPr>
        <w:spacing w:after="0" w:line="290"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7" w:name="page88"/>
    <w:bookmarkEnd w:id="8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these external development activities are based on the terms of the individual agreements, which may differ from the pattern of costs incurred, and are reflected in our consolidated financial statements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Where we share costs with our collaboration partners, such as in our BMS Agreement, research and development expenses may include cost sharing reimbursements from our partner.</w:t>
      </w:r>
    </w:p>
    <w:p>
      <w:pPr>
        <w:spacing w:after="0" w:line="7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 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 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w:t>
      </w:r>
    </w:p>
    <w:p>
      <w:pPr>
        <w:spacing w:after="0" w:line="66" w:lineRule="exact"/>
        <w:rPr>
          <w:sz w:val="20"/>
          <w:szCs w:val="20"/>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timing and progress of our ongoing obexelimab clinical studies and other research and development activities associated with the development of our other and future product candidates;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scope of preclinical and clinical programs we decide to pursue;</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our current research and development programs and to establish new programs;</w:t>
      </w:r>
    </w:p>
    <w:p>
      <w:pPr>
        <w:spacing w:after="0" w:line="245"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and successful patient enrollment in, and the initiation and completion of, clinical trials;</w:t>
      </w:r>
    </w:p>
    <w:p>
      <w:pPr>
        <w:spacing w:after="0" w:line="245"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successful completion of clinical trials with safety, tolerability and efficacy profiles that are satisfactory to the FDA, or any comparable foreign regulatory authority;</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receipt and terms of any marketing approvals from applicable regulatory authorities;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new licensing or collaboration arrangements;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future collaborators, if any;</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arrangements with third-party manufacturers for the commercial supply of products that receive marketing approval, if any;</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and timely delivery of commercial-grade drug formulations that can be used in our planned clinical trials and for commercialization;</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8" w:name="page89"/>
    <w:bookmarkEnd w:id="8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maintaining, defending and enforcing patent claims and other intellectual property rights;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hire additional personnel and consultants as our business grows, including additional executive officers and clinical development, regulatory, chemistry, manufacturing and controls (“CMC”), quality and commercial personnel;</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commercializing product candidates, if approved, whether alone or in collaboration with others;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establishing or securing sales and marketing capabilities for our product candidates if approved;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sufficient market acceptance, coverage and adequate reimbursement from third-party payors and adequate market share and revenue for any approved products;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a continued acceptable safety profile of the product candidates following approval.</w:t>
      </w:r>
    </w:p>
    <w:p>
      <w:pPr>
        <w:spacing w:after="0" w:line="12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IND application, we could be required to expend significant additional financial resources and time to complete clinical development than we currently expect. We may never obtain regulatory approval for any product candidates that we develop.</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w:t>
      </w:r>
    </w:p>
    <w:p>
      <w:pPr>
        <w:spacing w:after="0" w:line="26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anticipate that our general and administrative expenses will increase in the next few years as we increase our headcount to support our continued research and development activities of our product candidates. These increases will likely include 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Acquired In-Process Research and Development Expenses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capitalize acquisition costs for assets purchased for use in research and development activities that have no alternative future use as in-process research and development (“IPR&amp;D”) expense as of the acquisition date. When we become obligated to make contingent milestone payments under the terms of the agreements by which we acquired the IPR&amp;D assets, we will recognize additional IPR&amp;D expense. We measure and recognize contingent consideration in the period in which the related milestone is achieved and becomes payable.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9" w:name="page90"/>
    <w:bookmarkEnd w:id="8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Total Other Income (Expense), Net</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Income (Expense), Net</w:t>
      </w:r>
    </w:p>
    <w:p>
      <w:pPr>
        <w:spacing w:after="0" w:line="126" w:lineRule="exact"/>
        <w:rPr>
          <w:sz w:val="20"/>
          <w:szCs w:val="20"/>
          <w:color w:val="auto"/>
        </w:rPr>
      </w:pPr>
    </w:p>
    <w:p>
      <w:pPr>
        <w:jc w:val="both"/>
        <w:ind w:left="1160" w:right="1179" w:firstLine="293"/>
        <w:spacing w:after="0" w:line="284" w:lineRule="auto"/>
        <w:rPr>
          <w:sz w:val="20"/>
          <w:szCs w:val="20"/>
          <w:color w:val="auto"/>
        </w:rPr>
      </w:pPr>
      <w:r>
        <w:rPr>
          <w:rFonts w:ascii="Times New Roman" w:cs="Times New Roman" w:eastAsia="Times New Roman" w:hAnsi="Times New Roman"/>
          <w:sz w:val="15"/>
          <w:szCs w:val="15"/>
          <w:color w:val="auto"/>
        </w:rPr>
        <w:t>Other income (expense), net primarily consists of interest income generated from interest bearing cash accounts and realized and unrealized gains and losses on foreign currency transactions.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Change in Fair Value of Convertible Notes</w:t>
      </w:r>
    </w:p>
    <w:p>
      <w:pPr>
        <w:spacing w:after="0" w:line="126"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In November 2021, we closed the sale and issuance of our 2021 Notes for proceeds of $58.0 million. We elected to record the 2021 Notes at fair value upon issuance and to remeasure the fair value at every subsequent reporting date until the 2021 Notes were converted. In November 2022, concurrent with our issuance of Series B Preferred Stock which was deemed to be a qualified financing pursuant to the terms of the 2021 Notes, the 2021 Notes were converted into 37,471,107 shares of our Series B Preferred Stock. We reassessed the estimated fair value immediately prior to the conversion and recorded the change in fair value as component of other income (expense), net in our consolidated statement of operations and comprehensive loss during the year ended December 31, 2022.</w:t>
      </w:r>
    </w:p>
    <w:p>
      <w:pPr>
        <w:spacing w:after="0" w:line="9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August 2023, we entered into the BMS Note in connection with the BMS Agreement as described above. We elected to record the BMS Note at fair value upon issuance and will subsequently remeasure the note at fair value at the end of each reporting period and will record the change in fair value as a component of other expense in our consolidated statement of operations and comprehensive loss. In May 2024, in connection with our Series C Preferred Stock financing, the BMS Note plus accrued interest was automatically converted into 12,284,686 shares of Series C Preferred Stock. For additional details, see Note 16 to our unaudited condensed consolidated financial statements included elsewhere in this prospectus. We reassessed the estimated fair value of the BMS Note as of March 31, 2024, utilizing the fair value of the shares of Series C Preferred Stock for which the note subsequently converted into and recorded the change in fair value as a component of other income (expense), net.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Change in Fair Value of Warrant Liability</w:t>
      </w:r>
    </w:p>
    <w:p>
      <w:pPr>
        <w:spacing w:after="0" w:line="126"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In May 2021, we issued a warrant with a fair value of $20.7 million to Xencor (the “Xencor Warrant”) in connection with the 2021 Xencor Agreement (as defined herein). We elected to record the Xencor Warrant at fair value upon issuance and to remeasure the fair value at every subsequent reporting date until the Xencor Warrant was settled or exercised. In November 2022, concurrent with our issuance of Series B Preferred Stock, the Xencor Warrant was exercised and Xencor received 14,441,793 shares of our Series B Preferred Stock. We reassessed the estimated fair value immediately prior to the conversion and recorded the change in fair value as component of other expense in our consolidated statement of operations and comprehensive loss during the year ended December 31, 2022.</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28"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w:t>
      </w:r>
    </w:p>
    <w:p>
      <w:pPr>
        <w:spacing w:after="0" w:line="90"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We did not record an income tax provision for the three months ended March 31, 2024. We generated taxable income in the U.S. for the year ended December 31, 2023 as a result of the up-front payment received pursuant to the BMS Agreement and the required capitalization of research and development expenses pursuant to Internal Revenue Code Section 174 (“Section 174”). This resulted in an income tax provision of $0.3 million for the year ended December 31, 2023 related to current federal taxes. As of December 31, 2023, we had approximately $2.3 million of U.S. federal NOL carryforwards. We had no state NOL carryforwards as of December 31, 2023. As of December 31, 2022, we had approximately $22.9 million and $22.2 million of U.S. federal and state NOL carryforwards, respectively. We utilized our available NOL carryforwards to offset the taxable income generated in 2023.</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0" w:name="page91"/>
    <w:bookmarkEnd w:id="9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March 31, 2024 and 2023</w:t>
      </w:r>
    </w:p>
    <w:p>
      <w:pPr>
        <w:spacing w:after="0" w:line="128"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our results of operations for each of the periods presented (in thousands):</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297"/>
        </w:trPr>
        <w:tc>
          <w:tcPr>
            <w:tcW w:w="4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680" w:type="dxa"/>
            <w:vAlign w:val="bottom"/>
            <w:gridSpan w:val="9"/>
          </w:tcPr>
          <w:p>
            <w:pPr>
              <w:ind w:left="20"/>
              <w:spacing w:after="0"/>
              <w:rPr>
                <w:sz w:val="20"/>
                <w:szCs w:val="20"/>
                <w:color w:val="auto"/>
              </w:rPr>
            </w:pPr>
            <w:r>
              <w:rPr>
                <w:rFonts w:ascii="Times New Roman" w:cs="Times New Roman" w:eastAsia="Times New Roman" w:hAnsi="Times New Roman"/>
                <w:sz w:val="23"/>
                <w:szCs w:val="23"/>
                <w:b w:val="1"/>
                <w:bCs w:val="1"/>
                <w:color w:val="auto"/>
                <w:w w:val="96"/>
                <w:vertAlign w:val="subscript"/>
              </w:rPr>
              <w:t>​</w:t>
            </w:r>
            <w:r>
              <w:rPr>
                <w:rFonts w:ascii="Times New Roman" w:cs="Times New Roman" w:eastAsia="Times New Roman" w:hAnsi="Times New Roman"/>
                <w:sz w:val="12"/>
                <w:szCs w:val="12"/>
                <w:b w:val="1"/>
                <w:bCs w:val="1"/>
                <w:color w:val="auto"/>
                <w:w w:val="96"/>
              </w:rPr>
              <w:t xml:space="preserve"> Three Months Ended March 31,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spacing w:after="0"/>
              <w:rPr>
                <w:sz w:val="24"/>
                <w:szCs w:val="24"/>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00" w:type="dxa"/>
            <w:vAlign w:val="bottom"/>
            <w:tcBorders>
              <w:top w:val="single" w:sz="8" w:color="auto"/>
            </w:tcBorders>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4"/>
          </w:tcPr>
          <w:p>
            <w:pPr>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Change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80" w:type="dxa"/>
            <w:vAlign w:val="bottom"/>
            <w:gridSpan w:val="2"/>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60" w:type="dxa"/>
            <w:vAlign w:val="bottom"/>
            <w:vMerge w:val="continue"/>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shd w:val="clear" w:color="auto" w:fill="CCEEFF"/>
          </w:tcPr>
          <w:p>
            <w:pPr>
              <w:spacing w:after="0"/>
              <w:rPr>
                <w:sz w:val="17"/>
                <w:szCs w:val="17"/>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jc w:val="right"/>
              <w:ind w:right="10"/>
              <w:spacing w:after="0"/>
              <w:rPr>
                <w:sz w:val="20"/>
                <w:szCs w:val="20"/>
                <w:color w:val="auto"/>
              </w:rPr>
            </w:pPr>
            <w:r>
              <w:rPr>
                <w:rFonts w:ascii="Times New Roman" w:cs="Times New Roman" w:eastAsia="Times New Roman" w:hAnsi="Times New Roman"/>
                <w:sz w:val="15"/>
                <w:szCs w:val="15"/>
                <w:color w:val="auto"/>
              </w:rPr>
              <w:t>​$ 22,645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​$ 15,347</w:t>
            </w:r>
          </w:p>
        </w:tc>
        <w:tc>
          <w:tcPr>
            <w:tcW w:w="70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 ​​$ 7,298​</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8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4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4,933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8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50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3,739</w:t>
            </w:r>
          </w:p>
        </w:tc>
        <w:tc>
          <w:tcPr>
            <w:tcW w:w="640" w:type="dxa"/>
            <w:vAlign w:val="bottom"/>
            <w:gridSpan w:val="4"/>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​1,194</w:t>
            </w:r>
          </w:p>
        </w:tc>
        <w:tc>
          <w:tcPr>
            <w:tcW w:w="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jc w:val="right"/>
              <w:ind w:right="1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27,578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tcPr>
          <w:p>
            <w:pPr>
              <w:ind w:left="8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19,086</w:t>
            </w:r>
          </w:p>
        </w:tc>
        <w:tc>
          <w:tcPr>
            <w:tcW w:w="700" w:type="dxa"/>
            <w:vAlign w:val="bottom"/>
            <w:gridSpan w:val="6"/>
          </w:tcPr>
          <w:p>
            <w:pPr>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​8,492</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Loss from operations</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7"/>
              </w:rPr>
              <w:t>​(27,578)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right w:val="single" w:sz="8" w:color="CCEEFF"/>
            </w:tcBorders>
            <w:gridSpan w:val="3"/>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​(19,086)</w:t>
            </w:r>
          </w:p>
        </w:tc>
        <w:tc>
          <w:tcPr>
            <w:tcW w:w="2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w w:val="92"/>
              </w:rPr>
              <w:t>​(8,492</w:t>
            </w:r>
          </w:p>
        </w:tc>
        <w:tc>
          <w:tcPr>
            <w:tcW w:w="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55"/>
        </w:trPr>
        <w:tc>
          <w:tcPr>
            <w:tcW w:w="4260" w:type="dxa"/>
            <w:vAlign w:val="bottom"/>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 w:type="dxa"/>
            <w:vAlign w:val="bottom"/>
            <w:gridSpan w:val="2"/>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17"/>
                <w:szCs w:val="17"/>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Fair value adjustments to convertible notes</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bottom w:val="single" w:sz="8" w:color="CCEEFF"/>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bottom w:val="single" w:sz="8" w:color="CCEEFF"/>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6"/>
              </w:rPr>
              <w:t>(694)</w:t>
            </w:r>
          </w:p>
        </w:tc>
        <w:tc>
          <w:tcPr>
            <w:tcW w:w="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472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340" w:type="dxa"/>
            <w:vAlign w:val="bottom"/>
            <w:gridSpan w:val="3"/>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60" w:type="dxa"/>
            <w:vAlign w:val="bottom"/>
            <w:gridSpan w:val="3"/>
          </w:tcPr>
          <w:p>
            <w:pPr>
              <w:ind w:left="80"/>
              <w:spacing w:after="0" w:line="220" w:lineRule="exact"/>
              <w:rPr>
                <w:sz w:val="20"/>
                <w:szCs w:val="20"/>
                <w:color w:val="auto"/>
              </w:rPr>
            </w:pPr>
            <w:r>
              <w:rPr>
                <w:rFonts w:ascii="Times New Roman" w:cs="Times New Roman" w:eastAsia="Times New Roman" w:hAnsi="Times New Roman"/>
                <w:sz w:val="13"/>
                <w:szCs w:val="13"/>
                <w:color w:val="auto"/>
              </w:rPr>
              <w:t>483</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shd w:val="clear" w:color="auto" w:fill="CCEEFF"/>
          </w:tcPr>
          <w:p>
            <w:pPr>
              <w:ind w:left="300"/>
              <w:spacing w:after="0" w:line="156" w:lineRule="exact"/>
              <w:rPr>
                <w:sz w:val="20"/>
                <w:szCs w:val="20"/>
                <w:color w:val="auto"/>
              </w:rPr>
            </w:pPr>
            <w:r>
              <w:rPr>
                <w:rFonts w:ascii="Times New Roman" w:cs="Times New Roman" w:eastAsia="Times New Roman" w:hAnsi="Times New Roman"/>
                <w:sz w:val="15"/>
                <w:szCs w:val="15"/>
                <w:color w:val="auto"/>
              </w:rPr>
              <w:t>Total other expense, net</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w:t>
            </w:r>
          </w:p>
        </w:tc>
        <w:tc>
          <w:tcPr>
            <w:tcW w:w="2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55"/>
        </w:trPr>
        <w:tc>
          <w:tcPr>
            <w:tcW w:w="4260" w:type="dxa"/>
            <w:vAlign w:val="bottom"/>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 w:type="dxa"/>
            <w:vAlign w:val="bottom"/>
            <w:gridSpan w:val="2"/>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(27,800) </w:t>
            </w:r>
            <w:r>
              <w:rPr>
                <w:rFonts w:ascii="Times New Roman" w:cs="Times New Roman" w:eastAsia="Times New Roman" w:hAnsi="Times New Roman"/>
                <w:sz w:val="23"/>
                <w:szCs w:val="23"/>
                <w:color w:val="auto"/>
                <w:vertAlign w:val="subscript"/>
              </w:rPr>
              <w:t>​​ ​</w:t>
            </w:r>
          </w:p>
        </w:tc>
        <w:tc>
          <w:tcPr>
            <w:tcW w:w="720" w:type="dxa"/>
            <w:vAlign w:val="bottom"/>
            <w:gridSpan w:val="4"/>
          </w:tcPr>
          <w:p>
            <w:pPr>
              <w:ind w:left="8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(19,097)</w:t>
            </w:r>
          </w:p>
        </w:tc>
        <w:tc>
          <w:tcPr>
            <w:tcW w:w="700" w:type="dxa"/>
            <w:vAlign w:val="bottom"/>
            <w:gridSpan w:val="6"/>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(8,703</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-320040</wp:posOffset>
            </wp:positionV>
            <wp:extent cx="39484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484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-878205</wp:posOffset>
            </wp:positionV>
            <wp:extent cx="394843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9484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-1436370</wp:posOffset>
            </wp:positionV>
            <wp:extent cx="394144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41445" cy="6985"/>
                    </a:xfrm>
                    <a:prstGeom prst="rect">
                      <a:avLst/>
                    </a:prstGeom>
                    <a:noFill/>
                  </pic:spPr>
                </pic:pic>
              </a:graphicData>
            </a:graphic>
          </wp:anchor>
        </w:drawing>
      </w:r>
    </w:p>
    <w:p>
      <w:pPr>
        <w:spacing w:after="0" w:line="2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15"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our research and development expenses for each of the periods presented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2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40" w:type="dxa"/>
            <w:vAlign w:val="bottom"/>
          </w:tcPr>
          <w:p>
            <w:pPr>
              <w:ind w:left="2180"/>
              <w:spacing w:after="0"/>
              <w:rPr>
                <w:sz w:val="20"/>
                <w:szCs w:val="20"/>
                <w:color w:val="auto"/>
              </w:rPr>
            </w:pPr>
            <w:r>
              <w:rPr>
                <w:rFonts w:ascii="Times New Roman" w:cs="Times New Roman" w:eastAsia="Times New Roman" w:hAnsi="Times New Roman"/>
                <w:sz w:val="12"/>
                <w:szCs w:val="12"/>
                <w:b w:val="1"/>
                <w:bCs w:val="1"/>
                <w:color w:val="auto"/>
              </w:rPr>
              <w:t>​</w:t>
            </w: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23"/>
                <w:szCs w:val="23"/>
                <w:b w:val="1"/>
                <w:bCs w:val="1"/>
                <w:color w:val="auto"/>
                <w:w w:val="96"/>
                <w:vertAlign w:val="subscript"/>
              </w:rPr>
              <w:t>​</w:t>
            </w:r>
            <w:r>
              <w:rPr>
                <w:rFonts w:ascii="Times New Roman" w:cs="Times New Roman" w:eastAsia="Times New Roman" w:hAnsi="Times New Roman"/>
                <w:sz w:val="12"/>
                <w:szCs w:val="12"/>
                <w:b w:val="1"/>
                <w:bCs w:val="1"/>
                <w:color w:val="auto"/>
                <w:w w:val="96"/>
              </w:rPr>
              <w:t xml:space="preserve"> Three Months Ended March 31,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40" w:type="dxa"/>
            <w:vAlign w:val="bottom"/>
          </w:tcPr>
          <w:p>
            <w:pPr>
              <w:ind w:left="218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 </w:t>
            </w:r>
            <w:r>
              <w:rPr>
                <w:rFonts w:ascii="Times New Roman" w:cs="Times New Roman" w:eastAsia="Times New Roman" w:hAnsi="Times New Roman"/>
                <w:sz w:val="21"/>
                <w:szCs w:val="21"/>
                <w:b w:val="1"/>
                <w:bCs w:val="1"/>
                <w:color w:val="auto"/>
                <w:vertAlign w:val="subscript"/>
              </w:rPr>
              <w:t>​</w:t>
            </w:r>
          </w:p>
        </w:tc>
      </w:tr>
      <w:tr>
        <w:trPr>
          <w:trHeight w:val="20"/>
        </w:trPr>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Direct research and development expenses by program:</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Obexelimab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Global programs (ZB002 &amp; ZB004)</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Regional programs (ZB001 &amp; ZB005)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Unallocated research and development expenses: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Personnel expenses (including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 expenses</w:t>
      </w:r>
    </w:p>
    <w:p>
      <w:pPr>
        <w:spacing w:after="0" w:line="6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300" w:type="dxa"/>
            <w:vAlign w:val="bottom"/>
          </w:tcPr>
          <w:p>
            <w:pPr>
              <w:spacing w:after="0"/>
              <w:rPr>
                <w:sz w:val="16"/>
                <w:szCs w:val="16"/>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 ​  ​ ​</w:t>
            </w:r>
          </w:p>
        </w:tc>
        <w:tc>
          <w:tcPr>
            <w:tcW w:w="340" w:type="dxa"/>
            <w:vAlign w:val="bottom"/>
          </w:tcPr>
          <w:p>
            <w:pPr>
              <w:spacing w:after="0"/>
              <w:rPr>
                <w:sz w:val="16"/>
                <w:szCs w:val="16"/>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 ​​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4"/>
              </w:rPr>
              <w:t>​$12,295</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6,900</w:t>
            </w:r>
          </w:p>
        </w:tc>
        <w:tc>
          <w:tcPr>
            <w:tcW w:w="760" w:type="dxa"/>
            <w:vAlign w:val="bottom"/>
            <w:gridSpan w:val="7"/>
          </w:tcPr>
          <w:p>
            <w:pPr>
              <w:jc w:val="right"/>
              <w:ind w:right="20"/>
              <w:spacing w:after="0"/>
              <w:rPr>
                <w:sz w:val="20"/>
                <w:szCs w:val="20"/>
                <w:color w:val="auto"/>
              </w:rPr>
            </w:pPr>
            <w:r>
              <w:rPr>
                <w:rFonts w:ascii="Times New Roman" w:cs="Times New Roman" w:eastAsia="Times New Roman" w:hAnsi="Times New Roman"/>
                <w:sz w:val="15"/>
                <w:szCs w:val="15"/>
                <w:color w:val="auto"/>
              </w:rPr>
              <w:t>​​ ​​$5,395​</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894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rPr>
              <w:t>​ 1,369</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5"/>
                <w:szCs w:val="15"/>
                <w:color w:val="auto"/>
              </w:rPr>
              <w:t>​ (475)</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gridSpan w:val="2"/>
          </w:tcPr>
          <w:p>
            <w:pPr>
              <w:jc w:val="right"/>
              <w:ind w:right="20"/>
              <w:spacing w:after="0" w:line="63"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rPr>
              <w:t>​ 1,588</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rPr>
              <w:t>​ 1,596</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84"/>
        </w:trPr>
        <w:tc>
          <w:tcPr>
            <w:tcW w:w="1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gridSpan w:val="2"/>
          </w:tcPr>
          <w:p>
            <w:pPr>
              <w:jc w:val="right"/>
              <w:ind w:right="20"/>
              <w:spacing w:after="0" w:line="85"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87"/>
        </w:trPr>
        <w:tc>
          <w:tcPr>
            <w:tcW w:w="4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300" w:type="dxa"/>
            <w:vAlign w:val="bottom"/>
          </w:tcPr>
          <w:p>
            <w:pPr>
              <w:spacing w:after="0"/>
              <w:rPr>
                <w:sz w:val="16"/>
                <w:szCs w:val="16"/>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 ​  ​ ​</w:t>
            </w:r>
          </w:p>
        </w:tc>
        <w:tc>
          <w:tcPr>
            <w:tcW w:w="340" w:type="dxa"/>
            <w:vAlign w:val="bottom"/>
          </w:tcPr>
          <w:p>
            <w:pPr>
              <w:spacing w:after="0"/>
              <w:rPr>
                <w:sz w:val="16"/>
                <w:szCs w:val="16"/>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 ​​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7,563</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5,270</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​2,293​</w:t>
            </w:r>
          </w:p>
        </w:tc>
        <w:tc>
          <w:tcPr>
            <w:tcW w:w="0" w:type="dxa"/>
            <w:vAlign w:val="bottom"/>
          </w:tcPr>
          <w:p>
            <w:pPr>
              <w:spacing w:after="0"/>
              <w:rPr>
                <w:sz w:val="1"/>
                <w:szCs w:val="1"/>
                <w:color w:val="auto"/>
              </w:rPr>
            </w:pPr>
          </w:p>
        </w:tc>
      </w:tr>
      <w:tr>
        <w:trPr>
          <w:trHeight w:val="20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280" w:type="dxa"/>
            <w:vAlign w:val="bottom"/>
            <w:gridSpan w:val="3"/>
          </w:tcPr>
          <w:p>
            <w:pPr>
              <w:jc w:val="right"/>
              <w:ind w:right="20"/>
              <w:spacing w:after="0" w:line="201" w:lineRule="exact"/>
              <w:rPr>
                <w:sz w:val="20"/>
                <w:szCs w:val="20"/>
                <w:color w:val="auto"/>
              </w:rPr>
            </w:pPr>
            <w:r>
              <w:rPr>
                <w:rFonts w:ascii="Times New Roman" w:cs="Times New Roman" w:eastAsia="Times New Roman" w:hAnsi="Times New Roman"/>
                <w:sz w:val="13"/>
                <w:szCs w:val="13"/>
                <w:color w:val="auto"/>
              </w:rPr>
              <w:t>93</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22,645</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15,347</w:t>
            </w:r>
          </w:p>
        </w:tc>
        <w:tc>
          <w:tcPr>
            <w:tcW w:w="760" w:type="dxa"/>
            <w:vAlign w:val="bottom"/>
            <w:gridSpan w:val="7"/>
          </w:tcPr>
          <w:p>
            <w:pPr>
              <w:jc w:val="right"/>
              <w:ind w:righ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7,298</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4880" w:space="620"/>
            <w:col w:w="3519"/>
          </w:cols>
          <w:pgMar w:left="1440" w:top="98" w:right="1440" w:bottom="1440" w:gutter="0" w:footer="0" w:header="0"/>
          <w:type w:val="continuous"/>
        </w:sect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Research and development expenses were $22.6 million for the three months ended March 31, 2024, compared to $15.3 million for the three months ended March 31, 2023. The increase of $7.3 million was primarily attributable to the following:</w:t>
      </w:r>
    </w:p>
    <w:p>
      <w:pPr>
        <w:spacing w:after="0" w:line="68" w:lineRule="exact"/>
        <w:rPr>
          <w:sz w:val="20"/>
          <w:szCs w:val="20"/>
          <w:color w:val="auto"/>
        </w:rPr>
      </w:pPr>
    </w:p>
    <w:p>
      <w:pPr>
        <w:jc w:val="both"/>
        <w:ind w:left="1600" w:right="1179" w:hanging="143"/>
        <w:spacing w:after="0" w:line="250"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$5.4 million increase in costs related to the development of obexelimab, our lead product candidate, driven by a $3.4 million increase in costs related to the conducting and initiation of clinical trials and a $3.3 million increase in CMC work to provide drug supply for the trials, partially offset by $1.0 million in shared development costs as a result of the cost sharing reimbursement arrangement pursuant to the BMS Agreement;</w:t>
      </w:r>
    </w:p>
    <w:p>
      <w:pPr>
        <w:spacing w:after="0" w:line="10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$0.5 million decrease in costs related to our global programs, including a $0.5 million decrease related to ZB002 and a $0.1 million decrease related to ZB004, largely driven by a decrease in clinical and non-clinical work associated with our Phase 1 studies; and</w:t>
      </w:r>
    </w:p>
    <w:p>
      <w:pPr>
        <w:spacing w:after="0" w:line="94"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$2.3 million increase in personnel costs, including a $1.8 million increase in salary and benefit related expense, primarily due to an increase in headcount, a $0.1 million increase in stock-based compensation expense, and a $0.3 million increase in other personnel costs.</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1" w:name="page92"/>
    <w:bookmarkEnd w:id="9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w:t>
      </w:r>
    </w:p>
    <w:p>
      <w:pPr>
        <w:spacing w:after="0" w:line="12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The following table summarizes our general and administrative expenses for each of the periods presented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p>
        </w:tc>
        <w:tc>
          <w:tcPr>
            <w:tcW w:w="1740" w:type="dxa"/>
            <w:vAlign w:val="bottom"/>
            <w:gridSpan w:val="12"/>
          </w:tcPr>
          <w:p>
            <w:pPr>
              <w:ind w:left="20"/>
              <w:spacing w:after="0"/>
              <w:rPr>
                <w:sz w:val="20"/>
                <w:szCs w:val="20"/>
                <w:color w:val="auto"/>
              </w:rPr>
            </w:pPr>
            <w:r>
              <w:rPr>
                <w:rFonts w:ascii="Times New Roman" w:cs="Times New Roman" w:eastAsia="Times New Roman" w:hAnsi="Times New Roman"/>
                <w:sz w:val="23"/>
                <w:szCs w:val="23"/>
                <w:b w:val="1"/>
                <w:bCs w:val="1"/>
                <w:color w:val="auto"/>
                <w:w w:val="99"/>
                <w:vertAlign w:val="subscript"/>
              </w:rPr>
              <w:t>​</w:t>
            </w:r>
            <w:r>
              <w:rPr>
                <w:rFonts w:ascii="Times New Roman" w:cs="Times New Roman" w:eastAsia="Times New Roman" w:hAnsi="Times New Roman"/>
                <w:sz w:val="12"/>
                <w:szCs w:val="12"/>
                <w:b w:val="1"/>
                <w:bCs w:val="1"/>
                <w:color w:val="auto"/>
                <w:w w:val="99"/>
              </w:rPr>
              <w:t xml:space="preserve"> Three Months Ended March 31, </w:t>
            </w:r>
            <w:r>
              <w:rPr>
                <w:rFonts w:ascii="Times New Roman" w:cs="Times New Roman" w:eastAsia="Times New Roman" w:hAnsi="Times New Roman"/>
                <w:sz w:val="23"/>
                <w:szCs w:val="23"/>
                <w:b w:val="1"/>
                <w:bCs w:val="1"/>
                <w:color w:val="auto"/>
                <w:w w:val="99"/>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top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40" w:type="dxa"/>
            <w:vAlign w:val="bottom"/>
            <w:tcBorders>
              <w:top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 </w:t>
            </w:r>
            <w:r>
              <w:rPr>
                <w:rFonts w:ascii="Times New Roman" w:cs="Times New Roman" w:eastAsia="Times New Roman" w:hAnsi="Times New Roman"/>
                <w:sz w:val="21"/>
                <w:szCs w:val="21"/>
                <w:b w:val="1"/>
                <w:bCs w:val="1"/>
                <w:color w:val="auto"/>
                <w:vertAlign w:val="subscript"/>
              </w:rPr>
              <w:t>​</w:t>
            </w:r>
          </w:p>
        </w:tc>
      </w:tr>
      <w:tr>
        <w:trPr>
          <w:trHeight w:val="20"/>
        </w:trPr>
        <w:tc>
          <w:tcPr>
            <w:tcW w:w="42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68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Personnel related expenses (including stock-based compensation)</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​$2,890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​$2,283</w:t>
            </w:r>
          </w:p>
        </w:tc>
        <w:tc>
          <w:tcPr>
            <w:tcW w:w="3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Legal and professional fees</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color w:val="auto"/>
              </w:rPr>
              <w:t>​ ​1,175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7"/>
              </w:rPr>
              <w:t>860</w:t>
            </w:r>
          </w:p>
        </w:tc>
        <w:tc>
          <w:tcPr>
            <w:tcW w:w="400" w:type="dxa"/>
            <w:vAlign w:val="bottom"/>
            <w:gridSpan w:val="5"/>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315​</w:t>
            </w: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Facilities and supplies</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7"/>
              </w:rPr>
              <w:t>454</w:t>
            </w:r>
          </w:p>
        </w:tc>
        <w:tc>
          <w:tcPr>
            <w:tcW w:w="4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7"/>
              </w:rPr>
              <w:t>142</w:t>
            </w:r>
          </w:p>
        </w:tc>
        <w:tc>
          <w:tcPr>
            <w:tcW w:w="400" w:type="dxa"/>
            <w:vAlign w:val="bottom"/>
            <w:gridSpan w:val="5"/>
          </w:tcPr>
          <w:p>
            <w:pPr>
              <w:ind w:left="8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219</w:t>
            </w:r>
            <w:r>
              <w:rPr>
                <w:rFonts w:ascii="Times New Roman" w:cs="Times New Roman" w:eastAsia="Times New Roman" w:hAnsi="Times New Roman"/>
                <w:sz w:val="25"/>
                <w:szCs w:val="25"/>
                <w:color w:val="auto"/>
                <w:vertAlign w:val="subscript"/>
              </w:rPr>
              <w:t>​</w:t>
            </w:r>
          </w:p>
        </w:tc>
      </w:tr>
      <w:tr>
        <w:trPr>
          <w:trHeight w:val="20"/>
        </w:trPr>
        <w:tc>
          <w:tcPr>
            <w:tcW w:w="42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general and administrative expenses</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4"/>
            <w:shd w:val="clear" w:color="auto" w:fill="CCEEFF"/>
          </w:tcPr>
          <w:p>
            <w:pPr>
              <w:jc w:val="right"/>
              <w:ind w:right="1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4,933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4"/>
            <w:shd w:val="clear" w:color="auto" w:fill="CCEEFF"/>
          </w:tcPr>
          <w:p>
            <w:pPr>
              <w:jc w:val="right"/>
              <w:ind w:right="8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3,739</w:t>
            </w:r>
          </w:p>
        </w:tc>
        <w:tc>
          <w:tcPr>
            <w:tcW w:w="660" w:type="dxa"/>
            <w:vAlign w:val="bottom"/>
            <w:gridSpan w:val="6"/>
            <w:shd w:val="clear" w:color="auto" w:fill="CCEEFF"/>
          </w:tcPr>
          <w:p>
            <w:pPr>
              <w:ind w:left="8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1,194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8335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-718185</wp:posOffset>
            </wp:positionV>
            <wp:extent cx="397637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76370" cy="6985"/>
                    </a:xfrm>
                    <a:prstGeom prst="rect">
                      <a:avLst/>
                    </a:prstGeom>
                    <a:noFill/>
                  </pic:spPr>
                </pic:pic>
              </a:graphicData>
            </a:graphic>
          </wp:anchor>
        </w:drawing>
      </w:r>
    </w:p>
    <w:p>
      <w:pPr>
        <w:spacing w:after="0" w:line="174"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General and administrative expenses were $4.9 million for the three months ended March 31, 2024, compared to $3.7 million for the three months ended March 31, 2023. The increase of $1.2 million was primarily attributable to the following:</w:t>
      </w:r>
    </w:p>
    <w:p>
      <w:pPr>
        <w:spacing w:after="0" w:line="79" w:lineRule="exact"/>
        <w:rPr>
          <w:sz w:val="20"/>
          <w:szCs w:val="20"/>
          <w:color w:val="auto"/>
        </w:rPr>
      </w:pPr>
    </w:p>
    <w:p>
      <w:pPr>
        <w:jc w:val="both"/>
        <w:ind w:left="1600" w:right="1179" w:hanging="143"/>
        <w:spacing w:after="0" w:line="252" w:lineRule="auto"/>
        <w:tabs>
          <w:tab w:leader="none" w:pos="16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$0.6 million increase in personnel costs, including a $0.1 million increase in stock-based compensation expense, and a $0.6 million increase in salary and benefit related expense, primarily due to an increase in headcount, partially offset by a $0.1 million decrease in external contractor expenses; and</w:t>
      </w:r>
    </w:p>
    <w:p>
      <w:pPr>
        <w:spacing w:after="0" w:line="8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$0.3 million increase in professional fees, including legal, audit and tax expenses, primarily due to preparation for an initial public offering, and increased business development activities.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Total Other Expense, Net</w:t>
      </w:r>
    </w:p>
    <w:p>
      <w:pPr>
        <w:spacing w:after="0" w:line="115"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Total other expense, net was $0.2 million for the three months ended March 31, 2024, and was made up of the change in fair value of the BMS Note of $0.7 million upon remeasurement as of March 31, 2024, partially offset by interest income of $0.5 million. Total other expense, net was less than $0.1 million for the three months ended March 31, 2023, and was made up primarily of immaterial realized and unrealized gains and losses on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2" w:name="page93"/>
    <w:bookmarkEnd w:id="9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2023 and 2022</w:t>
      </w:r>
    </w:p>
    <w:p>
      <w:pPr>
        <w:spacing w:after="0" w:line="128" w:lineRule="exact"/>
        <w:rPr>
          <w:sz w:val="20"/>
          <w:szCs w:val="20"/>
          <w:color w:val="auto"/>
        </w:rPr>
      </w:pPr>
    </w:p>
    <w:p>
      <w:pPr>
        <w:ind w:left="14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our results of operations for each of the periods presented (in thousands):</w:t>
      </w:r>
    </w:p>
    <w:p>
      <w:pPr>
        <w:sectPr>
          <w:pgSz w:w="11900" w:h="16838" w:orient="portrait"/>
          <w:cols w:equalWidth="0" w:num="1">
            <w:col w:w="9019"/>
          </w:cols>
          <w:pgMar w:left="1440" w:top="98" w:right="1440" w:bottom="1440" w:gutter="0" w:footer="0" w:header="0"/>
        </w:sectPr>
      </w:pP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Revenue:</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Collaboration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revenue</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Research and development</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600" w:right="500" w:hanging="292"/>
        <w:spacing w:after="0" w:line="321" w:lineRule="auto"/>
        <w:rPr>
          <w:sz w:val="20"/>
          <w:szCs w:val="20"/>
          <w:color w:val="auto"/>
        </w:rPr>
      </w:pPr>
      <w:r>
        <w:rPr>
          <w:rFonts w:ascii="Times New Roman" w:cs="Times New Roman" w:eastAsia="Times New Roman" w:hAnsi="Times New Roman"/>
          <w:sz w:val="15"/>
          <w:szCs w:val="15"/>
          <w:color w:val="auto"/>
        </w:rPr>
        <w:t>Acquired in-process research and development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-17780</wp:posOffset>
            </wp:positionV>
            <wp:extent cx="4241800" cy="153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Loss from operations</w:t>
      </w:r>
    </w:p>
    <w:p>
      <w:pPr>
        <w:spacing w:after="0" w:line="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Fair value adjustments to convertible notes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Fair value adjustments to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 income, net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Loss before income taxes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06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w:t>
      </w:r>
    </w:p>
    <w:p>
      <w:pPr>
        <w:spacing w:after="0" w:line="2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gridSpan w:val="8"/>
          </w:tcPr>
          <w:p>
            <w:pPr>
              <w:ind w:left="20"/>
              <w:spacing w:after="0"/>
              <w:rPr>
                <w:sz w:val="20"/>
                <w:szCs w:val="20"/>
                <w:color w:val="auto"/>
              </w:rPr>
            </w:pPr>
            <w:r>
              <w:rPr>
                <w:rFonts w:ascii="Times New Roman" w:cs="Times New Roman" w:eastAsia="Times New Roman" w:hAnsi="Times New Roman"/>
                <w:sz w:val="23"/>
                <w:szCs w:val="23"/>
                <w:b w:val="1"/>
                <w:bCs w:val="1"/>
                <w:color w:val="auto"/>
                <w:w w:val="99"/>
                <w:vertAlign w:val="subscript"/>
              </w:rPr>
              <w:t>​</w:t>
            </w:r>
            <w:r>
              <w:rPr>
                <w:rFonts w:ascii="Times New Roman" w:cs="Times New Roman" w:eastAsia="Times New Roman" w:hAnsi="Times New Roman"/>
                <w:sz w:val="12"/>
                <w:szCs w:val="12"/>
                <w:b w:val="1"/>
                <w:bCs w:val="1"/>
                <w:color w:val="auto"/>
                <w:w w:val="99"/>
              </w:rPr>
              <w:t xml:space="preserve">  Year Ended December 31,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$ 50,000​ </w:t>
            </w:r>
            <w:r>
              <w:rPr>
                <w:rFonts w:ascii="Times New Roman" w:cs="Times New Roman" w:eastAsia="Times New Roman" w:hAnsi="Times New Roman"/>
                <w:sz w:val="23"/>
                <w:szCs w:val="23"/>
                <w:color w:val="auto"/>
                <w:vertAlign w:val="subscript"/>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bscript"/>
              </w:rPr>
              <w:t>​​</w:t>
            </w:r>
          </w:p>
        </w:tc>
        <w:tc>
          <w:tcPr>
            <w:tcW w:w="7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50,000​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50,000​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​50,000​ ​​</w:t>
            </w:r>
          </w:p>
        </w:tc>
      </w:tr>
      <w:tr>
        <w:trPr>
          <w:trHeight w:val="205"/>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60,033​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61,689​ ​​</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​(1,656)​​</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17,114​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13,510​ ​​</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3,604​ ​​</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10,000​ </w:t>
            </w:r>
            <w:r>
              <w:rPr>
                <w:rFonts w:ascii="Times New Roman" w:cs="Times New Roman" w:eastAsia="Times New Roman" w:hAnsi="Times New Roman"/>
                <w:sz w:val="23"/>
                <w:szCs w:val="23"/>
                <w:color w:val="auto"/>
                <w:vertAlign w:val="subscript"/>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9,000​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87,147​ </w:t>
            </w:r>
            <w:r>
              <w:rPr>
                <w:rFonts w:ascii="Times New Roman" w:cs="Times New Roman" w:eastAsia="Times New Roman" w:hAnsi="Times New Roman"/>
                <w:sz w:val="24"/>
                <w:szCs w:val="24"/>
                <w:color w:val="auto"/>
                <w:vertAlign w:val="subscript"/>
              </w:rPr>
              <w:t>​​</w:t>
            </w:r>
          </w:p>
        </w:tc>
        <w:tc>
          <w:tcPr>
            <w:tcW w:w="22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62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76,199​ </w:t>
            </w:r>
            <w:r>
              <w:rPr>
                <w:rFonts w:ascii="Times New Roman" w:cs="Times New Roman" w:eastAsia="Times New Roman" w:hAnsi="Times New Roman"/>
                <w:sz w:val="24"/>
                <w:szCs w:val="24"/>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​10,948​ </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​(37,147)</w:t>
            </w:r>
            <w:r>
              <w:rPr>
                <w:rFonts w:ascii="Times New Roman" w:cs="Times New Roman" w:eastAsia="Times New Roman" w:hAnsi="Times New Roman"/>
                <w:sz w:val="24"/>
                <w:szCs w:val="24"/>
                <w:color w:val="auto"/>
                <w:vertAlign w:val="subscript"/>
              </w:rPr>
              <w:t>​​</w:t>
            </w:r>
          </w:p>
        </w:tc>
        <w:tc>
          <w:tcPr>
            <w:tcW w:w="840" w:type="dxa"/>
            <w:vAlign w:val="bottom"/>
            <w:gridSpan w:val="5"/>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(76,199)</w:t>
            </w:r>
            <w:r>
              <w:rPr>
                <w:rFonts w:ascii="Times New Roman" w:cs="Times New Roman" w:eastAsia="Times New Roman" w:hAnsi="Times New Roman"/>
                <w:sz w:val="24"/>
                <w:szCs w:val="24"/>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​39,052​ </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(29,876)​​</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​29,576​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(13,268)​​</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​13,268​ ​​</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5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624​ </w:t>
            </w:r>
            <w:r>
              <w:rPr>
                <w:rFonts w:ascii="Times New Roman" w:cs="Times New Roman" w:eastAsia="Times New Roman" w:hAnsi="Times New Roman"/>
                <w:sz w:val="23"/>
                <w:szCs w:val="23"/>
                <w:color w:val="auto"/>
                <w:vertAlign w:val="subscript"/>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23"/>
                <w:szCs w:val="23"/>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563​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5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24"/>
                <w:szCs w:val="24"/>
                <w:color w:val="auto"/>
                <w:vertAlign w:val="subscript"/>
              </w:rPr>
              <w:t>​​</w:t>
            </w:r>
          </w:p>
        </w:tc>
        <w:tc>
          <w:tcPr>
            <w:tcW w:w="840" w:type="dxa"/>
            <w:vAlign w:val="bottom"/>
            <w:gridSpan w:val="5"/>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(43,083)</w:t>
            </w:r>
            <w:r>
              <w:rPr>
                <w:rFonts w:ascii="Times New Roman" w:cs="Times New Roman" w:eastAsia="Times New Roman" w:hAnsi="Times New Roman"/>
                <w:sz w:val="24"/>
                <w:szCs w:val="24"/>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​43,407​ </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​(36,823)​​</w:t>
            </w: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​(119,282)​​</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​82,459​ ​​</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5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(301)</w:t>
            </w:r>
            <w:r>
              <w:rPr>
                <w:rFonts w:ascii="Times New Roman" w:cs="Times New Roman" w:eastAsia="Times New Roman" w:hAnsi="Times New Roman"/>
                <w:sz w:val="23"/>
                <w:szCs w:val="23"/>
                <w:color w:val="auto"/>
                <w:vertAlign w:val="subscript"/>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(301)</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(37,124)</w:t>
            </w:r>
            <w:r>
              <w:rPr>
                <w:rFonts w:ascii="Times New Roman" w:cs="Times New Roman" w:eastAsia="Times New Roman" w:hAnsi="Times New Roman"/>
                <w:sz w:val="23"/>
                <w:szCs w:val="23"/>
                <w:color w:val="auto"/>
                <w:vertAlign w:val="subscript"/>
              </w:rPr>
              <w:t>​​</w:t>
            </w:r>
          </w:p>
        </w:tc>
        <w:tc>
          <w:tcPr>
            <w:tcW w:w="84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(119,282)</w:t>
            </w:r>
            <w:r>
              <w:rPr>
                <w:rFonts w:ascii="Times New Roman" w:cs="Times New Roman" w:eastAsia="Times New Roman" w:hAnsi="Times New Roman"/>
                <w:sz w:val="23"/>
                <w:szCs w:val="23"/>
                <w:color w:val="auto"/>
                <w:vertAlign w:val="subscript"/>
              </w:rPr>
              <w:t>​​</w:t>
            </w:r>
          </w:p>
        </w:tc>
        <w:tc>
          <w:tcPr>
            <w:tcW w:w="70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82,158​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34" w:lineRule="exact"/>
        <w:rPr>
          <w:sz w:val="20"/>
          <w:szCs w:val="20"/>
          <w:color w:val="auto"/>
        </w:rPr>
      </w:pPr>
    </w:p>
    <w:p>
      <w:pPr>
        <w:sectPr>
          <w:pgSz w:w="11900" w:h="16838" w:orient="portrait"/>
          <w:cols w:equalWidth="0" w:num="2">
            <w:col w:w="4680" w:space="720"/>
            <w:col w:w="3619"/>
          </w:cols>
          <w:pgMar w:left="1440" w:top="98" w:right="1440" w:bottom="1440" w:gutter="0" w:footer="0" w:header="0"/>
          <w:type w:val="continuous"/>
        </w:sect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Collaboration revenue was $50.0 million for the year ended December 31, 2023, and was derived from our BMS Agreement. There was no collaboration revenue for the year ended December 31, 2022.</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15"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our research and development expenses for each of the periods presented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80" w:type="dxa"/>
            <w:vAlign w:val="bottom"/>
          </w:tcPr>
          <w:p>
            <w:pPr>
              <w:ind w:left="2220"/>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2"/>
                <w:szCs w:val="12"/>
                <w:b w:val="1"/>
                <w:bCs w:val="1"/>
                <w:color w:val="auto"/>
                <w:w w:val="94"/>
              </w:rPr>
              <w:t xml:space="preserve"> Year Ended December 31,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r>
      <w:tr>
        <w:trPr>
          <w:trHeight w:val="20"/>
        </w:trPr>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80" w:type="dxa"/>
            <w:vAlign w:val="bottom"/>
          </w:tcPr>
          <w:p>
            <w:pPr>
              <w:ind w:left="222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2023</w:t>
            </w:r>
          </w:p>
        </w:tc>
        <w:tc>
          <w:tcPr>
            <w:tcW w:w="7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2022</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Direct research and development expenses by program:</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Obexelimab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Global programs (ZB002 &amp; ZB004)</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Regional programs (ZB001 &amp; ZB005)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Unallocated research and development expenses: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Personnel expenses (including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 expenses</w:t>
      </w:r>
    </w:p>
    <w:p>
      <w:pPr>
        <w:spacing w:after="0" w:line="6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8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​$25,446​​​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​$24,562​​​</w:t>
            </w: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 ​​</w:t>
            </w:r>
          </w:p>
        </w:tc>
      </w:tr>
    </w:tbl>
    <w:p>
      <w:pPr>
        <w:ind w:left="140" w:hanging="93"/>
        <w:spacing w:after="0"/>
        <w:tabs>
          <w:tab w:leader="none" w:pos="1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 ​ 6,242​​​ ​ ​ ​10,641​​​ ​​ ​(4,399)​​</w:t>
      </w:r>
    </w:p>
    <w:p>
      <w:pPr>
        <w:spacing w:after="0" w:line="36" w:lineRule="exact"/>
        <w:rPr>
          <w:rFonts w:ascii="Times New Roman" w:cs="Times New Roman" w:eastAsia="Times New Roman" w:hAnsi="Times New Roman"/>
          <w:sz w:val="15"/>
          <w:szCs w:val="15"/>
          <w:color w:val="auto"/>
        </w:rPr>
      </w:pPr>
    </w:p>
    <w:p>
      <w:pPr>
        <w:ind w:left="140" w:hanging="93"/>
        <w:spacing w:after="0"/>
        <w:tabs>
          <w:tab w:leader="none" w:pos="1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 ​ 6,738​​​ ​ ​ ​ 9,783​​​ ​​ ​(3,045)​​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​20,458​​​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​15,663​​​</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​4,795​ ​​</w:t>
            </w:r>
          </w:p>
        </w:tc>
        <w:tc>
          <w:tcPr>
            <w:tcW w:w="0" w:type="dxa"/>
            <w:vAlign w:val="bottom"/>
          </w:tcPr>
          <w:p>
            <w:pPr>
              <w:spacing w:after="0"/>
              <w:rPr>
                <w:sz w:val="1"/>
                <w:szCs w:val="1"/>
                <w:color w:val="auto"/>
              </w:rPr>
            </w:pPr>
          </w:p>
        </w:tc>
      </w:tr>
      <w:tr>
        <w:trPr>
          <w:trHeight w:val="201"/>
        </w:trPr>
        <w:tc>
          <w:tcPr>
            <w:tcW w:w="340" w:type="dxa"/>
            <w:vAlign w:val="bottom"/>
            <w:gridSpan w:val="4"/>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perscript"/>
              </w:rPr>
              <w:t>​</w:t>
            </w:r>
          </w:p>
        </w:tc>
        <w:tc>
          <w:tcPr>
            <w:tcW w:w="5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1,149​</w:t>
            </w:r>
            <w:r>
              <w:rPr>
                <w:rFonts w:ascii="Times New Roman" w:cs="Times New Roman" w:eastAsia="Times New Roman" w:hAnsi="Times New Roman"/>
                <w:sz w:val="23"/>
                <w:szCs w:val="23"/>
                <w:color w:val="auto"/>
                <w:vertAlign w:val="subscript"/>
              </w:rPr>
              <w:t>​​</w:t>
            </w:r>
          </w:p>
        </w:tc>
        <w:tc>
          <w:tcPr>
            <w:tcW w:w="7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 1,040​</w:t>
            </w:r>
            <w:r>
              <w:rPr>
                <w:rFonts w:ascii="Times New Roman" w:cs="Times New Roman" w:eastAsia="Times New Roman" w:hAnsi="Times New Roman"/>
                <w:sz w:val="23"/>
                <w:szCs w:val="23"/>
                <w:color w:val="auto"/>
                <w:vertAlign w:val="subscript"/>
              </w:rPr>
              <w:t>​​</w:t>
            </w:r>
          </w:p>
        </w:tc>
        <w:tc>
          <w:tcPr>
            <w:tcW w:w="26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109​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20" w:type="dxa"/>
            <w:vAlign w:val="bottom"/>
            <w:gridSpan w:val="4"/>
          </w:tcPr>
          <w:p>
            <w:pPr>
              <w:jc w:val="right"/>
              <w:ind w:right="53"/>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60,033​</w:t>
            </w:r>
          </w:p>
        </w:tc>
        <w:tc>
          <w:tcPr>
            <w:tcW w:w="100" w:type="dxa"/>
            <w:vAlign w:val="bottom"/>
          </w:tcPr>
          <w:p>
            <w:pPr>
              <w:spacing w:after="0"/>
              <w:rPr>
                <w:sz w:val="13"/>
                <w:szCs w:val="13"/>
                <w:color w:val="auto"/>
              </w:rPr>
            </w:pPr>
          </w:p>
        </w:tc>
        <w:tc>
          <w:tcPr>
            <w:tcW w:w="620" w:type="dxa"/>
            <w:vAlign w:val="bottom"/>
            <w:gridSpan w:val="2"/>
          </w:tcPr>
          <w:p>
            <w:pPr>
              <w:jc w:val="right"/>
              <w:ind w:right="53"/>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61,689​</w:t>
            </w:r>
          </w:p>
        </w:tc>
        <w:tc>
          <w:tcPr>
            <w:tcW w:w="60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(1,656)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tcPr>
          <w:p>
            <w:pPr>
              <w:ind w:left="40"/>
              <w:spacing w:after="0" w:line="35" w:lineRule="exact"/>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ind w:left="20"/>
              <w:spacing w:after="0" w:line="35" w:lineRule="exact"/>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260" w:type="dxa"/>
            <w:vAlign w:val="bottom"/>
            <w:gridSpan w:val="3"/>
          </w:tcPr>
          <w:p>
            <w:pPr>
              <w:ind w:left="20"/>
              <w:spacing w:after="0" w:line="35" w:lineRule="exact"/>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80" w:space="720"/>
            <w:col w:w="3419"/>
          </w:cols>
          <w:pgMar w:left="1440" w:top="98" w:right="1440" w:bottom="1440" w:gutter="0" w:footer="0" w:header="0"/>
          <w:type w:val="continuous"/>
        </w:sectPr>
      </w:pP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3" w:name="page94"/>
    <w:bookmarkEnd w:id="9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Research and development expenses were $60.0 million for the year ended December 31, 2023, compared to $61.7 million for the year ended December 31, 2022. The decrease of $1.7 million was primarily attributable to the following:</w:t>
      </w:r>
    </w:p>
    <w:p>
      <w:pPr>
        <w:spacing w:after="0" w:line="52" w:lineRule="exact"/>
        <w:rPr>
          <w:sz w:val="20"/>
          <w:szCs w:val="20"/>
          <w:color w:val="auto"/>
        </w:rPr>
      </w:pPr>
    </w:p>
    <w:p>
      <w:pPr>
        <w:jc w:val="both"/>
        <w:ind w:left="1600" w:right="1179" w:hanging="143"/>
        <w:spacing w:after="0" w:line="249" w:lineRule="auto"/>
        <w:tabs>
          <w:tab w:leader="none" w:pos="16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$0.9 million increase in costs related to the development of obexelimab, our lead product candidate, driven by a $5.0 million increase in costs related to the initiation of clinical trials and a $1.0 million increase in non-clinical work to support the trials, partially offset by a $4.1 million decrease in shared development costs as a result of the cost sharing reimbursement arrangement pursuant to the BMS Agreement, and a $1.0 million decrease in manufacturing that was primarily related to the costs of manufacturing clinical trial materials in 2022;</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$4.4 million decrease in costs related to our global programs, including a $1.5 million decrease related to ZB002 and a $2.9 million decrease related to ZB004, largely driven by a decrease in IND supporting costs in research and manufacturing for regulatory agencies, partially offset by the initiation of clinical studies;</w:t>
      </w:r>
    </w:p>
    <w:p>
      <w:pPr>
        <w:spacing w:after="0" w:line="55"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$3.0 million decrease in costs related to our regional programs, ZB001 and ZB005, driven by a decrease in CMC and preclinical work needed to support an IND and create Phase 1 materials, partially offset by an increase in Phase 1 clinical trial expenses; and</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$4.8 million increase in personnel costs, including a $1.2 million increase in stock-based compensation expense and a $3.4 million increase in salary and benefit related expense, primarily due to an increase in headcount, and a $0.1 million increase in other personnel costs.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w:t>
      </w:r>
    </w:p>
    <w:p>
      <w:pPr>
        <w:spacing w:after="0" w:line="115" w:lineRule="exact"/>
        <w:rPr>
          <w:sz w:val="20"/>
          <w:szCs w:val="20"/>
          <w:color w:val="auto"/>
        </w:rPr>
      </w:pPr>
    </w:p>
    <w:p>
      <w:pPr>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following table summarizes our general and administrative expenses for each of the periods presented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40" w:type="dxa"/>
            <w:vAlign w:val="bottom"/>
          </w:tcPr>
          <w:p>
            <w:pPr>
              <w:ind w:left="2280"/>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2"/>
                <w:szCs w:val="12"/>
                <w:b w:val="1"/>
                <w:bCs w:val="1"/>
                <w:color w:val="auto"/>
                <w:w w:val="94"/>
              </w:rPr>
              <w:t xml:space="preserve"> Year Ended December 31,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 ​</w:t>
            </w:r>
          </w:p>
        </w:tc>
      </w:tr>
      <w:tr>
        <w:trPr>
          <w:trHeight w:val="20"/>
        </w:trPr>
        <w:tc>
          <w:tcPr>
            <w:tcW w:w="2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189"/>
        </w:trPr>
        <w:tc>
          <w:tcPr>
            <w:tcW w:w="2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40" w:type="dxa"/>
            <w:vAlign w:val="bottom"/>
          </w:tcPr>
          <w:p>
            <w:pPr>
              <w:ind w:left="228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2023</w:t>
            </w:r>
          </w:p>
        </w:tc>
        <w:tc>
          <w:tcPr>
            <w:tcW w:w="7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2022</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 </w:t>
            </w:r>
            <w:r>
              <w:rPr>
                <w:rFonts w:ascii="Times New Roman" w:cs="Times New Roman" w:eastAsia="Times New Roman" w:hAnsi="Times New Roman"/>
                <w:sz w:val="21"/>
                <w:szCs w:val="21"/>
                <w:b w:val="1"/>
                <w:bCs w:val="1"/>
                <w:color w:val="auto"/>
                <w:vertAlign w:val="subscript"/>
              </w:rPr>
              <w:t>​</w:t>
            </w:r>
          </w:p>
        </w:tc>
      </w:tr>
      <w:tr>
        <w:trPr>
          <w:trHeight w:val="20"/>
        </w:trPr>
        <w:tc>
          <w:tcPr>
            <w:tcW w:w="2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Personnel related expenses (including stock-based compensation)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Legal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Facilities and supplies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0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general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9,859​​​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7,489​​​</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​​$2,370​ ​</w:t>
            </w:r>
          </w:p>
        </w:tc>
        <w:tc>
          <w:tcPr>
            <w:tcW w:w="0" w:type="dxa"/>
            <w:vAlign w:val="bottom"/>
          </w:tcPr>
          <w:p>
            <w:pPr>
              <w:spacing w:after="0"/>
              <w:rPr>
                <w:sz w:val="1"/>
                <w:szCs w:val="1"/>
                <w:color w:val="auto"/>
              </w:rPr>
            </w:pPr>
          </w:p>
        </w:tc>
      </w:tr>
      <w:tr>
        <w:trPr>
          <w:trHeight w:val="209"/>
        </w:trPr>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 ​ 4,626​​​</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3,635​​​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991​ ​</w:t>
            </w:r>
          </w:p>
        </w:tc>
        <w:tc>
          <w:tcPr>
            <w:tcW w:w="0" w:type="dxa"/>
            <w:vAlign w:val="bottom"/>
          </w:tcPr>
          <w:p>
            <w:pPr>
              <w:spacing w:after="0"/>
              <w:rPr>
                <w:sz w:val="1"/>
                <w:szCs w:val="1"/>
                <w:color w:val="auto"/>
              </w:rPr>
            </w:pPr>
          </w:p>
        </w:tc>
      </w:tr>
      <w:tr>
        <w:trPr>
          <w:trHeight w:val="209"/>
        </w:trPr>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 ​ 1,825​​​</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1,567​​​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258​ ​</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5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804​</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4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819​</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3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79"/>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17,114​</w:t>
            </w:r>
          </w:p>
        </w:tc>
        <w:tc>
          <w:tcPr>
            <w:tcW w:w="100" w:type="dxa"/>
            <w:vAlign w:val="bottom"/>
          </w:tcPr>
          <w:p>
            <w:pPr>
              <w:spacing w:after="0"/>
              <w:rPr>
                <w:sz w:val="13"/>
                <w:szCs w:val="13"/>
                <w:color w:val="auto"/>
              </w:rPr>
            </w:pPr>
          </w:p>
        </w:tc>
        <w:tc>
          <w:tcPr>
            <w:tcW w:w="620" w:type="dxa"/>
            <w:vAlign w:val="bottom"/>
            <w:gridSpan w:val="3"/>
          </w:tcPr>
          <w:p>
            <w:pPr>
              <w:jc w:val="right"/>
              <w:ind w:right="79"/>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13,510​</w:t>
            </w:r>
          </w:p>
        </w:tc>
        <w:tc>
          <w:tcPr>
            <w:tcW w:w="80" w:type="dxa"/>
            <w:vAlign w:val="bottom"/>
          </w:tcPr>
          <w:p>
            <w:pPr>
              <w:spacing w:after="0"/>
              <w:rPr>
                <w:sz w:val="13"/>
                <w:szCs w:val="13"/>
                <w:color w:val="auto"/>
              </w:rPr>
            </w:pPr>
          </w:p>
        </w:tc>
        <w:tc>
          <w:tcPr>
            <w:tcW w:w="4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3,604​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80" w:type="dxa"/>
            <w:vAlign w:val="bottom"/>
            <w:vMerge w:val="continue"/>
          </w:tcPr>
          <w:p>
            <w:pPr>
              <w:spacing w:after="0"/>
              <w:rPr>
                <w:sz w:val="4"/>
                <w:szCs w:val="4"/>
                <w:color w:val="auto"/>
              </w:rPr>
            </w:pPr>
          </w:p>
        </w:tc>
        <w:tc>
          <w:tcPr>
            <w:tcW w:w="220" w:type="dxa"/>
            <w:vAlign w:val="bottom"/>
            <w:gridSpan w:val="2"/>
          </w:tcPr>
          <w:p>
            <w:pPr>
              <w:ind w:left="20"/>
              <w:spacing w:after="0" w:line="35" w:lineRule="exact"/>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4"/>
                <w:szCs w:val="4"/>
                <w:color w:val="auto"/>
              </w:rPr>
            </w:pPr>
          </w:p>
        </w:tc>
        <w:tc>
          <w:tcPr>
            <w:tcW w:w="14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240" w:type="dxa"/>
            <w:vAlign w:val="bottom"/>
            <w:gridSpan w:val="2"/>
          </w:tcPr>
          <w:p>
            <w:pPr>
              <w:ind w:left="20"/>
              <w:spacing w:after="0" w:line="35" w:lineRule="exact"/>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4"/>
                <w:szCs w:val="4"/>
                <w:color w:val="auto"/>
              </w:rPr>
            </w:pPr>
          </w:p>
        </w:tc>
        <w:tc>
          <w:tcPr>
            <w:tcW w:w="14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240" w:type="dxa"/>
            <w:vAlign w:val="bottom"/>
            <w:gridSpan w:val="2"/>
          </w:tcPr>
          <w:p>
            <w:pPr>
              <w:ind w:left="20"/>
              <w:spacing w:after="0" w:line="35" w:lineRule="exact"/>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5180" w:space="600"/>
            <w:col w:w="3239"/>
          </w:cols>
          <w:pgMar w:left="1440" w:top="98" w:right="1440" w:bottom="1440" w:gutter="0" w:footer="0" w:header="0"/>
          <w:type w:val="continuous"/>
        </w:sect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General and administrative expenses were $17.1 million for the year ended December 31, 2023, compared to $13.5 million for the year ended December 31, 2022. The increase of $3.6 million was primarily attributable to the following:</w:t>
      </w:r>
    </w:p>
    <w:p>
      <w:pPr>
        <w:spacing w:after="0" w:line="45" w:lineRule="exact"/>
        <w:rPr>
          <w:sz w:val="20"/>
          <w:szCs w:val="20"/>
          <w:color w:val="auto"/>
        </w:rPr>
      </w:pPr>
    </w:p>
    <w:p>
      <w:pPr>
        <w:jc w:val="both"/>
        <w:ind w:left="1600" w:right="1179" w:hanging="143"/>
        <w:spacing w:after="0" w:line="252" w:lineRule="auto"/>
        <w:tabs>
          <w:tab w:leader="none" w:pos="16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$2.4 million increase in personnel costs, including a $1.5 million increase in stock-based compensation expense, a $1.4 million increase in salary and benefit related expense, primarily due to an increase in headcount, and a $0.6 million increase in external consultant costs, partially offset by a $1.1 million decrease in recruiting expense; and</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$1.0 million increase in professional fees, including legal, audit and tax expenses, primarily due to preparation for an initial public offering, and increased business development activities.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Acquired In-Process Research and Development Expenses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Acquired IPR&amp;D was $10.0 million for the year ended December 31, 2023, and was made up of a $10.0 million development milestone payment made during the year related to obexelimab, compared to IPR&amp;D of $1.0 million for the year ended December 31, 2022, which was made up of a $1.0 million milestone payment made in 2022 related to ZB001.</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Total Other Income (Expense), Net</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Total other income, net was $0.3 million for the year ended December 31, 2023, and was made up primarily of interest income of $0.7 million, offset by the change in fair value of the BMS Note of $0.3 million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4" w:name="page95"/>
    <w:bookmarkEnd w:id="9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upon remeasurement as of December 31, 2023. Total other expense, net was $43.1 million for the year ended December 31, 2022. The change was due to the remeasurement of the 2021 Notes of $29.9 million prior to conversion into our Series B Preferred Stock, par value $0.0001 per share in 2022 and the remeasurement of the Xencor Warrant liability of $13.3 million prior to settlement upon the issuance of the Series B Preferred Stock in 2022. As these liabilities were settled in November 2022, we did not recognize any expense related to these liabilities in 2023.</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Income Taxes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provision for income taxes was $0.3 million for the year ended December 31, 2023, and was primarily attributable to the taxable income generated as a result of the BMS upfront payment and the required capitalization of research and development expenses. There was no income tax provision recorded for the year ended December 31, 2022.</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Sources of Liquidity</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incurred significant operating losses since inception. We have not yet commercialized any product candidates, and we do not expect to generate revenue from sales of any product candidates or from other sources for several years, if at all. As of March 31, 2024, we had $37.2 million in cash and we had an accumulated deficit of $258.2 million. Through March 31, 2024, we have funded our operations primarily with gross proceeds of $159.0 million through the sale and issuance of our 2021 Notes and Preferred Stock, $50.0 million through our BMS Agreement, and $20.0 million from the BMS Note. In addition, on May 3, 2024, we received $179.0 million of gross proceeds from the sale and issuance of our Series C Preferred Stock.</w:t>
      </w: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provides information regarding our cash flows for each of the periods presented (in thousands):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6"/>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1"/>
                <w:szCs w:val="21"/>
                <w:b w:val="1"/>
                <w:bCs w:val="1"/>
                <w:color w:val="auto"/>
                <w:vertAlign w:val="subscript"/>
              </w:rPr>
              <w:t>​ ​</w:t>
            </w:r>
          </w:p>
        </w:tc>
        <w:tc>
          <w:tcPr>
            <w:tcW w:w="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5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6"/>
                <w:szCs w:val="16"/>
                <w:color w:val="auto"/>
              </w:rPr>
            </w:pP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gridSpan w:val="4"/>
            <w:shd w:val="clear" w:color="auto" w:fill="CCEEFF"/>
          </w:tcPr>
          <w:p>
            <w:pPr>
              <w:jc w:val="right"/>
              <w:ind w:right="88"/>
              <w:spacing w:after="0" w:line="156" w:lineRule="exact"/>
              <w:rPr>
                <w:sz w:val="20"/>
                <w:szCs w:val="20"/>
                <w:color w:val="auto"/>
              </w:rPr>
            </w:pPr>
            <w:r>
              <w:rPr>
                <w:rFonts w:ascii="Times New Roman" w:cs="Times New Roman" w:eastAsia="Times New Roman" w:hAnsi="Times New Roman"/>
                <w:sz w:val="15"/>
                <w:szCs w:val="15"/>
                <w:color w:val="auto"/>
                <w:w w:val="95"/>
              </w:rPr>
              <w:t>$(19,102)</w:t>
            </w:r>
          </w:p>
        </w:tc>
        <w:tc>
          <w:tcPr>
            <w:tcW w:w="640" w:type="dxa"/>
            <w:vAlign w:val="bottom"/>
            <w:gridSpan w:val="4"/>
            <w:shd w:val="clear" w:color="auto" w:fill="CCEEFF"/>
          </w:tcPr>
          <w:p>
            <w:pPr>
              <w:jc w:val="right"/>
              <w:ind w:right="13"/>
              <w:spacing w:after="0" w:line="156" w:lineRule="exact"/>
              <w:rPr>
                <w:sz w:val="20"/>
                <w:szCs w:val="20"/>
                <w:color w:val="auto"/>
              </w:rPr>
            </w:pPr>
            <w:r>
              <w:rPr>
                <w:rFonts w:ascii="Times New Roman" w:cs="Times New Roman" w:eastAsia="Times New Roman" w:hAnsi="Times New Roman"/>
                <w:sz w:val="15"/>
                <w:szCs w:val="15"/>
                <w:color w:val="auto"/>
                <w:w w:val="95"/>
              </w:rPr>
              <w:t>$(26,063)</w:t>
            </w:r>
          </w:p>
        </w:tc>
        <w:tc>
          <w:tcPr>
            <w:tcW w:w="720" w:type="dxa"/>
            <w:vAlign w:val="bottom"/>
            <w:gridSpan w:val="5"/>
            <w:shd w:val="clear" w:color="auto" w:fill="CCEEFF"/>
          </w:tcPr>
          <w:p>
            <w:pPr>
              <w:jc w:val="right"/>
              <w:ind w:right="18"/>
              <w:spacing w:after="0" w:line="156" w:lineRule="exact"/>
              <w:rPr>
                <w:sz w:val="20"/>
                <w:szCs w:val="20"/>
                <w:color w:val="auto"/>
              </w:rPr>
            </w:pPr>
            <w:r>
              <w:rPr>
                <w:rFonts w:ascii="Times New Roman" w:cs="Times New Roman" w:eastAsia="Times New Roman" w:hAnsi="Times New Roman"/>
                <w:sz w:val="15"/>
                <w:szCs w:val="15"/>
                <w:color w:val="auto"/>
              </w:rPr>
              <w:t>$(30,529)</w:t>
            </w:r>
          </w:p>
        </w:tc>
        <w:tc>
          <w:tcPr>
            <w:tcW w:w="620" w:type="dxa"/>
            <w:vAlign w:val="bottom"/>
            <w:gridSpan w:val="4"/>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$(65,652)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
        </w:trPr>
        <w:tc>
          <w:tcPr>
            <w:tcW w:w="3760" w:type="dxa"/>
            <w:vAlign w:val="bottom"/>
            <w:shd w:val="clear" w:color="auto" w:fill="CCEEFF"/>
          </w:tcPr>
          <w:p>
            <w:pPr>
              <w:spacing w:after="0"/>
              <w:rPr>
                <w:sz w:val="3"/>
                <w:szCs w:val="3"/>
                <w:color w:val="auto"/>
              </w:rPr>
            </w:pPr>
          </w:p>
        </w:tc>
        <w:tc>
          <w:tcPr>
            <w:tcW w:w="280" w:type="dxa"/>
            <w:vAlign w:val="bottom"/>
            <w:gridSpan w:val="2"/>
            <w:shd w:val="clear" w:color="auto" w:fill="CCEEFF"/>
          </w:tcPr>
          <w:p>
            <w:pPr>
              <w:ind w:left="100"/>
              <w:spacing w:after="0" w:line="44" w:lineRule="exact"/>
              <w:rPr>
                <w:sz w:val="20"/>
                <w:szCs w:val="20"/>
                <w:color w:val="auto"/>
              </w:rPr>
            </w:pPr>
            <w:r>
              <w:rPr>
                <w:rFonts w:ascii="Times New Roman" w:cs="Times New Roman" w:eastAsia="Times New Roman" w:hAnsi="Times New Roman"/>
                <w:sz w:val="5"/>
                <w:szCs w:val="5"/>
                <w:color w:val="auto"/>
              </w:rPr>
              <w:t>​ ​​</w:t>
            </w: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gridSpan w:val="2"/>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3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gridSpan w:val="3"/>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gridSpan w:val="3"/>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7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88"/>
              <w:spacing w:after="0" w:line="165" w:lineRule="exact"/>
              <w:rPr>
                <w:sz w:val="20"/>
                <w:szCs w:val="20"/>
                <w:color w:val="auto"/>
              </w:rPr>
            </w:pPr>
            <w:r>
              <w:rPr>
                <w:rFonts w:ascii="Times New Roman" w:cs="Times New Roman" w:eastAsia="Times New Roman" w:hAnsi="Times New Roman"/>
                <w:sz w:val="15"/>
                <w:szCs w:val="15"/>
                <w:color w:val="auto"/>
              </w:rPr>
              <w:t>(22)</w:t>
            </w:r>
          </w:p>
        </w:tc>
        <w:tc>
          <w:tcPr>
            <w:tcW w:w="40" w:type="dxa"/>
            <w:vAlign w:val="bottom"/>
          </w:tcPr>
          <w:p>
            <w:pPr>
              <w:spacing w:after="0"/>
              <w:rPr>
                <w:sz w:val="14"/>
                <w:szCs w:val="14"/>
                <w:color w:val="auto"/>
              </w:rPr>
            </w:pPr>
          </w:p>
        </w:tc>
        <w:tc>
          <w:tcPr>
            <w:tcW w:w="34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w w:val="93"/>
              </w:rPr>
              <w:t>—</w:t>
            </w:r>
          </w:p>
        </w:tc>
        <w:tc>
          <w:tcPr>
            <w:tcW w:w="2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18"/>
              <w:spacing w:after="0" w:line="165" w:lineRule="exact"/>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5"/>
                <w:szCs w:val="15"/>
                <w:color w:val="auto"/>
              </w:rPr>
              <w:t>​ (2,198)</w:t>
            </w:r>
          </w:p>
        </w:tc>
        <w:tc>
          <w:tcPr>
            <w:tcW w:w="0" w:type="dxa"/>
            <w:vAlign w:val="bottom"/>
          </w:tcPr>
          <w:p>
            <w:pPr>
              <w:spacing w:after="0"/>
              <w:rPr>
                <w:sz w:val="1"/>
                <w:szCs w:val="1"/>
                <w:color w:val="auto"/>
              </w:rPr>
            </w:pPr>
          </w:p>
        </w:tc>
      </w:tr>
      <w:tr>
        <w:trPr>
          <w:trHeight w:val="44"/>
        </w:trPr>
        <w:tc>
          <w:tcPr>
            <w:tcW w:w="376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gridSpan w:val="2"/>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gridSpan w:val="3"/>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65"/>
        </w:trPr>
        <w:tc>
          <w:tcPr>
            <w:tcW w:w="37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2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right w:val="single" w:sz="8" w:color="CCEEFF"/>
            </w:tcBorders>
            <w:gridSpan w:val="2"/>
            <w:shd w:val="clear" w:color="auto" w:fill="CCEEFF"/>
          </w:tcPr>
          <w:p>
            <w:pPr>
              <w:jc w:val="right"/>
              <w:ind w:right="88"/>
              <w:spacing w:after="0" w:line="165" w:lineRule="exact"/>
              <w:rPr>
                <w:sz w:val="20"/>
                <w:szCs w:val="20"/>
                <w:color w:val="auto"/>
              </w:rPr>
            </w:pPr>
            <w:r>
              <w:rPr>
                <w:rFonts w:ascii="Times New Roman" w:cs="Times New Roman" w:eastAsia="Times New Roman" w:hAnsi="Times New Roman"/>
                <w:sz w:val="15"/>
                <w:szCs w:val="15"/>
                <w:color w:val="auto"/>
              </w:rPr>
              <w:t>(614)</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ind w:left="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w w:val="93"/>
              </w:rPr>
              <w:t>55</w:t>
            </w:r>
          </w:p>
        </w:tc>
        <w:tc>
          <w:tcPr>
            <w:tcW w:w="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 20,116</w:t>
            </w:r>
          </w:p>
        </w:tc>
        <w:tc>
          <w:tcPr>
            <w:tcW w:w="2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w w:val="97"/>
              </w:rPr>
              <w:t>​ 59,391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
        </w:trPr>
        <w:tc>
          <w:tcPr>
            <w:tcW w:w="3760" w:type="dxa"/>
            <w:vAlign w:val="bottom"/>
            <w:shd w:val="clear" w:color="auto" w:fill="CCEEFF"/>
          </w:tcPr>
          <w:p>
            <w:pPr>
              <w:spacing w:after="0"/>
              <w:rPr>
                <w:sz w:val="3"/>
                <w:szCs w:val="3"/>
                <w:color w:val="auto"/>
              </w:rPr>
            </w:pPr>
          </w:p>
        </w:tc>
        <w:tc>
          <w:tcPr>
            <w:tcW w:w="280" w:type="dxa"/>
            <w:vAlign w:val="bottom"/>
            <w:gridSpan w:val="2"/>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gridSpan w:val="2"/>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3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gridSpan w:val="3"/>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gridSpan w:val="3"/>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7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Effect of exchange rate changes on cash and restricted cash</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36</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13"/>
              <w:spacing w:after="0" w:line="165" w:lineRule="exact"/>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78</w:t>
            </w: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55"/>
        </w:trPr>
        <w:tc>
          <w:tcPr>
            <w:tcW w:w="37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gridSpan w:val="3"/>
          </w:tcPr>
          <w:p>
            <w:pPr>
              <w:spacing w:after="0" w:line="55"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6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5"/>
                <w:szCs w:val="15"/>
                <w:color w:val="auto"/>
              </w:rPr>
              <w:t>Net decrease in cash and restricted cash</w:t>
            </w:r>
          </w:p>
        </w:tc>
        <w:tc>
          <w:tcPr>
            <w:tcW w:w="940" w:type="dxa"/>
            <w:vAlign w:val="bottom"/>
            <w:tcBorders>
              <w:right w:val="single" w:sz="8" w:color="CCEEFF"/>
            </w:tcBorders>
            <w:gridSpan w:val="5"/>
            <w:shd w:val="clear" w:color="auto" w:fill="CCEEFF"/>
          </w:tcPr>
          <w:p>
            <w:pPr>
              <w:jc w:val="right"/>
              <w:ind w:right="88"/>
              <w:spacing w:after="0" w:line="167" w:lineRule="exact"/>
              <w:rPr>
                <w:sz w:val="20"/>
                <w:szCs w:val="20"/>
                <w:color w:val="auto"/>
              </w:rPr>
            </w:pPr>
            <w:r>
              <w:rPr>
                <w:rFonts w:ascii="Times New Roman" w:cs="Times New Roman" w:eastAsia="Times New Roman" w:hAnsi="Times New Roman"/>
                <w:sz w:val="15"/>
                <w:szCs w:val="15"/>
                <w:color w:val="auto"/>
              </w:rPr>
              <w:t>$(19,702)</w:t>
            </w:r>
          </w:p>
        </w:tc>
        <w:tc>
          <w:tcPr>
            <w:tcW w:w="640" w:type="dxa"/>
            <w:vAlign w:val="bottom"/>
            <w:gridSpan w:val="4"/>
            <w:shd w:val="clear" w:color="auto" w:fill="CCEEFF"/>
          </w:tcPr>
          <w:p>
            <w:pPr>
              <w:jc w:val="right"/>
              <w:ind w:right="13"/>
              <w:spacing w:after="0" w:line="167" w:lineRule="exact"/>
              <w:rPr>
                <w:sz w:val="20"/>
                <w:szCs w:val="20"/>
                <w:color w:val="auto"/>
              </w:rPr>
            </w:pPr>
            <w:r>
              <w:rPr>
                <w:rFonts w:ascii="Times New Roman" w:cs="Times New Roman" w:eastAsia="Times New Roman" w:hAnsi="Times New Roman"/>
                <w:sz w:val="15"/>
                <w:szCs w:val="15"/>
                <w:color w:val="auto"/>
                <w:w w:val="95"/>
              </w:rPr>
              <w:t>$(26,013)</w:t>
            </w:r>
          </w:p>
        </w:tc>
        <w:tc>
          <w:tcPr>
            <w:tcW w:w="720" w:type="dxa"/>
            <w:vAlign w:val="bottom"/>
            <w:gridSpan w:val="5"/>
            <w:shd w:val="clear" w:color="auto" w:fill="CCEEFF"/>
          </w:tcPr>
          <w:p>
            <w:pPr>
              <w:jc w:val="right"/>
              <w:ind w:right="18"/>
              <w:spacing w:after="0" w:line="167" w:lineRule="exact"/>
              <w:rPr>
                <w:sz w:val="20"/>
                <w:szCs w:val="20"/>
                <w:color w:val="auto"/>
              </w:rPr>
            </w:pPr>
            <w:r>
              <w:rPr>
                <w:rFonts w:ascii="Times New Roman" w:cs="Times New Roman" w:eastAsia="Times New Roman" w:hAnsi="Times New Roman"/>
                <w:sz w:val="15"/>
                <w:szCs w:val="15"/>
                <w:color w:val="auto"/>
              </w:rPr>
              <w:t>$(10,352)</w:t>
            </w:r>
          </w:p>
        </w:tc>
        <w:tc>
          <w:tcPr>
            <w:tcW w:w="16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86"/>
              </w:rPr>
              <w:t>(8,500)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3760" w:type="dxa"/>
            <w:vAlign w:val="bottom"/>
            <w:shd w:val="clear" w:color="auto" w:fill="CCEEFF"/>
          </w:tcPr>
          <w:p>
            <w:pPr>
              <w:spacing w:after="0"/>
              <w:rPr>
                <w:sz w:val="5"/>
                <w:szCs w:val="5"/>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
                <w:szCs w:val="2"/>
                <w:color w:val="auto"/>
              </w:rPr>
              <w:t>​​ ​​</w:t>
            </w: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
                <w:szCs w:val="2"/>
                <w:color w:val="auto"/>
              </w:rPr>
              <w:t>​​ ​​</w:t>
            </w: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-173990</wp:posOffset>
            </wp:positionV>
            <wp:extent cx="11874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43916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39160"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-718185</wp:posOffset>
            </wp:positionV>
            <wp:extent cx="11176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-718185</wp:posOffset>
            </wp:positionV>
            <wp:extent cx="343217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Net Cash Used in Operating Activities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Net cash used in operating activities for the three months ended March 31, 2024 was $19.1 million, and was primarily due to our net loss of $27.8 million, partially offset by a $3.4 million increase in accounts payable, a $1.8 million increase in prepaid expenses and other assets, a $1.5 million increase in other current liabilities, a $0.3 million increase in accrued expenses, a $0.7 million increase in the fair value of our BMS Note liability and $0.9 million of stock-based compensation expense. The increase in accrued expenses and accounts payable was primarily attributable to an increase in research and development expenses, while the increase in prepaid expenses and other assets was primarily due to the timing of vendor payments.</w:t>
      </w:r>
    </w:p>
    <w:p>
      <w:pPr>
        <w:spacing w:after="0" w:line="27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Net cash used in operating activities for the three months ended March 31, 2023 was $26.1 million, and was primarily due to our net loss of $19.1 million, a $6.5 million decrease in accrued expenses, a $0.9 million decrease in prepaid expenses and other assets, and a $0.3 million decrease in accounts payable, partially offset by $0.7 million of stock-based compensation expense. The decrease in accrued expenses and accounts payable was primarily attributable to a decrease in research and development expenses, while the decrease in prepaid expenses and other assets was primarily due to the timing of vendor payments.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5" w:name="page96"/>
    <w:bookmarkEnd w:id="9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Net cash used in operating activities for the year ended December 31, 2023 was $30.5 million, and was primarily due to our net loss of $37.1 million, a $3.6 million decrease in accrued expenses, a $3.3 million increase in prepaid expenses and other assets, and a $0.4 million decrease in accounts payable, partially offset by $10.0 million of non-cash acquired in-process research and development expense related to a milestone payment, a $0.3 million increase in the fair value of our BMS Note liability, and $3.5 million of stock-based compensation expense. The decrease in accrued expenses and accounts payable was primarily attributable to a decrease in research and development expenses, while the increase in prepaid expenses and other assets was primarily due to the timing of vendor payments.</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Net cash used in operating activities for the year ended December 31, 2022 was $65.7 million, and was primarily due to our net loss of $119.3 million and a $4.5 million increase in prepaid expenses and other assets, partially offset by a $29.9 million increase in the fair value of the 2021 Notes, a $13.3 million increase in the fair value of our Xencor Warrant liability, a $12.1 million increase in accrued expenses, a $1.1 million increase in accounts payable, $1.0 million of non-cash acquired in-process research and development expense related to a milestone payment, and $0.7 million of stock-based compensation expense. The increase in accrued expenses and accounts payable was primarily attributable to an increase in research and development expenses, while the increase in prepaid expenses and other assets was primarily due to the timing of vendor payments.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Net Cash Used in Investing Activities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used in investing activities for the three months ended March 31, 2024 was less than $0.1 million and consisted of immaterial purchases of property and equipment. There was no cash used in or provided by investing activities for the three months ended March 31, 2024.</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Net cash used in investing activities for the year ended December 31, 2023 was less than $0.1 million and consisted of immaterial purchases of property and equipment.</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used in investing activities for the year ended December 31, 2022 was $2.2 million, resulting from payments for product candidate license acquisitions and development milestones of $2.0 million and purchases of property and equipment of $0.2 million.</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Net Cash (Used in) Provided by Financing Activities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used in financing activities for the three months ended March 31, 2024 was $0.6 million, resulting from a $0.7 million payment of offering costs, partially offset by less than $0.1 million of proceeds received from the exercise of stock options.</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Net cash provided by financing activities for the three months ended March 31, 2023 was $0.1 million, resulting entirely from proceeds received from the exercise of stock options.</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provided by financing activities for the year ended December 31, 2023 was $20.1 million, resulting from $20.0 million in proceeds received from the sale of the BMS Note and $0.1 million in proceeds received from the exercise of stock options.</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provided by financing activities for the year ended December 31, 2022 was $59.4 million, resulting entirely from proceeds received from the issuance and sale of shares of our Series B Preferred Stock, net of issuance costs.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Future Funding Requirements</w:t>
      </w:r>
    </w:p>
    <w:p>
      <w:pPr>
        <w:spacing w:after="0" w:line="11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As of March 31, 2024, we had $37.2 million in cash. In addition, on May 3, 2024, we received $179.0 million of gross proceeds from the sale and issuance of 116,275,239 shares of our Series C Preferred Stock, including 12,284,686 shares of Series C Preferred Stock issued upon the conversion of all convertible notes. Based on our current operating plan, we believe that our existing cash, together with the gross proceeds from our Series C Preferred Stock financing, will be sufficient to fund our operations and capital expenditure requirements for at least twelve months from the date that our financial statements are issued. In addition, we estimate that the anticipated net proceeds from this offering, together with the proceeds received from the sale of our Series C Preferred Stock and our existing cash as of the date of this prospectus, will be sufficient to</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6" w:name="page97"/>
    <w:bookmarkEnd w:id="9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fund our projected operations and capital expenditure requirements into                               . We have based this estimate on assumptions that may prove to be wrong, and we could expend our capital resources sooner than we expect.</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expect to incur significant expenses and operating losses for the foreseeable future as we advance our product candidates through clinical development, seek regulatory approval, and pursue commercialization of any approved drug candidates. We expect that our research and development and general and administrative costs will increase in connection with our planned research and clinical activities. In addition, upon the completion of this offering, we expect to incur additional costs associated with operating as a public company, including significant audit, legal, regulatory and tax-related expenses, as well as director and officer insurance premiums, investor relations costs, and other expenses that we did not incur as a private company. Cash used to fund operating expenses is impacted by the timing of when we pay these expenses, as reflected in the change in our outstanding accounts payable, accrued expenses, and prepaid expenses. If we receive regulatory approval for any of our product candidates, we expect to incur significant commercialization expenses related to drug manufacturing, sales, marketing and distribution, depending on where we choose to commercialize. We may also require additional capital to pursue in-licenses or acquisitions of other product candidates. As a result, we expect to incur substantial operating losses and negative operating cash flows for the foreseeable future.</w:t>
      </w:r>
    </w:p>
    <w:p>
      <w:pPr>
        <w:spacing w:after="0" w:line="10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67" w:lineRule="exact"/>
        <w:rPr>
          <w:sz w:val="20"/>
          <w:szCs w:val="20"/>
          <w:color w:val="auto"/>
        </w:rPr>
      </w:pPr>
    </w:p>
    <w:p>
      <w:pPr>
        <w:jc w:val="both"/>
        <w:ind w:left="1600" w:right="1179" w:hanging="143"/>
        <w:spacing w:after="0" w:line="257"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timing, progress results and costs of our ongoing obexelimab clinical studies and other research and development activities associated with the development of our other and future product candidates;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timing and outcome of regulatory review of product candidates;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future activities, including product sales, medical affairs, marketing, manufacturing and distribution, for any product candidates for which we receive marketing approval;</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establishing and maintaining arrangements with third party manufacturers for the commercial supply of products that receive marketing approval, if any;</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manufacturing for obexelimab and other product candidates, including commercial manufacturing at sufficient scale, if any product candidate is approved, including as a result of inflation, any supply chain issues or component shortages;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revenue, if any, received from commercial sale of our products, should any product candidates receive marketing approval;</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requirements of any future acquisitions or discovery of product candidates;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and timing of attracting, hiring and retaining skilled personnel to support our operations and continued growth;</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implementing operational, financial and management systems;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preparing, filing and prosecuting patent applications, maintaining and enforcing our intellectual property rights and defending intellectual property-related claims;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collaborations, strategic partnerships or marketing, distribution, licensing or other strategic arrangements with third parties on favorable terms, if at all;</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sufficient market acceptance, coverage and adequate reimbursement from third-party payors and adequate market share and revenue for any approved products;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receipt and amount of sales of, or milestone payments related to or royalties on, current or future product candidates, if any;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associated with operating as a public company following the completion of this offering, including legal, accounting or other expenses in operating our business.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7" w:name="page98"/>
    <w:bookmarkEnd w:id="9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 change in the outcome of any of these or other variables with respect to the development of obexelimab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w:t>
      </w:r>
    </w:p>
    <w:p>
      <w:pPr>
        <w:spacing w:after="0" w:line="9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Until such time, if ever, as we can generate substantial product revenues, we expect to finance our cash needs through a combination of equity offerings, debt financings or other capital sources, which could include collaborations, strategic alliances, or licensing arrangements. We currently have no credit facility or committed sources of capital.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which could adversely impact our ability to conduct our business.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If we raise additional funds through collaborations, strategic alliances, or licensing arrangements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Material Cash Requirements for Known Contractual and Other Obligations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Leases</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lease office space in both Waltham, Massachusetts and in Shanghai, China. Both leases are classified as operating leases and will expire in June 2025 and September 2025, respectively. Future minimum commitments under these leases are $1.0 million as of March 31, 2024. Of the $1.0 million balance, $0.8 million is due in less than 12 months. These commitments are also recognized as operating lease liabilities on our balance sheet as of March 31, 2024. See Note 6 in both our unaudited condensed consolidated financial statements and our audited consolidated financial statements appearing elsewhere in this prospectus for more information on our lease obligations.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License and Option Agreements</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have also entered into license agreements under which we may be obligated to make milestone and royalty payments, which are contingent upon future events, such as achieving certain development, regulatory, and commercial milestones or generating product sales. As of March 31, 2024 and December 31, 2023, we were unable to estimate the timing or likelihood of achieving these milestones or generating future product sales. See Note 8 in our unaudited condensed consolidated financial statements and Note 9 in our audited consolidated financial statements appearing elsewhere in this prospectus for a description of our license agreements.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Purchase and Other Obligations</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enter into contracts in the normal course of business with CROs, CMOs, and other third-party vendors for clinical trials and testing and manufacturing services. These contracts do not contain minimum purchase commitments and are cancellable by us upon written notice. Payments due upon cancellation consist of payments for services provided or expenses incurred, including non-cancelable obligations of our service provided up to one year after the date of cancellation.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Critical Accounting Policies and Significant Judgments and Estimates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8" w:name="page99"/>
    <w:bookmarkEnd w:id="9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29" w:lineRule="auto"/>
        <w:rPr>
          <w:sz w:val="20"/>
          <w:szCs w:val="20"/>
          <w:color w:val="auto"/>
        </w:rPr>
      </w:pPr>
      <w:r>
        <w:rPr>
          <w:rFonts w:ascii="Times New Roman" w:cs="Times New Roman" w:eastAsia="Times New Roman" w:hAnsi="Times New Roman"/>
          <w:sz w:val="15"/>
          <w:szCs w:val="15"/>
          <w:color w:val="auto"/>
        </w:rPr>
        <w:t>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On an ongoing basis, we evaluate our judgments and estimates in light of changes in circumstances, facts and experiences. Actual results may differ from these estimates under different assumptions or conditions. The effects of material revisions in estimates, if any, will be reflected in the consolidated financial statements prospectively from the date of change in estimates.</w:t>
      </w:r>
    </w:p>
    <w:p>
      <w:pPr>
        <w:spacing w:after="0" w:line="90" w:lineRule="exact"/>
        <w:rPr>
          <w:sz w:val="20"/>
          <w:szCs w:val="20"/>
          <w:color w:val="auto"/>
        </w:rPr>
      </w:pPr>
    </w:p>
    <w:p>
      <w:pPr>
        <w:jc w:val="both"/>
        <w:ind w:left="1160" w:right="1179" w:firstLine="293"/>
        <w:spacing w:after="0" w:line="230" w:lineRule="auto"/>
        <w:rPr>
          <w:sz w:val="20"/>
          <w:szCs w:val="20"/>
          <w:color w:val="auto"/>
        </w:rPr>
      </w:pPr>
      <w:r>
        <w:rPr>
          <w:rFonts w:ascii="Times New Roman" w:cs="Times New Roman" w:eastAsia="Times New Roman" w:hAnsi="Times New Roman"/>
          <w:sz w:val="15"/>
          <w:szCs w:val="15"/>
          <w:color w:val="auto"/>
        </w:rPr>
        <w:t>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in both our unaudited condensed consolidated financial statements and our audited consolidated financial statements appearing elsewhere in this prospectus for a description of our other significant accounting policies.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Revenue Recognition</w:t>
      </w:r>
    </w:p>
    <w:p>
      <w:pPr>
        <w:spacing w:after="0" w:line="10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To date, our revenues have consisted solely of payments received related to the BMS Agreement. We apply the revenue recognition guidance in accordance with the Financial Accounting Standards Board (“FASB”), Accounting Standards Codification (“ASC”), Topic 606, </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xml:space="preserve"> (“ASC 606”). Under ASC 606, we recognize revenue when our customers obtain control of promised goods or services, in an amount that reflects the consideration which we expect to receive in exchange for those goods or services.</w:t>
      </w:r>
    </w:p>
    <w:p>
      <w:pPr>
        <w:spacing w:after="0" w:line="23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 xml:space="preserve">There is judgement involved in determining whether a collaboration agreement is subject to ASC 606 or FASB ASC 808, </w:t>
      </w:r>
      <w:r>
        <w:rPr>
          <w:rFonts w:ascii="Times New Roman" w:cs="Times New Roman" w:eastAsia="Times New Roman" w:hAnsi="Times New Roman"/>
          <w:sz w:val="15"/>
          <w:szCs w:val="15"/>
          <w:i w:val="1"/>
          <w:iCs w:val="1"/>
          <w:color w:val="auto"/>
        </w:rPr>
        <w:t>Collaborative Arrangements</w:t>
      </w:r>
      <w:r>
        <w:rPr>
          <w:rFonts w:ascii="Times New Roman" w:cs="Times New Roman" w:eastAsia="Times New Roman" w:hAnsi="Times New Roman"/>
          <w:sz w:val="15"/>
          <w:szCs w:val="15"/>
          <w:color w:val="auto"/>
        </w:rPr>
        <w:t xml:space="preserve"> (“ASC 808”), in part or in full. An agreement, or portion thereof, are considered to be a collaborative arrangement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Payments received from or made to a partner as a result of a collaboration relationship with a partner, instead of a customer relationship, such as co-development activities, are recorded as a reduction or increase to research and development expense, respectively.</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For an agreement, or portion thereof, that is not subject to ASC 808, but rather with that of a customer relationship, ASC 606 will be applied. Under ASC 606, there is judgement involved in identifying the promised goods or services in the collaboration agreement, determining whether these are distinct in the context of the contract, and determining if these represent a performance obligation to a customer. These determinations are highly subjective and can differ between arrangements based on specified contractual terms. The identified performance obligations will impact most significantly the timing of revenue recognition, and is a point-in-time assessment performed at the outset of a collaboration agreement.</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our customer. All variable consideration, including milestones and royalties, is constrained until the cumulative revenue related to the consideration is no longer probable of reversal. Due to the uncertainty of research and development based milestones that are not within our control, payment becomes probable upon achievement.</w:t>
      </w:r>
    </w:p>
    <w:p>
      <w:pPr>
        <w:spacing w:after="0" w:line="24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consideration allocated to each performance obligation is recognized as revenue when control is transferred for the related goods or services.</w:t>
      </w:r>
    </w:p>
    <w:p>
      <w:pPr>
        <w:spacing w:after="0" w:line="8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receive payments from our customers based on billing schedules established in each contract. Upfront payments and fees are recorded as deferred revenue upon receipt or when due until we satisfy our obligations under these arrangements.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9" w:name="page100"/>
    <w:bookmarkEnd w:id="9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part of the process of preparing our consolidated financial statements, we are required to estimate our accrued third-party research and development expenses as of each balance sheet date. This process involves 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4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01"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Research and development expenses also include reimbursements owed to and received from collaboration partners to satisfy cost sharing requirements. These reimbursement amounts reflect our estimates of research and development expense as discussed above. As such, a change in estimates or judgments by us can result in a change to a reimbursement amount. To date, there have been no material true ups from estimated to actual reimbursements owed.</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Stock-Based Compensation</w:t>
      </w:r>
    </w:p>
    <w:p>
      <w:pPr>
        <w:spacing w:after="0" w:line="11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measure stock-based awards granted to employees, non-employee consultants and members of our board of directors based on the grant date fair value and recognize stock- 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We account for forfeitures as they occur.</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fair value of each restricted stock award (“RSA”) at its grant date is based on the estimated fair value of our common stock on that date as determined by our board of directors.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As there is currently no public market for our common stock, we determined the volatility for awards granted based on an analysis of reported data for a group of guideline companies. The expected volatility has been determined by comparison to the historical volatility measures of this group of guideline companies. We expect to estimate expected volatility based on the group of guideline companies until we have adequate historical data regarding the volatility of our own traded stock price. The expected term of our stock options granted to employees and non-employee directors has been determined utilizing the “simplified” method for awards that qualify as “plain-vanilla” options. The risk-free interest rate is determined by reference to the U.S. Treasury yield curve in effect at the time of grant of the award for time periods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0" w:name="page101"/>
    <w:bookmarkEnd w:id="10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approximately equal to the expected term of the award. We have not paid, and do not anticipate paying, dividends on our common stock; therefore, the expected dividend yield is assumed to be zero.</w:t>
      </w:r>
    </w:p>
    <w:p>
      <w:pPr>
        <w:spacing w:after="0" w:line="7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fair value of each RSA at its grant date is based on the estimated fair value of our common stock on that date as determined by our board of directors. See Note 11 in our unaudited condensed consolidated financial statements and Note 12 in our audited consolidated financial statements included elsewhere in this prospectus for information concerning the assumptions we used in applying the Black-Scholes option-pricing model to determine the estimated fair value of our stock options.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recorded stock-based compensation expense of $0.9 million and $0.7 million for the three months ended March 31, 2024 and 2023, respectively. As of March 31, 2024, there was $11.0 million of unrecognized stock-based compensation expense related to unvested stock options, to be recognized over a weighted-average period of 3.0 years. As of March 31, 2024, there was immaterial unrecognized stock-based compensation expense related to outstanding restricted stock awards, to be recognized over a weighted-average period of 0.4 years.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Determination of Fair Value of Common Stock</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As there has been no public market for our common stock to date, the historical estimated fair value of our common stock has been determined by our board of directors, with input from management, considering our most recently available independent third-party valuations of common stock.</w:t>
      </w:r>
    </w:p>
    <w:p>
      <w:pPr>
        <w:spacing w:after="0" w:line="9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 xml:space="preserve">In accordance with the guidance outlined in the American Institute of Certified Public Accountants’ Accounting and Valuation Guide, </w:t>
      </w:r>
      <w:r>
        <w:rPr>
          <w:rFonts w:ascii="Times New Roman" w:cs="Times New Roman" w:eastAsia="Times New Roman" w:hAnsi="Times New Roman"/>
          <w:sz w:val="15"/>
          <w:szCs w:val="15"/>
          <w:i w:val="1"/>
          <w:iCs w:val="1"/>
          <w:color w:val="auto"/>
        </w:rPr>
        <w:t>Valuation of Privately-Held -Company Equity Securities Issued as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Compensation</w:t>
      </w:r>
      <w:r>
        <w:rPr>
          <w:rFonts w:ascii="Times New Roman" w:cs="Times New Roman" w:eastAsia="Times New Roman" w:hAnsi="Times New Roman"/>
          <w:sz w:val="15"/>
          <w:szCs w:val="15"/>
          <w:color w:val="auto"/>
        </w:rPr>
        <w:t>, a third-party valuation firm prepared valuations of our common stock using a market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approach to estimate our enterprise value, and an option pricing method (“OPM”) to allocate value to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assumptions underlying these valuations represent management’s best estimates, which involve inherent uncertainties and the application of management’s judgment. As a result, if factors or expected outcomes change and we use significantly different assumptions or estimates, our stock-based compensation expense could be materially different.</w:t>
      </w:r>
    </w:p>
    <w:p>
      <w:pPr>
        <w:spacing w:after="0" w:line="9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Given the absence of a public market for our common stock to date, our board of directors, with input from management, considered various objective and subjective factors to determine the fair value of our common stock. The factors included, but were not limited to:</w:t>
      </w:r>
    </w:p>
    <w:p>
      <w:pPr>
        <w:spacing w:after="0" w:line="56" w:lineRule="exact"/>
        <w:rPr>
          <w:sz w:val="20"/>
          <w:szCs w:val="20"/>
          <w:color w:val="auto"/>
        </w:rPr>
      </w:pPr>
    </w:p>
    <w:p>
      <w:pPr>
        <w:ind w:left="1600" w:hanging="143"/>
        <w:spacing w:after="0"/>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contemporaneous valuations performed by an independent third-party valuation firm;</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stage of development and business strategy and the material risks related to our business and industry;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progress of our research and development efforts, including the status of preclinical and clinical studies for our product candidates;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achievement of enterprise milestones;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results and financial performance;</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prices of our preferred stock sold to or exchanged between outside investors in arm’s length transactions, if any, and the rights, preferences and privileges of our preferred stock as compared to those of our common stock, including the liquidation preferences of our preferred stock;</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liquidity of our equity as a private company;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valuation of publicly traded companies in the biopharmaceutical industry, as well as recently completed mergers and acquisitions of peer companies;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1" w:name="page102"/>
    <w:bookmarkEnd w:id="10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external market conditions, trends, and developments affecting the biopharmaceutical industry;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of achieving a liquidity event for the holders of our preferred shares and common stock, such as an IPO, or a sale of our company, given prevailing market conditions;</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analysis of IPOs and the market performance of similar companies in the biopharmaceutical industry;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economy in general.</w:t>
      </w:r>
    </w:p>
    <w:p>
      <w:pPr>
        <w:spacing w:after="0" w:line="11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Once a public trading market for our common stock has been established in connection with the completion of this offering, the fair value of our common stock will be determined based on the quoted market price of our common stock.</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 description of recently issued accounting pronouncements that may potentially impact our financial position and results of operations is disclosed in Note 2 in both our unaudited condensed consolidated financial statements and audited consolidated financial statements appearing elsewhere in this prospectus.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Quantitative and Qualitative Disclosures About Market Risks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Rate Risk</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are exposed to interest rate risk in the ordinary course of our business. As of March 31, 2024 and December 31, 2023, we had no cash equivalents or investments in marketable securities. As of March 31, 2024 and December 31, 2023, our outstanding debt obligation of $20.0 million for the BMS Note was at a fixed interest rate.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Foreign Currency Exchange Risk</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reporting currency is the U.S. dollar (“USD”). Our functional currency for Zenas BioPharma (HK) Limited, our wholly owned subsidiary in Hong Kong, is the USD, and our functional currency for Shanghai Zenas Biotechnology Co. Limited, our wholly-owned subsidiary in China, is the Chinese Yuan. The functional currency of our wholly-owned U.S. subsidiaries, Zenas BioPharma (USA) LLC and Zenas Biopharma Securities Corporation, is the USD. Adjustments that arise from exchange rate changes on transactions denominated in a currency other than the functional currency are included in other income (expense), net in the consolidated statements of operations and comprehensive loss as incurred. Realized foreign currency transaction gains (losses) were immaterial for the three months ended March 31, 2024 and for the year ended December 31, 2023.</w:t>
      </w:r>
    </w:p>
    <w:p>
      <w:pPr>
        <w:spacing w:after="0" w:line="10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 We do not believe that a hypothetical 10% increase or decrease in exchange rates during any of the periods presented would have had a material impact on our financial statements included elsewhere in this prospectus.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Effects of Inflation</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Inflation generally affects us by increasing our cost of labor and clinical trial costs. We believe that inflation has not had a material effect on our business, or on our consolidated financial statements included elsewhere in this prospectus.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 and Smaller Reporting Company</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2" w:name="page103"/>
    <w:bookmarkEnd w:id="10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arrangements, exemption from the requirements to hold non binding advisory votes on executive compensation and golden parachute payments and exemption from the auditor attestation requirement in the assessment of our internal control over financial reporting.</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may take advantage of these exemptions until the last day of the fiscal year following the fifth anniversary of this offering or such earlier time that we are no longer an emerging growth company. We would cease to be an emerging growth company earlier if we have more than $1.235 billion in annual revenue, we have more than $700.0 million in market value of our stock held by non affiliates (and we have been a public company for at least twelve months and have filed one Annual Report on Form 10-K) or we issue more than $1.0 billion of non 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0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In particular, in this prospectus,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you might receive from other public reporting companies in which you hold equity interests.</w:t>
      </w:r>
    </w:p>
    <w:p>
      <w:pPr>
        <w:spacing w:after="0" w:line="9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spacing w:after="0" w:line="10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3" w:name="page104"/>
    <w:bookmarkEnd w:id="10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10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may effectively deplete B cells in systemic circulation, these agents do not fully impact B cells in relevant tissue, and the intermittent dosing regimens of these agents may not provide optimal benefits for all patients. In addition, anti-CD20 and other anti-CD19 targeting agents may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POC for obexelimab as a B cell inhibitor for the treatment of patients living with certain autoimmune diseases.</w:t>
      </w:r>
    </w:p>
    <w:p>
      <w:pPr>
        <w:spacing w:after="0" w:line="9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planned Phase 2, double-blind, randomized, placebo-controlled trials, each of which we plan to initiate in             , and wAIHA through an ongoing Phase 2/3 trial, currently in the Phase 2 open label portion.</w:t>
      </w:r>
    </w:p>
    <w:p>
      <w:pPr>
        <w:spacing w:after="0" w:line="2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VRDN-001, an IGF-1R monoclonal antibody), and related programs, and ZB005 (also known as DNTH103, an anti-active C1s monoclonal antibody), for which we hold the development and commercialization rights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10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To date, we have no product candidates approved for commercial sale in any country and have not generated any revenue from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4" w:name="page105"/>
    <w:bookmarkEnd w:id="10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Obexelimab Overview</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are developing obexelimab for the treatment of several I&amp;I diseases summarized in the pipeline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84455</wp:posOffset>
            </wp:positionV>
            <wp:extent cx="4032250" cy="17653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32250" cy="176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Our lead product candidate, obexelimab, was engineered to mimic the natural antigen-antibody complex for the inhibition of B cells. By targeting CD19, obexelimab is designed to inhibit a broader B cell population, including plasmablasts and the subpopulation of CD19 expressing plasma cells, each of which produces high amounts of auto-antibodies. Co-engagement of CD19 and FcγRIIb by obexelimab has been shown to inhibit B cell activity, including antibody production, proliferation, cytokine secretion, B cell differentiation, and antigen presentation to T cells. In addition, obexelimab is designed to inhibit rather than destroy or deplete B cell lineage. Other anti-CD19 and CD20 targeting antibodies rely on antibody-dependent cell-mediated cytotoxicity (“ADCC”), complement-dependent cytotoxicity (“CDC”) and/or apoptosis or programmed cell death as a key component of their mechanism of action. ADCC, CDC and apoptosis activity are generally lower in disease-relevant tissue than the peripheral blood. In addition, in clinical practice other CD19 and CD20 targeted antibodies are typically dosed once every six months which has demonstrated efficacy, but may not provide sustained benefit in all patients due to variability in B cell depletion and recovery. The obexelimab mechanism of action and chronic dosing regimen may more broadly and effectively address the pathogenic role of B cell lineage in chronic autoimmune disease and has the potential to show greater clinical benefits, especially over a longer course of maintenance treatment.</w:t>
      </w:r>
    </w:p>
    <w:p>
      <w:pPr>
        <w:spacing w:after="0" w:line="10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inhibitory mechanism of obexelimab is believed to reduce the number of B cells in systemic circulation through margination of B cells to other tissues such as the lymph nodes and the spleen, rather than through depletion. The concept of margination is supported by preclinical and clinical data, where the substantial return of B cells in circulation of subjects receiving obexelimab was observed to occur as soon as six weeks after discontinuation of obexelimab administration, contrasted with the much longer period of B cell recovery observed with other CD19 and CD20 targeted depleting agents, which can take six months or longer following the last dose. The risks of prolonged B cell depletion include limitations on a patient’s ability to fight serious and opportunistic infections and on a patient’s ability to generate an adequate response to vaccines such as influenza, shingles, respiratory syncytial virus, and COVID-19. We believe the rapid return in B cell activity following the cessation or pause in obexelimab dosing could allow the patient’s immune system to more quickly return to baseline to protect against infections and allow a patient to receive vaccinations within as few as six weeks of his or her last dose, rather than potentially waiting six months or longer following treatment with an anti-CD19 or anti-CD20 targeted depleting therapy.</w:t>
      </w:r>
    </w:p>
    <w:p>
      <w:pPr>
        <w:spacing w:after="0" w:line="10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Obexelimab has been evaluated in five completed clinical trials in which a total of 198 subjects have received obexelimab either as IV infusion at doses of up to 10 mg/kg (n=158) or as a SC injection at doses of up to 375 mg (n=40). Obexelimab was well-tolerated across these five trials and demonstrated PK, as well as clinical activity providing POC in multiple I&amp;I indications. Based on this clinical data, we believe obexelimab could have potential advantages over anti-CD19 and -CD20 targeted depleting agents.</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5" w:name="page106"/>
    <w:bookmarkEnd w:id="10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believe obexelimab holds the potential to provide meaningful clinical benefit for patients in multiple I&amp;I indications. We are currently pursuing a registration-directed trial in patients with IgG4-RD, planning Phase 2, double-blind, randomized, placebo-controlled clinical trials of obexelimab in patients with MS and SLE, each of which we plan to initiate in                   , and are conducting a Phase 2/3 trial, currently in the Phase 2 open label portion, in patients with wAIHA.</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Pipeline Programs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Beyond obexelimab, we are developing ZB002, an anti -TNFα therapy designed to have an extended half-life as compared to existing anti-TNFα therapies. ZB002 is a recombinant human monoclonal antibody directed at human TNFα. ZB002 has an identical amino acid sequence to Humira (adalimumab) in the TNFα-binding region of the fragment variable domain; however, the Fc domain of ZB002 contains modifications designed to extend its half-life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In December 2022, we initiated a Phase 1, double-blind, randomized, placebo-controlled, SAD study designed to evaluate the safety, tolerability, and PK profile of ZB002 in healthy volunteers. Our Phase 1 SAD study demonstrated a half- life of approximately 55 days for ZB002, which we believe may allow for dosing once every four to eight weeks. In the second quarter of 2024, we initiated a Phase 1b MAD study of ZB002 in patients with rheumatoid arthritis. If the results of our ongoing Phase 1b MAD study of ZB002 are favorable, we will seek to identify a partner to advance ZB002 in subsequent trials for potential use as a treatment for certain I&amp;I diseases that can benefit from TNFα inhibition.</w:t>
      </w:r>
    </w:p>
    <w:p>
      <w:pPr>
        <w:spacing w:after="0" w:line="251"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Product Candidate</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106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Territory</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320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Phase of Development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ZB002</w:t>
            </w:r>
          </w:p>
        </w:tc>
        <w:tc>
          <w:tcPr>
            <w:tcW w:w="1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Global</w:t>
            </w:r>
          </w:p>
        </w:tc>
        <w:tc>
          <w:tcPr>
            <w:tcW w:w="1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3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Phase 1b MAD study in patients with RA ongoing</w:t>
            </w:r>
          </w:p>
        </w:tc>
        <w:tc>
          <w:tcPr>
            <w:tcW w:w="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(anti-TNFα mAb)</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Global</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Phase 1</w:t>
            </w:r>
          </w:p>
        </w:tc>
        <w:tc>
          <w:tcPr>
            <w:tcW w:w="32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ZB004</w:t>
            </w:r>
          </w:p>
        </w:tc>
        <w:tc>
          <w:tcPr>
            <w:tcW w:w="12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SAD study in healthy volunteers</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(CTLA-4-Ig fusion)</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Greater China</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Phase 1</w:t>
            </w:r>
          </w:p>
        </w:tc>
        <w:tc>
          <w:tcPr>
            <w:tcW w:w="32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ZB001</w:t>
            </w:r>
          </w:p>
        </w:tc>
        <w:tc>
          <w:tcPr>
            <w:tcW w:w="12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MAD study in Chinese patients with active TED</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(IGF-1R mAb)</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Greater China</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w:t>
            </w:r>
          </w:p>
        </w:tc>
        <w:tc>
          <w:tcPr>
            <w:tcW w:w="32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ZB005</w:t>
            </w:r>
          </w:p>
        </w:tc>
        <w:tc>
          <w:tcPr>
            <w:tcW w:w="12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20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(anti-active C1s mAb)</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also are developing ZB004, a CTLA-4-Ig fusion protein designed to have an extended half-life compared to approved CTLA-4- Ig fusion protein therapies, such as Orencia (abatacept) and Nulojix (belatacept). Similar to approved CTLA-4-Ig fusion protein therapies, the ZB004 mechanism of action is selective inhibition of T cell co-stimulation. The CTLA-4 motif binds to CD80 and CD86 on antigen-presenting cells, blocking the interaction of these receptors with CD28 on T lymphocytes, and thus inhibiting T cell co-stimulation. ZB004 contains two CTLA-4 extracellular domain substitutions designed to potentially produce greater CD80 and CD86 binding. In June 2023, we initiated a Phase 1, double-blind, randomized, placebo -controlled, SAD study designed to evaluate the safety, tolerability, PK and PD profile of ZB004 in healthy volunteers. Our Phase 1 single ascending dose (“SAD”) study demonstrated a half-life of approximately 17.4 days at the highest dose level of 200 mg, where CD86 receptor occupancy reached a maximum peak value of 81%, overcoming the effect of target mediated drug disposition. There were no dose limiting toxicities, AEs leading to discontinuation or SAEs. All AEs were mild or moderate in severity. Based on the ongoing analysis of data from the Phase 1 study, along with the known clinical efficacy of approved CTLA-4-Ig fusion protein therapies, we are seeking to advance the clinical development of ZB004 with a potential partner in indications where it could be uniquely positioned given its profile.</w:t>
      </w:r>
    </w:p>
    <w:p>
      <w:pPr>
        <w:spacing w:after="0" w:line="10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also have in-licensed the greater China rights to each of ZB001 (also known as VRDN-001), an IGF-1R monoclonal antibody, and related programs from Viridian, and ZB005 (also known as DNTH103), an anti-active C1s monoclonal antibody, from Dianthus. Following the initial clinical development for each of ZB001 and ZB005, we intend to seek to enter into an agreement with a third party who can complete the clinical development work, obtain regulatory approval, and ultimately, if approved, commercialize these programs in greater China.</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Management Team and Investors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Our executive management team is comprised of seasoned executives and scientists with extensive experience in the biopharmaceutical industry leading drug development and commercialization and executing</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6" w:name="page107"/>
    <w:bookmarkEnd w:id="10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successful business development strategies. Our company is led by Leon (Lonnie) O. Moulder, Jr., our Founder, Chief Executive Officer and Chairman, and the Managing Member of Tellus BioVentures, LLC, an early-stage life sciences investment fund. Prior to founding Zenas, Mr. Moulder co-founded TESARO, an oncology-focused biopharmaceutical company, serving as Chief Executive Officer and Director until its acquisition by GlaxoSmithKline. He previously served as President and Chief Executive Officer of Abraxis BioScience and as Vice Chairman of Eisai Corporation of North America following Eisai’s acquisition of MGI PHARMA, where he served as President and Chief Executive Officer. Mr. Moulder is joined by our team of veteran biopharmaceutical executives including Joseph Farmer, Jennifer Fox and Tanya Z. Fischer, M.D., Ph.D. who together with the leadership team, bring exceptional track records and experiences across the industry at companies such as TESARO, GlaxoSmithKline, Biohaven, Alnylam, Sanofi, Cubist and other biopharmaceutical companies. Our leadership team has collectively been responsible for numerous INDs and NDAs/BLAs and the associated commercial product launches of several successful pharmaceutical products.</w:t>
      </w:r>
    </w:p>
    <w:p>
      <w:pPr>
        <w:spacing w:after="0" w:line="28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Since our inception, we have raised $358.2 million from investors including                     . Potential investors should not consider investments made by our existing investors as a factor when making a decision to purchase shares in this offering since our existing investors may have had different risk tolerances and paid less per share than the price at which the shares are being offered in this offering.</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vision is to become a global leader in delivering transformative I&amp;I therapeutics to patients in need. We intend to leverage the experience and capabilities of our executive management team and our established networks throughout the biopharmaceutical industry to identify, acquire, develop and, if approved, commercialize product candidates that we believe can offer enhanced efficacy, safety and/or convenience over existing therapies and thereby provide superior benefits to patients. We intend to achieve our goals by implementing the following strategies:</w:t>
      </w:r>
    </w:p>
    <w:p>
      <w:pPr>
        <w:spacing w:after="0" w:line="67" w:lineRule="exact"/>
        <w:rPr>
          <w:sz w:val="20"/>
          <w:szCs w:val="20"/>
          <w:color w:val="auto"/>
        </w:rPr>
      </w:pPr>
    </w:p>
    <w:p>
      <w:pPr>
        <w:jc w:val="both"/>
        <w:ind w:left="1600" w:right="1179" w:hanging="143"/>
        <w:spacing w:after="0" w:line="249" w:lineRule="auto"/>
        <w:tabs>
          <w:tab w:leader="none" w:pos="16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Develop and commercialize our obexelimab franchise across multiple I&amp;I indications</w:t>
      </w:r>
      <w:r>
        <w:rPr>
          <w:rFonts w:ascii="Times New Roman" w:cs="Times New Roman" w:eastAsia="Times New Roman" w:hAnsi="Times New Roman"/>
          <w:sz w:val="15"/>
          <w:szCs w:val="15"/>
          <w:color w:val="auto"/>
        </w:rPr>
        <w:t>. Across five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clinical trials, in which 198 subjects were dosed, obexelimab was well-tolerated and demonstrated clinical activity that we believe provides POC for obexelimab as a B cell inhibitor for the treatment of patients living with certain autoimmune diseases. We are developing obexelimab as a potential I&amp;I franchise for patients in several autoimmune diseases, representing substantial commercial</w:t>
      </w:r>
    </w:p>
    <w:p>
      <w:pPr>
        <w:spacing w:after="0" w:line="1" w:lineRule="exact"/>
        <w:rPr>
          <w:sz w:val="20"/>
          <w:szCs w:val="20"/>
          <w:color w:val="auto"/>
        </w:rPr>
      </w:pPr>
    </w:p>
    <w:p>
      <w:pPr>
        <w:jc w:val="both"/>
        <w:ind w:left="1600" w:right="1179"/>
        <w:spacing w:after="0" w:line="244" w:lineRule="auto"/>
        <w:rPr>
          <w:sz w:val="20"/>
          <w:szCs w:val="20"/>
          <w:color w:val="auto"/>
        </w:rPr>
      </w:pPr>
      <w:r>
        <w:rPr>
          <w:rFonts w:ascii="Times New Roman" w:cs="Times New Roman" w:eastAsia="Times New Roman" w:hAnsi="Times New Roman"/>
          <w:sz w:val="15"/>
          <w:szCs w:val="15"/>
          <w:color w:val="auto"/>
        </w:rPr>
        <w:t xml:space="preserve">opportunities individually and in the aggregate. The first four indications we are pursuing include IgG4-RD through an ongoing registration-directed Phase 3 trial; MS and SLE through planned Phase 2, double-blind, randomized, placebo-controlled trials which we plan to initiate in                </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    ; and wAIHA through an ongoing Phase 2/3 trial, currently in the Phase 2 open label portion.</w:t>
      </w:r>
    </w:p>
    <w:p>
      <w:pPr>
        <w:spacing w:after="0" w:line="74" w:lineRule="exact"/>
        <w:rPr>
          <w:sz w:val="20"/>
          <w:szCs w:val="20"/>
          <w:color w:val="auto"/>
        </w:rPr>
      </w:pPr>
    </w:p>
    <w:p>
      <w:pPr>
        <w:jc w:val="both"/>
        <w:ind w:left="1600" w:right="1179" w:hanging="143"/>
        <w:spacing w:after="0" w:line="248"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Build our operational capabilities to develop and potentially commercialize our products in key regions. </w:t>
      </w:r>
      <w:r>
        <w:rPr>
          <w:rFonts w:ascii="Times New Roman" w:cs="Times New Roman" w:eastAsia="Times New Roman" w:hAnsi="Times New Roman"/>
          <w:sz w:val="15"/>
          <w:szCs w:val="15"/>
          <w:color w:val="auto"/>
        </w:rPr>
        <w:t>With plans to advance our obexelimab franchise in multiple I&amp;I indications, we intend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build the commercial capabilities necessary to achieve our goal of becoming a global development and commercial stage biopharma company. To do so, we plan to leverage the extensive experience of our executive team in launching products in major markets globally. Our intent since inception has been to maintain a global physical presence, and we currently have development and medical affairs capabilities in the United States, Europe and Asia. We intend to continue to expand these capabilities, particularly in the United States and Europe, as we continue to advance our programs into late-stage clinical development and potential commercialization.</w:t>
      </w:r>
    </w:p>
    <w:p>
      <w:pPr>
        <w:spacing w:after="0" w:line="65"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Utilize our business development experience and expertise to continue to build a deep and balanced portfolio of products and product candidates. </w:t>
      </w:r>
      <w:r>
        <w:rPr>
          <w:rFonts w:ascii="Times New Roman" w:cs="Times New Roman" w:eastAsia="Times New Roman" w:hAnsi="Times New Roman"/>
          <w:sz w:val="15"/>
          <w:szCs w:val="15"/>
          <w:color w:val="auto"/>
        </w:rPr>
        <w:t>We acquired each of our product candidates through in-licensing from third parties. Our ability to identify, acquire and efficiently advance obexelimab into Phase 3 and Phase 2 clinical trials across multiple indications demonstrates our capabilities and initiative to acquire and advance product candidates that fit our strategic vision. We intend to continue to utilize our business development strategy and expertise to build a balanced portfolio of new product candidates from preclinical through commercial assets. We leverage the deep clinical and preclinical development, regulatory, manufacturing and commercialization expertise of our team to identify, evaluate and acquire product candidates that we believe can be clinically differentiated in terms of efficacy, safety and/or convenience.</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7" w:name="page108"/>
    <w:bookmarkEnd w:id="10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600" w:right="1179" w:hanging="143"/>
        <w:spacing w:after="0" w:line="248"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Leverage success with initial indications to expand into broader I&amp;I opportunities. </w:t>
      </w:r>
      <w:r>
        <w:rPr>
          <w:rFonts w:ascii="Times New Roman" w:cs="Times New Roman" w:eastAsia="Times New Roman" w:hAnsi="Times New Roman"/>
          <w:sz w:val="15"/>
          <w:szCs w:val="15"/>
          <w:color w:val="auto"/>
        </w:rPr>
        <w:t>We believe that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biological pathways that are involved in many I&amp;I diseases are related and, therefore, therapies that effectively address these pathways may be applicable in multiple I&amp;I diseases. Our strategy for each product candidate is to initially pursue indications where the clinical translatability of the mechanism of action has been validated, where we believe we can independently and efficiently pursue clinical development and regulatory approval, and where we believe an attractive commercial opportunity exists. We also intend to pursue additional indications with larger patient populations where we believe our product candidates’ mechanisms may be relevant.</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Evaluate strategic collaborations as appropriate. </w:t>
      </w:r>
      <w:r>
        <w:rPr>
          <w:rFonts w:ascii="Times New Roman" w:cs="Times New Roman" w:eastAsia="Times New Roman" w:hAnsi="Times New Roman"/>
          <w:sz w:val="15"/>
          <w:szCs w:val="15"/>
          <w:color w:val="auto"/>
        </w:rPr>
        <w:t>We have in the past and may in the future seek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arrangements with other biopharmaceutical companies with strong and proven commercial capabilities for them to commercialize our potential therapies in such territories, if approved. For example, in August 2023, we entered into the BMS Agreement, pursuant to which we granted the exclusive rights to develop and, if approved, commercialize obexelimab in Japan and certain other Asian-Pacific countries. In addition, for certain product candidates, including ZB001, ZB002, ZB004 and ZB005, or indications that may require larger clinical development plans and commercial infrastructure, we may selectively seek to partner to help fund development and commercialization.</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Obexelimab (CD19 x FcγRIIb bifunctional monoclonal antibody) Program</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believe that our lead product candidate, obexelimab, has the potential to address key unmet needs in multiple I&amp;I indications due to its mechanism of action and chronic dosing regimen that may broadly and effectively address the pathogenic role of B cell lineage through reversible inhibition of B cell activity without causing B cell depletion.</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Obexelimab is a bifunctional, non-depleting, humanized monoclonal antibody designed to bind CD19 and FcγRIIb to inhibit B-lineage cell activity. The antibody variable region of obexelimab has been engineered to bind CD19, whereas the constant region has been engineered to enhance affinity for the inhibitory FcγRIIb receptor. FcγRIIb is the only Fc receptor on B cells and serves as an antibody-sensing down-regulator of humoral immunity that is naturally engaged by immune complexes. In addition, FcγRIIb regulates the activity of other B cell stimulators including interleukin-4, lipopolysaccharide and B cell activating factor (“BAFF”) that amplify BCR-driven proliferation and differentiation. By binding CD19 and FcγRIIb, obexelimab mimics the action of naturally occurring antigen-antibody complexes and inhibits B cell activity without depleting B cells in the lymph nodes or spleen.</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mechanism of action of obexelimab shown below in Figure 1, involves co-engagement of CD19 and FcγRIIb, leading to inhibition of B cell activity, including antibody production, proliferation, cytokine secretion, B cell differentiation, and antigen presentation to T cells.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1: Mechanism of Action of Obexelimab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104775</wp:posOffset>
            </wp:positionV>
            <wp:extent cx="1611630" cy="1779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11630" cy="177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8" w:name="page109"/>
    <w:bookmarkEnd w:id="10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Through </w:t>
      </w:r>
      <w:r>
        <w:rPr>
          <w:rFonts w:ascii="Times New Roman" w:cs="Times New Roman" w:eastAsia="Times New Roman" w:hAnsi="Times New Roman"/>
          <w:sz w:val="15"/>
          <w:szCs w:val="15"/>
          <w:i w:val="1"/>
          <w:iCs w:val="1"/>
          <w:color w:val="auto"/>
        </w:rPr>
        <w:t>in vitro, in vivo</w:t>
      </w:r>
      <w:r>
        <w:rPr>
          <w:rFonts w:ascii="Times New Roman" w:cs="Times New Roman" w:eastAsia="Times New Roman" w:hAnsi="Times New Roman"/>
          <w:sz w:val="15"/>
          <w:szCs w:val="15"/>
          <w:color w:val="auto"/>
        </w:rPr>
        <w:t xml:space="preserve"> and classical animal models of autoimmune disease, obexelimab’s binding to CD19 and FcγRIIb has been shown to enable the inhibition of B cell activity without depleting B cells. Preclinical and clinical studies have demonstrated that obexelimab potently inhibited B cell activity along with a decrease of approximately 50% in circulating B cell levels observed within one to two days. We believe the decrease in circulating B cell levels results from margination of B cells in lymphatic tissues, such as the lymph nodes and spleen, rather than depletion or elimination of the B cells. In contrast, anti-CD20 and other anti-CD19 B cell-targeting agents deplete B cells through B cell destruction. In clinical studies, we have observed substantial recovery of B cell levels in circulation following cessation of therapy with obexelimab within six weeks, as opposed to six months or longer that has been observed with B cell depleting agents. This rapid return in B cell activity following the cessation or pause in obexelimab dosing could allow the patient’s immune system to more quickly return to baseline to protect against infections and could allow a patient to receive vaccination within as few as six weeks of his or her last dose, rather than potentially waiting six months or more following treatment with an anti-CD19 or anti-CD20 targeted depleting therapy.</w:t>
      </w:r>
    </w:p>
    <w:p>
      <w:pPr>
        <w:spacing w:after="0" w:line="2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Clinical Development</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Obexelimab has been evaluated in five completed clinical trials in which a total of 198 subjects have received obexelimab either as an IV infusion at doses of up to 10 mg/kg (n=158) or as a SC injection at doses up to 375 mg (n=40). Across these five trials obexelimab was well-tolerated and demonstrated clinical activity that we believe provides POC for obexelimab as a B cell inhibitor for the treatment of patients living with certain autoimmune diseases. Our current ongoing and planned future trials of obexelimab utilize a fixed 250 mg, dosed weekly as a self-administered SC injection.</w:t>
      </w:r>
    </w:p>
    <w:p>
      <w:pPr>
        <w:sectPr>
          <w:pgSz w:w="11900" w:h="16838" w:orient="portrait"/>
          <w:cols w:equalWidth="0" w:num="1">
            <w:col w:w="9019"/>
          </w:cols>
          <w:pgMar w:left="1440" w:top="98" w:right="1440" w:bottom="1440" w:gutter="0" w:footer="0" w:header="0"/>
        </w:sectPr>
      </w:pP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Summary of Completed Clinical Trials for Obexelimab</w:t>
      </w:r>
    </w:p>
    <w:p>
      <w:pPr>
        <w:spacing w:after="0" w:line="126"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3"/>
              </w:rPr>
              <w:t>Study Description*</w:t>
            </w:r>
          </w:p>
        </w:tc>
        <w:tc>
          <w:tcPr>
            <w:tcW w:w="520" w:type="dxa"/>
            <w:vAlign w:val="bottom"/>
          </w:tcPr>
          <w:p>
            <w:pPr>
              <w:spacing w:after="0"/>
              <w:rPr>
                <w:sz w:val="13"/>
                <w:szCs w:val="13"/>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Phase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N</w:t>
            </w: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35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2"/>
                <w:szCs w:val="12"/>
                <w:b w:val="1"/>
                <w:bCs w:val="1"/>
                <w:color w:val="auto"/>
              </w:rPr>
              <w:t>Key Results</w:t>
            </w:r>
          </w:p>
        </w:tc>
      </w:tr>
      <w:tr>
        <w:trPr>
          <w:trHeight w:val="207"/>
        </w:trPr>
        <w:tc>
          <w:tcPr>
            <w:tcW w:w="1740" w:type="dxa"/>
            <w:vAlign w:val="bottom"/>
            <w:gridSpan w:val="3"/>
          </w:tcPr>
          <w:p>
            <w:pPr>
              <w:spacing w:after="0" w:line="207" w:lineRule="exact"/>
              <w:rPr>
                <w:sz w:val="20"/>
                <w:szCs w:val="20"/>
                <w:color w:val="auto"/>
              </w:rPr>
            </w:pPr>
            <w:r>
              <w:rPr>
                <w:rFonts w:ascii="Times New Roman" w:cs="Times New Roman" w:eastAsia="Times New Roman" w:hAnsi="Times New Roman"/>
                <w:sz w:val="13"/>
                <w:szCs w:val="13"/>
                <w:color w:val="auto"/>
              </w:rPr>
              <w:t>Healthy Volunteers Study</w:t>
            </w:r>
            <w:r>
              <w:rPr>
                <w:rFonts w:ascii="Times New Roman" w:cs="Times New Roman" w:eastAsia="Times New Roman" w:hAnsi="Times New Roman"/>
                <w:sz w:val="24"/>
                <w:szCs w:val="24"/>
                <w:color w:val="auto"/>
                <w:vertAlign w:val="superscript"/>
              </w:rPr>
              <w:t>​ ​</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Phase 1a</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Demonstrated tolerability, PK and target engagement</w:t>
            </w:r>
          </w:p>
        </w:tc>
      </w:tr>
      <w:tr>
        <w:trPr>
          <w:trHeight w:val="198"/>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Rheumatoid Arthritis</w:t>
            </w: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 ​ Phase 1b / 2a​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56</w:t>
            </w:r>
          </w:p>
        </w:tc>
        <w:tc>
          <w:tcPr>
            <w:tcW w:w="37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Demonstrated POC by showing clinical activity in</w:t>
            </w: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 Trial</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patients with RA</w:t>
            </w:r>
          </w:p>
        </w:tc>
      </w:tr>
      <w:tr>
        <w:trPr>
          <w:trHeight w:val="220"/>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IgG4-RD Trial</w:t>
            </w:r>
          </w:p>
        </w:tc>
        <w:tc>
          <w:tcPr>
            <w:tcW w:w="1100" w:type="dxa"/>
            <w:vAlign w:val="bottom"/>
            <w:gridSpan w:val="3"/>
          </w:tcPr>
          <w:p>
            <w:pPr>
              <w:ind w:left="120"/>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Phase 2</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w:t>
            </w:r>
          </w:p>
        </w:tc>
        <w:tc>
          <w:tcPr>
            <w:tcW w:w="3740" w:type="dxa"/>
            <w:vAlign w:val="bottom"/>
            <w:gridSpan w:val="4"/>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Demonstrated POC in patients with IgG4-RD</w:t>
            </w:r>
          </w:p>
        </w:tc>
      </w:tr>
      <w:tr>
        <w:trPr>
          <w:trHeight w:val="198"/>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SLE Trial</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 ​ Phase 2</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9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104​ ​ Demonstrated POC in patients with SLE by showing</w:t>
            </w:r>
          </w:p>
        </w:tc>
      </w:tr>
      <w:tr>
        <w:trPr>
          <w:trHeight w:val="190"/>
        </w:trPr>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increased response rates**</w:t>
            </w:r>
          </w:p>
        </w:tc>
      </w:tr>
      <w:tr>
        <w:trPr>
          <w:trHeight w:val="205"/>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 &amp; IV Formulation</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 ​ Phase 1</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50</w:t>
            </w:r>
          </w:p>
        </w:tc>
        <w:tc>
          <w:tcPr>
            <w:tcW w:w="37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Established bridging of IV to SC formulation</w:t>
            </w:r>
          </w:p>
        </w:tc>
      </w:tr>
      <w:tr>
        <w:trPr>
          <w:trHeight w:val="190"/>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Bioavailability Study</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8" w:lineRule="exact"/>
        <w:rPr>
          <w:sz w:val="20"/>
          <w:szCs w:val="20"/>
          <w:color w:val="auto"/>
        </w:rPr>
      </w:pPr>
    </w:p>
    <w:p>
      <w:pPr>
        <w:ind w:left="1460" w:hanging="296"/>
        <w:spacing w:after="0"/>
        <w:tabs>
          <w:tab w:leader="none" w:pos="14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clinical studies were conducted by Xencor. The results of these studies are further described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670" w:lineRule="exact"/>
        <w:rPr>
          <w:sz w:val="20"/>
          <w:szCs w:val="20"/>
          <w:color w:val="auto"/>
        </w:rPr>
      </w:pPr>
    </w:p>
    <w:p>
      <w:pPr>
        <w:sectPr>
          <w:pgSz w:w="11900" w:h="16838" w:orient="portrait"/>
          <w:cols w:equalWidth="0" w:num="2">
            <w:col w:w="7840" w:space="0"/>
            <w:col w:w="1179"/>
          </w:cols>
          <w:pgMar w:left="1440" w:top="98" w:right="1440" w:bottom="1440" w:gutter="0" w:footer="0" w:header="0"/>
          <w:type w:val="continuous"/>
        </w:sectPr>
      </w:pPr>
    </w:p>
    <w:p>
      <w:pPr>
        <w:ind w:left="1460" w:hanging="296"/>
        <w:spacing w:after="0"/>
        <w:tabs>
          <w:tab w:leader="none" w:pos="14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Primary endpoint did not achieve statistical significance.</w:t>
      </w:r>
    </w:p>
    <w:p>
      <w:pPr>
        <w:spacing w:after="0" w:line="71" w:lineRule="exact"/>
        <w:rPr>
          <w:rFonts w:ascii="Times New Roman" w:cs="Times New Roman" w:eastAsia="Times New Roman" w:hAnsi="Times New Roman"/>
          <w:sz w:val="12"/>
          <w:szCs w:val="12"/>
          <w:color w:val="auto"/>
        </w:rPr>
      </w:pPr>
    </w:p>
    <w:p>
      <w:pPr>
        <w:jc w:val="both"/>
        <w:ind w:left="1600" w:right="1179" w:hanging="143"/>
        <w:spacing w:after="0" w:line="247" w:lineRule="auto"/>
        <w:tabs>
          <w:tab w:leader="none" w:pos="16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Study in Healthy Adult Volunteers: </w:t>
      </w:r>
      <w:r>
        <w:rPr>
          <w:rFonts w:ascii="Times New Roman" w:cs="Times New Roman" w:eastAsia="Times New Roman" w:hAnsi="Times New Roman"/>
          <w:sz w:val="15"/>
          <w:szCs w:val="15"/>
          <w:color w:val="auto"/>
        </w:rPr>
        <w:t>XmAb5871-01 was a Phase 1, randomized, blinded, placebo-controlled, SAD IV study of the safety, tolerability and PK of obexelimab in 48 healthy adult volunteers, with 36 receiving study drug, conducted in the United Kingdom. The primary objective of the study was to evaluate the safety and tolerability profile of a single-dose IV administration of obexelimab. The secondary objective was to characterize the single-dose PK and immunogenicity of obexelimab. The study demonstrated that obexelimab was well tolerated at all doses, including the highest dose of 10 mg/kg. Gastrointestinal (“GI”)-related TEAE (including nausea, vomiting, abdominal pain, abdominal discomfort, epigastric discomfort and diarrhea) were the most frequently reported (14/36, 38.9%). There were no SAEs reported. The study was not powered for statistical significance.</w:t>
      </w:r>
    </w:p>
    <w:p>
      <w:pPr>
        <w:spacing w:after="0" w:line="70"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Trial in Rheumatoid Arthritis: </w:t>
      </w:r>
      <w:r>
        <w:rPr>
          <w:rFonts w:ascii="Times New Roman" w:cs="Times New Roman" w:eastAsia="Times New Roman" w:hAnsi="Times New Roman"/>
          <w:sz w:val="15"/>
          <w:szCs w:val="15"/>
          <w:color w:val="auto"/>
        </w:rPr>
        <w:t>XmAb5871-02 was a Phase 1b/2a, randomized, placebo-controlled,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double-blind, ascending multiple-IV dose trial of the safety, tolerability, PK, and PD of obexelimab in 56 patients with RA, with 40 receiving study drug. The trial was conducted at nine sites in four countries, including, Hungary, Poland, Czech Republic and Slovakia. The primary objective of the trial was to evaluate the safety and tolerability profile of multiple-dose, every 14-day, IV administration of obexelimab in patients with RA. The secondary objectives were to (i) characterize the PK and immunogenicity of multiple-dose, IV administered obexelimab in patients with RA and (ii) evaluate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09" w:name="page110"/>
    <w:bookmarkEnd w:id="10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37" w:lineRule="auto"/>
        <w:rPr>
          <w:sz w:val="20"/>
          <w:szCs w:val="20"/>
          <w:color w:val="auto"/>
        </w:rPr>
      </w:pPr>
      <w:r>
        <w:rPr>
          <w:rFonts w:ascii="Times New Roman" w:cs="Times New Roman" w:eastAsia="Times New Roman" w:hAnsi="Times New Roman"/>
          <w:sz w:val="15"/>
          <w:szCs w:val="15"/>
          <w:color w:val="auto"/>
        </w:rPr>
        <w:t>the effect of obexelimab on RA disease response. Complete CD19 receptor occupancy was seen at doses as low as 1 mg/kg from the first dose through the completion of dosing. The efficacy parameters evaluated in the trial showed an improvement trend in RA patients who received obexelimab when compared to patients who received placebo, although the trial was not powered to show significant changes. Patients who received obexelimab generally had improvement in ACR20, ACR50, ACR70, and DAS28-CRP Disease Activity when compared to patients who received placebo. In general, obexelimab was well tolerated, and the most common TEAEs were vomiting (7/40, 17.5%), headache (7/40, 17.5%), nausea (6/40, 15.0%), pyrexia (4/40, 10.0%), and arthralgia (4/40, 10.0%). Two subjects experienced infusion-related reactions (both at 10.0 mg/kg), one of which was considered an SAE. The other event, associated with the first infusion, was considered of moderate severity. In both cases, the infusion was terminated, and the patients recovered without sequelae. The trial was not powered for statistical significance.</w:t>
      </w:r>
    </w:p>
    <w:p>
      <w:pPr>
        <w:spacing w:after="0" w:line="63" w:lineRule="exact"/>
        <w:rPr>
          <w:sz w:val="20"/>
          <w:szCs w:val="20"/>
          <w:color w:val="auto"/>
        </w:rPr>
      </w:pPr>
    </w:p>
    <w:p>
      <w:pPr>
        <w:jc w:val="both"/>
        <w:ind w:left="1600" w:right="1179" w:hanging="143"/>
        <w:spacing w:after="0" w:line="246"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Trial in IgG4-RD: </w:t>
      </w:r>
      <w:r>
        <w:rPr>
          <w:rFonts w:ascii="Times New Roman" w:cs="Times New Roman" w:eastAsia="Times New Roman" w:hAnsi="Times New Roman"/>
          <w:sz w:val="15"/>
          <w:szCs w:val="15"/>
          <w:color w:val="auto"/>
        </w:rPr>
        <w:t>XmAb5871-03 was a Phase 2, open-label, single-arm IV, trial in 20 patients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IgG4-RD, including 15 patients dosed with 5 mg/kg of obexelimab, conducted in Boston, Massachusetts. The primary objective of the trial was to evaluate the effect of every-other-week IV administration of obexelimab on the IgG4-RD RI. The secondary objectives were to (i) evaluate the safety and tolerability of every-other-week IV administration of obexelimab in subjects with active IgG4-RD and (ii) evaluate the PK and immunogenicity of every-other-week IV administration of obexelimab in subjects with active IgG4-RD. In the primary efficacy analysis, in patients receiving 5 mg/kg, the IgG4-related disease Responder Index (“RI”) score at Day 169 had decreased by two or more points versus baseline in 12 (80%) patients, eight (67%) of whom had a score of zero (complete remission). Fourteen (93%) patients achieved an improvement on the RI of two or more points during at least one trial assessment at a median of 15 days (range 14 to 90) from treatment initiation. We believe these data demonstrated POC for obexelimab in IgG4-RD. In general, obexelimab was observed to be well tolerated in patients with IgG4-RD. The most common TEAEs were abdominal pain and nausea (4/20, 20.0%), vomiting (3/20, 15.0%), and diarrhea, chills, headache, nasal congestion, and upper respiratory tract infection (2/20, 10.0%). There was one case of pneumonia accounting for two SAEs (initial and recurrence due to non-compliance with therapy) in one patient and a second patient experienced one SAE (chronic inflammation demyelinating polyradiculoneuropathy in the setting of small lymphocytic lymphoma (pre-existing)). None of the SAEs were considered to be related to obexelimab. The trial was not powered for statistical significance.</w:t>
      </w:r>
    </w:p>
    <w:p>
      <w:pPr>
        <w:spacing w:after="0" w:line="244" w:lineRule="exact"/>
        <w:rPr>
          <w:rFonts w:ascii="Times New Roman" w:cs="Times New Roman" w:eastAsia="Times New Roman" w:hAnsi="Times New Roman"/>
          <w:sz w:val="15"/>
          <w:szCs w:val="15"/>
          <w:color w:val="auto"/>
        </w:rPr>
      </w:pPr>
    </w:p>
    <w:p>
      <w:pPr>
        <w:jc w:val="both"/>
        <w:ind w:left="1600" w:right="1179" w:hanging="143"/>
        <w:spacing w:after="0" w:line="245"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Trial in SLE: </w:t>
      </w:r>
      <w:r>
        <w:rPr>
          <w:rFonts w:ascii="Times New Roman" w:cs="Times New Roman" w:eastAsia="Times New Roman" w:hAnsi="Times New Roman"/>
          <w:sz w:val="15"/>
          <w:szCs w:val="15"/>
          <w:color w:val="auto"/>
        </w:rPr>
        <w:t>XmAb5871-04 was a Phase 2, double-blind, randomized, placebo-controlled, potential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POC trial in 104 patients with SLE administered IV, with 52 receiving study drug. The trial was conducted at 23 sites in the United States. The primary objective of the trial was to determine the ability of obexelimab to maintain SLE disease activity improvement achieved by a brief course of disease-suppressing intramuscular (“IM”) steroid therapy. The secondary objectives were to (i) evaluate time to loss of SLE disease activity improvement achieved by a brief course of disease-suppressing IM steroid therapy, (ii) evaluate the safety and tolerability of every-other-week IV administration of obexelimab in subjects with SLE and (iii) evaluate the PK and immunogenicity of every-other-week IV administration of obexelimab in subjects with SLE. Although the primary endpoint (the proportion of patients without loss of improvement in SLE disease activity) in the Efficacy Evaluable (“EE”) population was not achieved with statistical significance, the absolute treatment difference in the ITT population was 17.3% (40.4% obexelimab versus 23.1% placebo response, p = 0.06). The ITT analysis is relevant because all patients are considered in these analyses, whereas in the EE analysis there was a larger number of patients treated with placebo who discontinued treatment for reasons that removed them from the analysis. The difference in response rates between the obexelimab and placebo arms in this trial was similar to that observed in SLE registration-directed trials with other agents, although with different trial design and endpoints. Accordingly, we believe these data demonstrated POC for obexelimab in SLE. Obexelimab was generally well tolerated in patients with SLE. The most frequently occurring TEAEs were nausea (20/52, 39%), headache (12/52, 23%), vomiting (9/52, 17%), back pain and dizziness (8/52, 15%), flushing (7/52, 14%), and pain in extremity (6/52, 12%). There were eight SAEs in patients administered obexelimab, only one SAE (infusion-related reaction) of which was considered related to study drug. Adverse events led to the withdrawal of seven (13%) obexelimab-treated patients (most of which were infusion-related reactions) and two (4%) patients that were administered placebo.</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0" w:name="page111"/>
    <w:bookmarkEnd w:id="11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600" w:right="1179" w:hanging="143"/>
        <w:spacing w:after="0" w:line="246" w:lineRule="auto"/>
        <w:tabs>
          <w:tab w:leader="none" w:pos="160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PK and Relative Bioavailability Study of SC versus IV Formulation: </w:t>
      </w:r>
      <w:r>
        <w:rPr>
          <w:rFonts w:ascii="Times New Roman" w:cs="Times New Roman" w:eastAsia="Times New Roman" w:hAnsi="Times New Roman"/>
          <w:sz w:val="15"/>
          <w:szCs w:val="15"/>
          <w:color w:val="auto"/>
        </w:rPr>
        <w:t>XmAb5871-05 was a Phase 1 PK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relative bioavailability study of obexelimab administered either intravenously or subcutaneously in 50 healthy volunteers, conducted in Glendale, California, USA. The primary objectives of the study were to (i) characterize and compare the PK and bioavailability of obexelimab administered either IV or SC and (ii) evaluate the safety and tolerability of obexelimab administered SC. The secondary objectives of the study were to (i) determine the immunogenicity of obexelimab administered SC and (ii) characterize and compare the PK of healthy subjects with healthy Japanese subjects. In this study, five separate cohorts were treated with five separate obexelimab dosing regimens: 125 mg SC, 250 mg SC, 375 mg SC, or 250 mg IV every two weeks for six weeks, or 125 mg SC every week for three weeks. The absolute bioavailability of obexelimab across all cohorts after the SC administration was observed to be 58.1% and 53.6% after the first and third doses, respectively. All of the SC doses were observed to be well tolerated in all subjects. In the SC cohorts, the only TEAE occurring in more than two subjects was injection site bruising, which occurred in less than 2% of injections, was considered mild and resolved within 24 hours. The incidence of GI TEAE attributed to SC administration of obexelimab was less than 3%. There were no SAEs reported. Accordingly, we believe that the PK, relative bioavailability, and tolerability demonstrated in this study support the continued clinical development of the SC formulation of obexelimab.</w:t>
      </w:r>
    </w:p>
    <w:p>
      <w:pPr>
        <w:spacing w:after="0" w:line="10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Obexelimab has demonstrated clinical activity across multiple I&amp;I indications. We are currently pursuing a registration-directed trial in patients with IgG4-RD, planning Phase 2, double-blind, randomized, placebo-controlled clinical trials of obexelimab in patients with MS and SLE, and are conducting a Phase 2/3 trial, currently in the Phase 2 open label portion, in patients with wAIHA. Despite the promising results from the Phase 1b/2a trial of obexelimab in RA, we do not intend to develop obexelimab further in RA due to the competitive landscape in that disease.</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Obexelimab for the Treatment of IgG4-RD</w:t>
      </w:r>
    </w:p>
    <w:p>
      <w:pPr>
        <w:spacing w:after="0" w:line="128"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We believe obexelimab’s differentiated mechanism of action as an inhibitor of B cell lineage supports its potential to play an important role in the treatment of IgG4-RD. The reported evidence for the role of B cells in the pathogenesis of IgG4-RD, the observed effects of B cell targeting agents in previous trials in IgG4-RD and the data from our Phase 2 IgG4-RD trial with obexelimab support the continued development of obexelimab in patients with IgG4-RD. We are enrolling patients in our INDIGO Trial, a global Phase 3 registration-directed, randomized, double-blind placebo-controlled trial of obexelimab delivered 250 mg subcutaneously weekly to evaluate the prevention of flares in patients with IgG4-RD.</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IgG4-RD Histology and Disease Background</w:t>
      </w:r>
    </w:p>
    <w:p>
      <w:pPr>
        <w:spacing w:after="0" w:line="126"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IgG4-RD is a chronic fibro-inflammatory condition that can affect virtually all organ systems, including the pancreas, biliary tract, salivary and lacrimal glands, lungs, and kidneys. Patients with IgG4-RD may present with a single organ involved but more frequently present with multiple organ involvement. As the disease progresses and patients experience new or worsening symptoms (i.e., flares), lesions develop in additional organs and the cellular inflammation characterizing early disease moves toward a more fibrotic stage, which can lead to major irreversible tissue damage and ultimately organ failure. The most common symptoms in patients with IgG4-RD and their relative frequency of presentation are highlighted below in Figure 2. IgG4-RD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 The pathogenesis of IgG4-RD suggests that B cell-targeted therapies may provide therapeutic benefit. Several B cell subsets have recently been shown to be elevated in the peripheral blood of IgG4-RD patients. Moreover, plasmablasts have been shown to actively contribute to tissue fibrosis through multiple mechanisms, including production of pro-fibrotic molecules and stimulation of collagen production by fibroblasts.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1" w:name="page112"/>
    <w:bookmarkEnd w:id="11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2: IgG4-RD: A Chronic Fibro-inflammatory Disease Characterized by Flares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111760</wp:posOffset>
            </wp:positionV>
            <wp:extent cx="4025265" cy="25323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25265" cy="2532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Current Treatment and Unmet Need</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Despite the growing recognition of IgG4-RD and advances in the understanding of its pathophysiology, there are no approved therapies for the treatment of this disease and there remains high unmet medical need. There are few treatment options, which are often limited by co-morbidities common among patients with IgG4-RD, including diabetes, obesity and hypertension. The current standard of care is glucocorticoid treatment (“GCs”), however such treatment often results in various complications. Although GCs are initially effective in most patients, up to 60% of patients with IgG4-RD will relapse within 12 months of discontinuing GC treatment.</w:t>
      </w:r>
    </w:p>
    <w:p>
      <w:pPr>
        <w:spacing w:after="0" w:line="97"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IgG4-RD is a disease commonly marked by flares, which can lead to the accumulation of fibrosis, resulting in irreversible organ damage, often involving multiple organs, and past flares are often a strong indicator of future flares. Therefore, patients are in need of long-term maintenance treatment. However, maintenance therapy with GCs has not been shown to prevent recurrence of disease and can lead to significant toxicity and complications, including osteoporosis, hypertension, and diabetes, especially in elderly patients.</w:t>
      </w:r>
    </w:p>
    <w:p>
      <w:pPr>
        <w:spacing w:after="0" w:line="289"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In addition to GCs, the pathogenesis of IgG4-RD suggests that B cell-targeted therapies may provide therapeutic benefit. As a result, although not approved by any regulatory bodies to treat IgG4-RD, certain B cell depleting agents (e.g. rituximab) are occasionally used in such patients. However, B cell depleting agents are often associated with infections, including serious opportunistic infections, and can compromise a patient’s ability to mount a response to vaccinations. This was shown in a small pilot study of rituximab, a B cell-targeted therapy, in patients with IgG4-RD. We believe this is due to the fact that rituximab and other B cell depleting agents can cause prolonged depletion of B cells for six months or longer, which places patients at risk of opportunistic infections and potentially reduces response to vaccines.</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Summary of the Completed Phase 2 Trial of Obexelimab in IgG4-RD</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August 2023, the results of the Phase 2, open-label, single-arm, trial of obexelimab for the treatment of patients with IgG4-RD were published in The Lancet Rheumatology. Twenty patients with active IgG4-RD, defined as an IgG4-RD RI score of three or more, were enrolled. Fifteen patients received obexelimab 5 mg/kg</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2" w:name="page113"/>
    <w:bookmarkEnd w:id="11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IV every two weeks for 24 weeks. The protocol was later amended to also provide for the enrollment of an additional five patients who would receive a fixed dose of obexelimab of 90 mg IV or 180 mg IV every two weeks for 24 weeks.</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pre-specified primary analysis of this study focused on the 15 patients enrolled at obexelimab</w:t>
      </w:r>
    </w:p>
    <w:p>
      <w:pPr>
        <w:spacing w:after="0" w:line="18" w:lineRule="exact"/>
        <w:rPr>
          <w:sz w:val="20"/>
          <w:szCs w:val="20"/>
          <w:color w:val="auto"/>
        </w:rPr>
      </w:pPr>
    </w:p>
    <w:p>
      <w:pPr>
        <w:jc w:val="both"/>
        <w:ind w:left="1160" w:right="1179" w:firstLine="4"/>
        <w:spacing w:after="0" w:line="244" w:lineRule="auto"/>
        <w:tabs>
          <w:tab w:leader="none" w:pos="1279"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mg/kg. At baseline, the median IgG4-RD RI score was 12 (IQR 7-13). In the primary efficacy analysis, as shown in Figure 3 below, the median decrease in the IgG4-RD RI score was 11.5 points (IQR 7.5-14.5). The IgG4-RD RI score at day 169 had decreased by two or more points from baseline in 12 (80%) patients, eight (67%) of whom had a score of zero (complete remission). These patients included four (80%) of five patients who had achieved remission on previous therapies. Fourteen (93%) patients achieved an improvement on the RI of two or more points during at least one trial assessment at a median of 15 days (range 14 to 90) from treatment initiation. One (7%) patient did not achieve an improvement on the RI score of two or more points, and further evaluation found that this patient who failed to achieve at least a two point improvement on the RI scale had atypical disease activity in only the larynx. Twelve (80%) patients achieved a combined (secondary) endpoint of a decrease on the RI of two or more points at day 169, with no steroid use after day 57, and no disease flares. All primary responders had sustained responses through the end of the trial. The one (7%) patient who did not meet clinical response criteria had a RI score of two at baseline and a score of one before withdrawing from the trial after the Day 71 dose due to lack of efficacy (an IgG4-RD RI score reduction of less than two). Two responders also did not complete the trial: one discontinued after experiencing a disease relapse and one discontinued after an infusion-related hypersensitivity reaction during the fifth infusion. Thirteen (87%) patients experienced adverse events with the most common adverse event of GI infusion-related, including nausea, abdominal pain, and diarrhea.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3: Rapid and Sustained IgG4-RD RI Responses from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104775</wp:posOffset>
            </wp:positionV>
            <wp:extent cx="4178935" cy="20091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78935" cy="200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Furthermore, as shown in Figure 4 below, circulating B cell counts decreased by approximately 60% throughout the treatment period. However, among seven patients with post-treatment follow-up data, four (57%) demonstrated recovery of circulating B cells to at least 75% of baseline within 42 days of the final obexelimab dose. Circulating plasmablasts also decreased quickly, by approximately 70 to 80%, and began returning following cessation of obexelimab. Obexelimab inhibited B cell receptor-linked signaling pathways but did not induce B cell depletion. Both reductions in circulating B cells without evidence of depletion during obexelimab treatment and their rapid rebound after treatment discontinuation suggest that obexelimab might lead to B cell sequestration (margination) in lymphoid organs or the bone marrow. After the first dose of obexelimab, CD19 receptor occupancy was nearly 100% for most patients and remained at or near complete occupancy until after the last dose of obexelimab at day 155. We believe these results are promising and support the continued development of obexelimab for the treatment of IgG4-RD and potentially other B cell-mediated immunology and inflammation conditions.</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3" w:name="page114"/>
    <w:bookmarkEnd w:id="11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4: Rapid Recovery of Systemic B Cells Upon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90805</wp:posOffset>
            </wp:positionV>
            <wp:extent cx="3997325" cy="2016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97325" cy="201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Following enrollment of the first 15 patients treated at 5 mg/kg every other week, an additional five patients were enrolled in a separate cohort to explore a fixed dose regimen of obexelimab 90 mg IV every other week. All five patients achieved a decrease of two points or greater in the IgG4-RD RI at some time during the trial; however, three patients required an increased dose of obexelimab 180 mg IV every other week for disease flare, and two patients also received corticosteroids after Day 57. Peak serum concentration for patients who received 90 mg of obexelimab was approximately 25% and at 180 mg were approximately 50% of those patients who received 5 mg/kg.</w:t>
      </w:r>
    </w:p>
    <w:p>
      <w:pPr>
        <w:spacing w:after="0" w:line="1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Safety Summary</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One patient experienced pneumonia accounting for two SAEs (initial and recurrence due to non-compliance with antibiotic therapy), and a second patient experienced one SAE (chronic inflammatory demyelinating polyradiculoneuropathy in the setting of small lymphocytic lymphoma (preexisting)). None of these events were considered by the investigator to be related to obexelimab. Certain patients also experienced mild to moderate IV infusion-related GI symptoms. The most common TEAEs were abdominal pain and nausea (4/20, 20.0%), vomiting (3/20, 15.0%), and diarrhea, chills, headache, nasal congestion and upper respiratory tract infection (2/20, 10.0%).</w:t>
      </w:r>
    </w:p>
    <w:p>
      <w:pPr>
        <w:spacing w:after="0" w:line="1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INDIGO Trial—Our Ongoing Phase 3 Trial in IgG4-RD</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are enrolling patients in our INDIGO Trial, a global Phase 3 registration-directed, double -blind, placebo-controlled trial to evaluate the safety and efficacy of SC obexelimab in patients with active IgG4-RD in a randomized controlled period followed by an optional open-label extension period. We expect to enroll up to approximately 200 patients in the RCP and all patients from the RCP will be eligible for the OLE period. The trial will be conducted at approximately 100 sites in 20 countries. The RCP consists of a screening period (Day -28 to Day - 1) and a 52-week treatment period, during which 250 mg of obexelimab or placebo will be administered as an SC injection every seven days. Following the 52-week RCP, eligible patients will have the opportunity to continue in an OLE period where all patients will receive obexelimab.</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5: INDIGO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90805</wp:posOffset>
            </wp:positionV>
            <wp:extent cx="4053205" cy="7258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5320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4" w:name="page115"/>
    <w:bookmarkEnd w:id="11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To be considered eligible for the screening period, patients must have a clinical diagnosis of IgG4-RD, meet the 2019 ACR/EULAR classification criteria for IgG4-RD, as determined by an Adjudication Committee (“AC”), and have active IgG4-RD signs/symptoms (i.e., flare) that require, as assessed by the investigator, the initiation of GC therapy or an increase in background long-term GC therapy. All patients are required to receive three to six weeks of GC treatment at a dose of 20 to 60 mg/day prednisone equivalent prior to randomization. The required GC therapy can be either newly initiated or an increase in long-term GC therapy (i.e., patient was previously on a dose of ≤ 10 mg/day prednisone equivalent). The exact dose and taper schedule during the screening period and prior to randomization are at the discretion of the investigator. However, on the day of randomization, patients must have no disease activity and be at a dose of 20 mg/day prednisone equivalent. Patients will be randomized 1:1 to receive obexelimab or placebo. The primary efficacy assessment is time to first IgG4-RD flare, as determined by the investigator and the AC. If the investigator suspects an IgG4-RD flare, based on reappearance of previous signs/symptoms or appearance of new signs/​symptoms of IgG4-RD, organ-specific diagnostic assessments will be conducted, including a physical examination, imaging and/or testing of biochemical parameters specific to the involved organ(s), to correlate symptoms and to document disease activity. The investigator will then determine if an IgG4-RD flare has occurred and whether the initiation of rescue therapy is required. The AC will independently review these diagnostic assessments to determine if, in their judgement, the signs/symptoms represent a flare. Patients who meet the protocol-defined criteria for IgG4-RD flare, by both the investigator and the AC, will be counted as treatment failures for the primary endpoint of time to first flare and the key secondary endpoint of proportion of patients who remain free of IgG4-RD flare (i.e., complete remission). Rescue therapy outside of permitted GC therapy will result in discontinuation from obexelimab or placebo treatment, as the case may be. The trial was designed with approximately 90% power to detect a hazard ratio of 0.376 using a one-sided log-rank test at a significance level equal to 0.025.</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Patients who have completed the RCP Week 52 visit and meet all OLE eligibility criteria will have the option to participate in the trial for up to an additional 60 weeks (52-week treatment period followed by an eight-week follow-up) in the OLE period. During the OLE, all patients will receive obexelimab once every seven days beginning on Day 1 of the OLE period, regardless of their treatment assignment during the RCP. The primary objectives for the OLE are to evaluate the safety and efficacy of obexelimab in patients with IgG4-RD.</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Obexelimab for the Treatment of MS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believe obexelimab’s differentiated mechanism of action as an inhibitor of B cell lineage supports its potential for the treatment of MS. The role of B cells in the pathogenesis of MS has been demonstrated through the successful clinical development, approval and clinical use of anti-CD20 B cell targeting therapies of other companies, including OCREVUS (ocrelizumab) and KESIMPTA (ofatumumab), which selectively deplete peripheral CD20-expressing B cells. B cells are thought to play a central role in MS pathology and its concomitant neurodegeneration via multiple mechanisms. In addition to antibody secretion by plasmablasts and plasma cells, B cell functions implicated in MS pathogenesis include antigen presentation to T cells and production of pro-inflammation cytokines. We believe this activity observed from B cells may contribute to both MS relapses as well as the underlying disease progression. We filed an IND in the first half of 2024 and, once cleared, plan to advance obexelimab in a Phase 2, multicenter, randomized, double-blind, placebo-controlled trial, to evaluate the efficacy and safety of obexelimab in patients with MS in                   .</w:t>
      </w:r>
    </w:p>
    <w:p>
      <w:pPr>
        <w:spacing w:after="0" w:line="3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MS Histology and Disease Background</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MS is the most common immune-mediated, chronic inflammatory demyelinating disease of the central nervous system (“CNS”), affecting over two million people worldwide including as many as 1,000,000 in the United States, according to the National MS Society and the MS Foundation. We estimate a diagnosed prevalence of approximately 600,000 patients in the United States with MS.</w:t>
      </w:r>
    </w:p>
    <w:p>
      <w:pPr>
        <w:spacing w:after="0" w:line="8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MS is characterized by numerous demyelinating lesions of the brain and spinal cord. The magnetic resonance imaging (“MRI”) hallmark of the disease are multiple areas of demyelination in the CNS. The clinical features of an MS attack depend on the areas of the brain or spinal cord involved, thus symptoms may include sensory and visual disturbances, motor, coordination impairment and spasticity, fatigue, pain, and cognitive deficits. Its peak onset is typically in adults between 20 – 40 years old. The most common course of</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5" w:name="page116"/>
    <w:bookmarkEnd w:id="11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1" w:lineRule="auto"/>
        <w:rPr>
          <w:sz w:val="20"/>
          <w:szCs w:val="20"/>
          <w:color w:val="auto"/>
        </w:rPr>
      </w:pPr>
      <w:r>
        <w:rPr>
          <w:rFonts w:ascii="Times New Roman" w:cs="Times New Roman" w:eastAsia="Times New Roman" w:hAnsi="Times New Roman"/>
          <w:sz w:val="15"/>
          <w:szCs w:val="15"/>
          <w:color w:val="auto"/>
        </w:rPr>
        <w:t>MS is relapsing-remitting (“RRMS”), which affects as many as 85% of MS patients. Patients with RRMS experience episodes of neurological dysfunction followed by complete or incomplete recovery. Over time, the majority of RRMS patients develop disease progression, with or without relapses, referred to as secondary progressive MS (“SPMS”). Patients with RRMS and SPMS with relapses are typically referred to as having RMS. Lastly, 10 to 15% of patients present with a gradually progressive disease course from onset known as primary progressive MS (“PPMS”).</w:t>
      </w:r>
    </w:p>
    <w:p>
      <w:pPr>
        <w:spacing w:after="0" w:line="94"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Most patients initially diagnosed with RRMS experience two distinct clinical phases, the relapsing-remitting and progressive phases, each of which is reflected by a distinct pathological process. During the relapsing-remitting phase, inflammation drives disease activity while neurodegeneration, which is characterized by accumulating disability, is predominant in the progressive phase. However, underlying progression occurs in all forms of MS, and obexelimab’s unique mechanism of action has the potential to impact both the inflammation and neurodegeneration aspects of MS pathogenesis.</w:t>
      </w:r>
    </w:p>
    <w:p>
      <w:pPr>
        <w:spacing w:after="0" w:line="107"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Currently, the cause of MS remains unknown; however, both B and T cells play an important role in the pathogenesis of the disease, including inflammation and demyelination process. In addition to producing autoantibodies and inflammatory cytokines, B cells have an important function as antigen-presenting cells (“APCs”) involved in T cell activation. The APC function of B cells is thought to be an important reason for the beneficial effects of B cell therapies in MS. Chronic CNS inflammation in the MS lesion is maintained, in part, with activated pro-inflammatory macrophages, microglia and astrocytes at the rim of chronic active or slowly expanding MS lesions, which are the site of ongoing demyelination and neuronal damage. The continued expansion of chronic active lesions is believed to play a role in the pathogenesis of disease progression in MS.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6: Role of B and T Cells in 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118745</wp:posOffset>
            </wp:positionV>
            <wp:extent cx="4164965" cy="21139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64965" cy="211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The potential efficacy of obexelimab in the treatment of MS has been demonstrated preclinically in a prophylactic disease animal model. An obexelimab surrogate antibody (XENP8206) was evaluated versus a rituximab surrogate antibody and vehicle control in a preclinical experimental autoimmune encephalomyelitis (“EAE”) model. As shown in Figure 7 below, XENP8206 prevented disease incidence to a greater extent than the rituximab surrogate antibody and the activity of XENP8206 was not associated with B cell depletion.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6" w:name="page117"/>
    <w:bookmarkEnd w:id="11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Figure 7: Suppression of Disease Activity in EAE Model Without B Cell Depletion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111760</wp:posOffset>
            </wp:positionV>
            <wp:extent cx="4241800" cy="13881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41800" cy="138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Current Treatment, Limitations and Remaining Unmet Need</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Despite various treatments available for MS patients, unmet clinical needs remain, including a lack of an effect on progression independent of relapse activity (also known as “silent progression”), which has been observed even in patients with early RMS on highly effective therapies. Gadolinium enhancement is a sensitive technique for detecting active MS lesions and confirms the inflammatory activity of the disease. Monitoring the change in these MRI contrast enhancing lesions is routine and decreased MRI activity represents the earliest treatment effects in clinical trials. In many MS Phase 3 clinical trials, including those of B cell therapies, reductions in inflammatory lesions, initially demonstrated in Phase 2 POC trials utilizing MRI endpoints, were often accompanied by clinical improvements. The paramagnetic rim lesion may serve as another important emerging MRI marker of chronic neuroinflammation, with any modification observed in a clinical trial potentially indicating a change in disease progression. Subject to the clearance of an IND, we intend to initiate a Phase 2 potential POC trial of obexelimab in RMS patients, utilizing various MRI detection techniques and biomarkers to assess its impact in both the acute and chronic aspects of the disease.</w:t>
      </w:r>
    </w:p>
    <w:p>
      <w:pPr>
        <w:spacing w:after="0" w:line="27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To date, there are a number of therapies that have been approved for the treatment of MS, including injectable, oral and infused medications. Although MS is historically considered a T cell disease, blockade of B cell autoreactivity inhibits neuroinflammation through several pathways, including (i) preventing B cells from acting as antigen-presenting cells that activate autoreactive T cells, (ii) preventing B cells from releasing proinflammatory cytokines, (iii) preventing B cells from transforming into plasma cells that may produce myelin-directed autoantibodies, and (iv) preventing B cells from forming meningeal lymphoid follicles. Despite effective treatment for relapses, there remains a considerable proportion of patients who experience ongoing disease activity and/or accumulating progression of disability. Within 20 years of diagnosis, 30 – 60% of patients with RRMS convert to SPMS with relapse-independent disability progression resulting in severe limitations on quality of life. Despite currently approved therapies, there is an enduring need for additional safe and effective treatments that address the underlying progression seen in MS to potentially alter the course of disability.</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Our Planned Phase 2 Trial in RMS</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Given the clinical activity observed with B cell depleting agents, and subject to the clearance of an IND, we intend to initiate a Phase 2 potential POC trial of obexelimab in RMS patients in                     . The proposed Phase 2 trial in RMS will be a randomized, placebo-controlled trial in patients with relapsing active forms of MS in order to assess the safety and efficacy of a 250 mg weekly SC dose of obexelimab, utilizing various MRI detection techniques and biomarkers to assess its impact in both the active and chronic aspects of the disease. The primary objective of this trial will be to assess the change from baseline in the cumulative number of new Gd-enhancing lesions identified on T1-weighted MRI over the course of three months. Upon completion of the three-month period, patients on placebo will receive obexelimab treatment for at least three months and patients initially randomized to obexelimab will continue on treatment. Important secondary endpoints will likely include changes in various other MRI assessments (i.e., changes in T2-weighted lesions, changes in the number of new phase RIM lesions, number of T1 lesion conversions to phase RIM lesions, etc.).</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7" w:name="page118"/>
    <w:bookmarkEnd w:id="11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Obexelimab for the Treatment of SLE</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crucial role of B cells in SLE pathogenesis is well recognized, from producing autoantibodies to abnormal regulation of immune responses. Moreover, SLE is an autoimmune disease characterized by B cell dysfunction, the production of autoantibodies toward cellular and nuclear components, and multiorgan damage caused by immune complex deposition and inflammation within affected tissues. Obexelimab has demonstrated clinical activity as a B cell-directed agent due to its inhibitory effect on B cell lineage via its binding to CD19 and FcγRIIb, and a prior Phase 2 double- blind, randomized trial we believe demonstrated POC in SLE. We plan to advance obexelimab in a Phase 2, multicenter, randomized, double -blind, placebo-controlled trial, to evaluate the efficacy and safety of obexelimab to reduce disease activity in patients with SLE, which we intend to initiate in                   .</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SLE Histology and Disease Background</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SLE, the most common form of lupus, is a complex, chronic autoimmune disease characterized most notably by unpredictable flares in joints, skin, kidneys and other vital organs that cause progressive organ damage. The prognosis of SLE varies from patient to patient, with alternating periods of active symptoms and remission throughout their lifetime. SLE ranges from a relatively benign disease to rapidly progressive and even fatal. Comorbidities, such as infections, malignancies, hypertension, lipid disorders and diabetes, increase the risk of disability and death in patients. SLE commonly affects the central nervous system, kidneys, gastrointestinal system, mucous membranes, heart, skin, hematologic system, musculoskeletal system and lungs.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8: SLE Disease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104775</wp:posOffset>
            </wp:positionV>
            <wp:extent cx="3767455" cy="35369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767455" cy="353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8" w:name="page119"/>
    <w:bookmarkEnd w:id="11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Increased B cell activity and survival mediated through BCR abnormalities is a classic feature of SLE. BCR signals are impacted by several regulatory surface proteins, including CD19 and FcγRIIb. Activation of FcγRIIb is known to effectively dampen BCR signaling and decrease B cell responses to activating signals, which may play a pivotal role in suppressing a patient’s own immune system from attacking cells. In addition, data in both murine lupus models and human lupus studies provide a rationale for targeting CD19 and FcγRIIb as a treatment for SLE.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Current Treatment, Limitations and Remaining Unmet Need</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According to the Lupus Foundation of America, at least 1.5 million Americans are afflicted by lupus and more than 16,000 new cases are reported annually. It is estimated that five million people throughout the world suffer from some form of lupus, of which 70% suffer from the most common form, SLE. Lupus affects primarily women of childbearing age (15 to 44 years). However, men, children and teenagers can also develop lupus. We estimate a diagnosed prevalence of approximately 245,000 patients in the United States having lupus with approximately 172,000 having SLE.</w:t>
      </w:r>
    </w:p>
    <w:p>
      <w:pPr>
        <w:spacing w:after="0" w:line="9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current treatment strategy for SLE is based on treating the affected organ(s) and focuses on achieving a defined state of remission or low disease activity. Targeting B and plasma cells may have positive results in the overall treatment of SLE because of the role autoantibodies play in the pathogenesis of the disease.</w:t>
      </w:r>
    </w:p>
    <w:p>
      <w:pPr>
        <w:spacing w:after="0" w:line="26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Current treatments include non-steroidal anti-inflammatory drugs (NSAIDs), glucocorticoids, hydroxychloroquine, Benlysta (belimumab) (FDA approved for SLE in 2011), and Saphnelo (anifrolumab) (FDA approved for SLE in 2021). These limited options are modestly effective with improvement over placebo in clinical trials of nine to seventeen percentage points. We believe there is an opportunity to identify a clinically-validated biomarker to guide the selection or optimal administration of treatments.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Summary of Obexelimab—Phase 2 Trial in Patients with SLE</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Study XmAb5871-04 was a Phase 2, double -blind, randomized, placebo-controlled trial to evaluate the ability of obexelimab to maintain SLE disease activity improvement in patients after brief treatment of active disease with corticosteroids. Patients were randomized 1:1 to receive intravenous obexelimab (5 mg/kg) or matching placebo every two weeks for 16 doses or until loss of improvement (“LOI”). LOI was defined by either a 4-point increase in the hybrid Systemic Lupus Erythematosus Disease Activity Index (“hSLEDAI”) score or at least one British Isles Lupus Assessment Group (“BILAG”) A or B score rated “new” or “worse”. One hundred and four patients were randomized, with 52 assigned to obexelimab treatment and 52 to placebo. Patients completing the trial included 28 (53.8%) receiving obexelimab and 17 (32.7%) receiving placebo. Median months of treatment was 6.9 (range 0 – 7.4) with obexelimab and 3.6 (range 0 – 7) with placebo.</w:t>
      </w:r>
    </w:p>
    <w:p>
      <w:pPr>
        <w:spacing w:after="0" w:line="249"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primary endpoint was assessed as the proportion of patients reaching week 32 without LOI, using an EE population, defined as patients who completed the trial or withdrew for flare or treatment-related toxicity. Twenty-one out of 50 (42.0%) obexelimab-treated patients versus 12 out of 42 (28.6%) placebo-treated patients achieved the primary endpoint. Although the primary endpoint was not achieved with statistical significance (p = 0.183), the ITT population revealed a larger absolute treatment difference of 17.3% (40.4% versus 23.1%, p=0.06) in the obexelimab-treated group versus the placebo-treated group. The ITT analysis is relevant since all patients are considered in this analysis, whereas in the EE analysis a larger number of placebo-treated patients than obexelimab-treated patients discontinued treatment for reasons that removed them from the analysis (10 patients versus 2 patients). Furthermore, the placebo response rate (28.6% in the EE analysis and 23.1% in the ITT analysis) was higher than the 10% rate which was assumed in the statistical assumptions for the trial. Nevertheless, the difference in response rates between the obexelimab and placebo arms in this trial was similar to that observed in SLE registration-directed trials with other agents, although with different trial design and endpoints.</w:t>
      </w:r>
    </w:p>
    <w:p>
      <w:pPr>
        <w:spacing w:after="0" w:line="97"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Further, there was an association between obexelimab concentration and time to LOI. PK analysis revealed that quartiles of patients with progressively higher drug concentration had progressively longer time to LOI. Accordingly, we believe these data demonstrated POC for obexelimab in SLE.</w:t>
      </w:r>
    </w:p>
    <w:p>
      <w:pPr>
        <w:spacing w:after="0" w:line="94"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Fourteen (26.9%) patients that received obexelimab and 25 (48.1%) patients that received placebo withdrew for LOI. Adverse events led to the withdrawal of seven (13%) obexelimab-treated patients (most of</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9" w:name="page120"/>
    <w:bookmarkEnd w:id="11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which were infusion-related reactions) and two (4%) patients that were administered placebo. Withdrawal for other reasons occurred in three patients that were administered obexelimab and eight that were administered placebo. There was no increase in the proportion of patients with infection in obexelimab as compared to placebo treated groups. The most frequently occurring TEAEs in patients who received obexelimab administered IV were nausea (20/52, 39%), headache (12/52, 23%), vomiting (9/52, 17%), back pain and dizziness (8/52, 15%), flushing (7/52, 14%) and pain in extremity (6/52, 12%).</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Biomarker analysis identified baseline gene expression profiles associated with increased response to obexelimab. Patients with adequate baseline RNA samples (71 in total) were assigned into one of seven clusters (immunophenotypes) as defined by Guthridge et al. 2020 using the Oklahoma Lupus Cohort. Patients in gene expression clusters three and six exhibited greater prolongation of time-to-flare with obexelimab, whereas in the other clusters obexelimab was not associated with a prolongation in time-to-flare. There was a relatively small difference in time-to-flare between patients treated with placebo in clusters three and six compared with patients treated with placebo in the other clusters, suggesting that clusters three and six had higher predictive than prognostic value. Clusters three and six represent 38% of the population tested, which is similar to the 31% of cluster three and six patients in the original Oklahoma cohort. These clusters include patients of African and European descent and share increased expression of B cell pathways and low expression of inflammation pathways. These responsive immunophenotype subgroups are thus consistent with the drug’s mechanism of action, inhibition of B cell, plasmablasts, and plasma cell activity, an impact that was observed in patients treated with obexelimab.</w:t>
      </w:r>
    </w:p>
    <w:p>
      <w:pPr>
        <w:spacing w:after="0" w:line="10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believe the obexelimab efficacy data in the overall trial population and the increased response in biomarker-defined subpopulations, coupled with the safety data obtained to date, provide support for further clinical trials and the use of a SC obexelimab formulation in patients with SLE.</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Our Planned Phase 2 Trial in Patients with SLE</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In                   , we plan to initiate a Phase 2, multicenter, randomized, double-blind, placebo-controlled trial to evaluate the efficacy and safety of obexelimab when used to reduce disease activity in patients with SLE. We expect to enroll approximately 190 patients and to conduct the trial at multiple sites worldwide.</w:t>
      </w:r>
    </w:p>
    <w:p>
      <w:pPr>
        <w:spacing w:after="0" w:line="9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To be eligible for the trial, patients enrolled must have active SLE at screening, as defined by BILAG 2004 and hSLEDAI. Patients will be randomized 1:1 to obexelimab 250 mg or placebo SC injection every seven days over 24 weeks. The primary endpoint will be the percentage of responders, defined by BILAG-based Composite Lupus Assessment, with a reduction of SLE disease activity at week 24. Biomarker analysis is planned to be conducted in all patients. This includes baseline RNA expression profiles to immunophenotype patients and evaluation of their differential responses to treatment. Additional biomarker assessments include serum cytokines and chemokines, SLE disease markers (complement C3/ C4, anti-dsDNA), and immune cell subsets (B cells, plasma cells, etc.).</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Obexelimab for the Treatment of wAIHA</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Immunoglobulin G (“IgG”) autoantibodies are the key pathogenic factors involved in most forms of wAIHA. Accordingly, we believe that obexelimab’s ability to inhibit or down-regulate B cells and the clinical activity and tolerability profile observed in previous clinical studies provide a strong rationale for its development in wAIHA. In 2023, we initiated SApHiAre, a two-part global trial that includes a potential registration-directed, randomized, double-blind, placebo -controlled evaluation of obexelimab delivered SC weekly to evaluate the efficacy and safety of obexelimab in patients with wAIHA.</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wAIHA Histology and Disease Background</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AIHA is an acquired disorder in which autoantibodies directed against a patient’s own red blood cell (“RBC”) membrane antigens lead to their accelerated destruction, and the rate of production of new cells in the bone marrow can no longer compensate for their loss. wAIHA can be either primary (or idiopathic) or it can be associated with an underlying disease, which occurs in at least half the cases and is classified as secondary wAIHA. As depicted in Figure 9 below, B cells contribute to the pathogenic process in immune-mediated disorders by producing autoantibodies and inflammatory cytokines and by acting as antigen-presenting cells, leading to T cell activation. Recent findings have also pointed to an important role of different</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0" w:name="page121"/>
    <w:bookmarkEnd w:id="12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 cell subtypes in the onset and progression of various autoimmune disorders, including wAIHA. A vital role of B cells in the pathogenesis of wAIHA is supported by a randomized, double-blind, placebo-controlled trial of 32 adult patients that showed rituximab was effective in treating wAIHA over the course of 4.5 years (2.5 years of treatment and 2 years of follow-up).</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9: Pathogenesis of wAIHA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104775</wp:posOffset>
            </wp:positionV>
            <wp:extent cx="4046220" cy="2371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46220"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Current Treatment, Limitations and Remaining Unmet Need</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wAIHA is the most prevalent form of AIHA and accounts for 70% to 80% of all cases in adults and almost 50% of all cases in children. We estimate that the currently diagnosed population of wAIHA patients in the U.S. is approximately 40,000, with similar prevalence rates in other countries. Glucocorticoids (prednisone or prednisolone) are commonly given as first-line treatment. Although there is an initial clinically significant response achieved in 70% to 80% of cases, approximately 60% to 80% of patients require additional treatment within one year of initial treatment. However, similar to IgG4-RD patients, long-term steroid maintenance therapy can lead to significant toxicity and complications, including osteoporosis, high blood pressure, and diabetes. For patients that do not adequately respond to and/or are unable to tolerate corticosteroids, other unapproved treatments carrying higher risk such as rituximab, other immunosuppressant therapies, blood transfusions and/or splenectomy are used.</w:t>
      </w:r>
    </w:p>
    <w:p>
      <w:pPr>
        <w:spacing w:after="0" w:line="9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Despite not being approved for use by any regulatory agency for the treatment of wAIHA, rituximab is the preferred second-line therapy for steroid refractory patients. However, only a minority of patients achieve long-term disease remission with rituximab in the second-line setting, even though most patients (60% to 70%) initially respond well to treatment. In addition, rituximab carries a boxed warning for fatal infusion- related reactions, severe mucocutaneous reactions, hepatitis B virus reactivation and progressive multifocal leukoencephalopathy. Further, similar to IgG4-RD, rituximab is a B cell depleting agent, which carries the same potential limitations and risks discussed above.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Obexelimab—SApHiAre Trial</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late 2023, we initiated our SApHiAre Trial, a global Phase 2/3, multicenter, randomized, double-blind, placebo-controlled trial, with an SRP to evaluate the efficacy and safety of obexelimab in patients with wAIHA. If the results of the SRP portion of the SApHiAre Trial are favorable, we may meet with the FDA to finalize the design, including the proposed endpoints, of the RCP of the trial. After evaluating the results of the SRP and meeting with the FDA, if we continue with the Phase 3 RCP of this trial, we expect that a total of</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1" w:name="page122"/>
    <w:bookmarkEnd w:id="12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approximately 134 patients will be enrolled in the trial, which includes 20 patients in the SRP, at approximately 90 sites in 18 countries. If the results of the RCP portion of the SApHiAre Trial are favorable, we intend to seek regulatory approval for the treatment of wAIHA.</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Open-Label Safety and Dose Confirmation Run-in Period (Part A)</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anticipate enrolling approximately 20 patients into the open-label SRP (Part A). Up to 14 patients with primary wAIHA or secondary wAIHA due to autoimmune disorders (e.g., SLE) are expected to be enrolled into Cohort 1 and will provide preliminary safety, tolerability, PK/PD and efficacy data in a similar wAIHA population as the population intended to be enrolled in the RCP. Up to six patients with secondary wAIHA due to a lymphoproliferative disease are expected to be enrolled into Cohort 2 and will provide preliminary data on a broad wAIHA population. All patients enrolled in the SRP will receive obexelimab 250 mg SC dose every seven days. Enrollment into Cohorts 1 and 2 will run concurrently. During the SRP, patients will undergo assessments for efficacy, safety, PK, PD, and immunogenicity. The primary efficacy endpoint in the SRP is proportion of patients with a hemoglobin (“Hgb”) ≥ 10 g/dL and ≥ 2 g/dL increase from baseline on at least 3 of 4 consecutive visits, on or after Week 12, with no use of blood transfusion or GC rescue therapy prior to attaining response. Following the conclusion of the SRP, we intend to meet with the FDA to agree on the final trial design, including the primary endpoint or endpoints required for the RCP and whether a patient reported outcome co-primary or key secondary endpoint will be required.</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Randomized Control Period (Part B)</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decision to initiate the RCP (Part B) will be based primarily on data collected in Cohort 1 and our discussions with the FDA but will further consider safety and PK/PD observed in Cohort 2. We anticipate that approximately 114 patients would be enrolled in the RCP, randomized 1:1 to obexelimab 250 mg or placebo SC injection every seven days over 24 weeks. If initiated, the RCP may begin once all 14 patients with primary wAIHA or secondary wAIHA due to underlying autoimmune disorder (Cohort 1) have reached Week 12 (or withdrawn from the trial). We expect that the primary efficacy endpoint in the RCP will be the proportion of patients who achieve a durable Hgb response (defined as Hgb ≥ 10 g/dL and ≥ 2 g/dL increase from baseline on at least three of four consecutive available visits), at the earliest on or after Week 12, with no use of blood transfusion or GC rescue therapy prior to attaining durable response through Week 24. Following the completion of the RCP, eligible patients will have the opportunity to enroll into the OLE Period (Part C) of the trial, in which all patients will receive obexelimab.</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Safety Profile of Obexelimab</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Overall, 198 subjects have received obexelimab, 158 subjects as an IV infusion at doses of up to 10 mg/kg and 40 subjects as a SC injection of up to 375 mg. The majority of TEAEs in the studies using obexelimab were mild or moderate.</w:t>
      </w:r>
    </w:p>
    <w:p>
      <w:pPr>
        <w:spacing w:after="0" w:line="8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clinically important identified risk of obexelimab, defined by serious and related events, included unanticipated infusion related reactions which have not been observed for the subcutaneous injection of obexelimab. The clinically non-important identified risks of obexelimab, defined as non-serious and related events, included intravenous infusion related GI events and injection site reactions via the SC administration. The injection site reactions were of minimal clinical impact, non-serious, did not lead to study drug discontinuation, and are anticipated to occur in less than 2% of injections. The IV infusion related GI events were non-serious and were not observed with SC injection.</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Serious Adverse Events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only SAEs considered by the investigator to be related to obexelimab or placebo across the five clinical studies completed to date were: two IV infusion related reactions, one in each of two obexelimab treated patients, one venous thrombosis in an obexelimab treated patient, one herpes zoster in a placebo treated patient and a post herpetic neuralgia in a placebo treated patient.</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Anti-Drug Antibodies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development of anti-drug antibodies (“ADA”) has been observed in all studies; however, the ADA response did not have an apparent effect on PK or safety parameters (i.e., accelerated clearance), with the</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2" w:name="page123"/>
    <w:bookmarkEnd w:id="12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possible exception of one subject (in the first in human (“FIH”) study) and the three subjects with hypersensitivity reactions mentioned above.</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Safety Summary of Previously Completed Clinical Studies</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XmAb5871-01</w:t>
      </w:r>
    </w:p>
    <w:p>
      <w:pPr>
        <w:spacing w:after="0" w:line="11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Overall, doses of up to and including 10 mg/kg obexelimab were well tolerated by healthy male subjects. GI-related TEAEs (including nausea, vomiting, abdominal pain, abdominal discomfort, epigastric discomfort and diarrhea) were the most frequently reported (14/36, 38.9%). Eight subjects (8/36, 22.2%) who had received 0.2 to 10 mg/kg obexelimab had their IV infusion temporarily interrupted as a result of the GI-related symptoms. In all cases, symptoms leading to infusion interruption were transient and subjects were able to continue the infusion after a short break without recurrence of symptoms. Symptom resolution did not require the use of concomitant medications. No infusion-related reactions or hypersensitivity reactions were observed. There were no SAEs reported. No subject was withdrawn and none self-withdrew. There was no consistent dose-response relationship with the incidence of TEAEs and no dose-limiting toxicities were observed.</w:t>
      </w:r>
    </w:p>
    <w:p>
      <w:pPr>
        <w:spacing w:after="0" w:line="2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XmAb5871-02</w:t>
      </w:r>
    </w:p>
    <w:p>
      <w:pPr>
        <w:spacing w:after="0" w:line="12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Among the 40 patients who received obexelimab, the most common TEAEs were vomiting (7/40, 17.5%), headache (7/40, 17.5%), nausea (6/40, 15.0%), pyrexia (4/40, 10.0%), and arthralgia (4/40, 10.0%). As in the FIH study in healthy male volunteers (Study XmAb5871-01), gastrointestinal-related TEAEs (nausea, vomiting, diarrhea) were mostly mild to moderate, resolved with interruption of infusion and did not reoccur with reinitiation of infusion.</w:t>
      </w:r>
    </w:p>
    <w:p>
      <w:pPr>
        <w:spacing w:after="0" w:line="9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general, multiple doses of up to 10 mg/kg obexelimab were well tolerated in patients with RA. Two subjects experienced infusion-related reactions (both at 10.0 mg/kg), one of which was considered an SAE. The other event, associated with the first infusion, was considered of moderate severity. In both cases, the infusion was terminated, and the patients recovered without sequelae. The nature and severity of these infusion reactions were consistent with those reported for other monoclonal antibody therapies.</w:t>
      </w:r>
    </w:p>
    <w:p>
      <w:pPr>
        <w:spacing w:after="0" w:line="9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XmAb5871-03</w:t>
      </w:r>
    </w:p>
    <w:p>
      <w:pPr>
        <w:spacing w:after="0" w:line="12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general, obexelimab was well tolerated in patients with IgG4-RD. The most common TEAEs were abdominal pain and nausea (4/20, 20%), vomiting (3/20, 15%), and diarrhea, chills, headache, nasal congestion, and upper respiratory tract infection (2/20, 10%) . Four patients (4/20, 20%) had first dose GI symptoms of nausea, vomiting, and/or diarrhea as described previously with IV infusions. The symptoms were relieved by interrupting the infusion for a short period of time. There was one infusion-related hypersensitivity reaction that was associated with the presence of ADA, that was treated with symptomatic medications and that resolved after obexelimab was stopped. This patient recovered fully and discontinued the trial. There was one case of pneumonia accounting for two SAEs (initial and recurrence due to non-compliance with therapy) in one patient and a second patient experienced one SAE (chronic inflammation demyelinating polyradiculoneuropathy in the setting of small lymphocytic lymphoma (pre-existing)). None of the SAEs were considered to be related to obexelimab.</w:t>
      </w:r>
    </w:p>
    <w:p>
      <w:pPr>
        <w:spacing w:after="0" w:line="1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XmAb5871-04</w:t>
      </w:r>
    </w:p>
    <w:p>
      <w:pPr>
        <w:spacing w:after="0" w:line="12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Obexelimab was generally well tolerated in patients with SLE. The most frequently occurring TEAEs were nausea (20/52, 39%), headache (12/52, 23%), vomiting (9/52, 17%), back pain and dizziness (8/52, 15%), flushing (7/52, 14%), and pain in extremity (6/52, 12%). The majority of these events were mild and resolved. There were 8 SAEs in patients administered obexelimab, only one (infusion-related reaction) of which was considered related to study drug. Fourteen (14/52, 26.9%) patients that received obexelimab and 25 (48.1%) patients that received placebo withdrew for LOI. Adverse events led to the withdrawal of seven (7/52, 13%) obexelimab-treated patients (most of which were infusion-related reactions) and two (4%) patients that were administered placebo. Withdrawal for other reasons occurred in three patients that were administered obexelimab and eight that were administered placebo.</w:t>
      </w:r>
    </w:p>
    <w:p>
      <w:pPr>
        <w:spacing w:after="0" w:line="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XmAb5871-05</w:t>
      </w:r>
    </w:p>
    <w:p>
      <w:pPr>
        <w:spacing w:after="0" w:line="11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Overall, the SC administration of obexelimab was well tolerated. The most common TEAEs across all SC dose regimens were headache and injection site reaction (3/40, 8%). The incidence of injections with injection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3" w:name="page124"/>
    <w:bookmarkEnd w:id="12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site erythema, induration and/or pain as a total out of all injections was 4/207 (total), or 1.9% of injections. The symptoms involved only one of the possible two or three sites injected on that day, were mild, and resolved within 24 hours.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Dosage and Administration for Obexelimab</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Obexelimab has been evaluated in five completed clinical trials in which a total of 198 subjects have received obexelimab either as an IV infusion at doses of up to 10 mg/kg (n=158) or as a SC injection at does up to 375 mg (n=40). We believe these trials have demonstrated obexelimab’s PK/PD and tolerability profile.</w:t>
      </w:r>
    </w:p>
    <w:p>
      <w:pPr>
        <w:spacing w:after="0" w:line="27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current ongoing and planned trials of obexelimab utilize or will utilize a fixed 250 mg self-administered SC injection dosed weekly. This dosing regimen is supported by the totality of existing clinical efficacy and safety data, PK/PD modeling, and nonclinical data. The 250 mg weekly SC dose is designed to maximize the potential for efficacy by providing maximum PD target engagement, comparable exposure</w:t>
      </w:r>
    </w:p>
    <w:p>
      <w:pPr>
        <w:spacing w:after="0" w:line="2" w:lineRule="exact"/>
        <w:rPr>
          <w:sz w:val="20"/>
          <w:szCs w:val="20"/>
          <w:color w:val="auto"/>
        </w:rPr>
      </w:pPr>
    </w:p>
    <w:p>
      <w:pPr>
        <w:jc w:val="both"/>
        <w:ind w:left="1160" w:right="1179"/>
        <w:spacing w:after="0" w:line="210" w:lineRule="auto"/>
        <w:rPr>
          <w:sz w:val="20"/>
          <w:szCs w:val="20"/>
          <w:color w:val="auto"/>
        </w:rPr>
      </w:pPr>
      <w:r>
        <w:rPr>
          <w:rFonts w:ascii="Times New Roman" w:cs="Times New Roman" w:eastAsia="Times New Roman" w:hAnsi="Times New Roman"/>
          <w:sz w:val="15"/>
          <w:szCs w:val="15"/>
          <w:color w:val="auto"/>
        </w:rPr>
        <w:t>and, importantly, a higher C</w:t>
      </w:r>
      <w:r>
        <w:rPr>
          <w:rFonts w:ascii="Times New Roman" w:cs="Times New Roman" w:eastAsia="Times New Roman" w:hAnsi="Times New Roman"/>
          <w:sz w:val="21"/>
          <w:szCs w:val="21"/>
          <w:color w:val="auto"/>
          <w:vertAlign w:val="subscript"/>
        </w:rPr>
        <w:t>trough</w:t>
      </w:r>
      <w:r>
        <w:rPr>
          <w:rFonts w:ascii="Times New Roman" w:cs="Times New Roman" w:eastAsia="Times New Roman" w:hAnsi="Times New Roman"/>
          <w:sz w:val="15"/>
          <w:szCs w:val="15"/>
          <w:color w:val="auto"/>
        </w:rPr>
        <w:t xml:space="preserve"> when compared with the 5 mg/kg IV every two weeks dosing regimen, which demonstrated clinical activity in the IgG4-RD and SLE Phase 2 trials of obexelimab. In addition, the</w:t>
      </w:r>
    </w:p>
    <w:p>
      <w:pPr>
        <w:jc w:val="both"/>
        <w:ind w:left="1160" w:right="1179"/>
        <w:spacing w:after="0" w:line="220" w:lineRule="auto"/>
        <w:rPr>
          <w:sz w:val="20"/>
          <w:szCs w:val="20"/>
          <w:color w:val="auto"/>
        </w:rPr>
      </w:pPr>
      <w:r>
        <w:rPr>
          <w:rFonts w:ascii="Times New Roman" w:cs="Times New Roman" w:eastAsia="Times New Roman" w:hAnsi="Times New Roman"/>
          <w:sz w:val="15"/>
          <w:szCs w:val="15"/>
          <w:color w:val="auto"/>
        </w:rPr>
        <w:t>250 mg weekly SC dose was designed to maintain a lower C</w:t>
      </w:r>
      <w:r>
        <w:rPr>
          <w:rFonts w:ascii="Times New Roman" w:cs="Times New Roman" w:eastAsia="Times New Roman" w:hAnsi="Times New Roman"/>
          <w:sz w:val="21"/>
          <w:szCs w:val="21"/>
          <w:color w:val="auto"/>
          <w:vertAlign w:val="subscript"/>
        </w:rPr>
        <w:t>max</w:t>
      </w:r>
      <w:r>
        <w:rPr>
          <w:rFonts w:ascii="Times New Roman" w:cs="Times New Roman" w:eastAsia="Times New Roman" w:hAnsi="Times New Roman"/>
          <w:sz w:val="15"/>
          <w:szCs w:val="15"/>
          <w:color w:val="auto"/>
        </w:rPr>
        <w:t xml:space="preserve"> than the 5 mg/kg IV every two weeks dosing regimen to provide sufficient safety margins and an acceptable tolerability profile based on both clinical and nonclinical study data of obexelimab.</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Preclinical Characterization</w:t>
      </w:r>
    </w:p>
    <w:p>
      <w:pPr>
        <w:spacing w:after="0" w:line="11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i w:val="1"/>
          <w:iCs w:val="1"/>
          <w:color w:val="auto"/>
        </w:rPr>
        <w:t xml:space="preserve">In vitro </w:t>
      </w:r>
      <w:r>
        <w:rPr>
          <w:rFonts w:ascii="Times New Roman" w:cs="Times New Roman" w:eastAsia="Times New Roman" w:hAnsi="Times New Roman"/>
          <w:sz w:val="15"/>
          <w:szCs w:val="15"/>
          <w:color w:val="auto"/>
        </w:rPr>
        <w:t>studies demonstrated that obexelimab has a high affinity for human CD19 and human FcγRIIb.</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half-maximal effective concentration (“EC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of binding of obexelimab to a human CD19 expressing cell line is 0.3 nM, and the EC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of binding of obexelimab to human primary B cells is 1.4 nM. The binding affinity of obexelimab for human FcγRIIb (8 nM) has been increased approximately 230-fold relative to human native IgG1 as a result of Fc engineering.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co-engagement of CD19 and FcγRIIb by obexelimab results in the inhibition of calcium mobilization upon stimulation of B cells from normal volunteers as well as in RA and SLE patients.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obexelimab demonstrated inhibition of an induced human B cell response to immunization with tetanus toxoid in severe combined immunodeficient mice engrafted with human peripheral blood mononuclear cells. In addition, obexelimab demonstrated disease improvement in several animal models of disease, including collagen-induced arthritis, AIHA and MS. Obexelimab has shown no antibody-dependent cellular cytotoxicity mediated B cell depletion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nor has there been any significant obexelimab-mediated IL-6 or TNF-α cytokine release.</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Pipeline Programs</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VRDN-001, an IGF-1R monoclonal antibody), and related programs, and ZB005 (also known as DNTH103, an anti-active C1s monoclonal antibody), for which we hold the development and commercialization rights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ZB002 Program (anti-tumor necrosis alpha monoclonal antibody)</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 xml:space="preserve">ZB002 is a monoclonal antibody inhibitor of TNFα designed to have an extended half-life as compared to existing anti-TNFα therapies. ZB002 is identical to adalimumab in the TNFα-binding region of the fragment variable domain, but the Fc domain contains modifications to extend ZB002’s half-life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(Xencor’s Xtend technology). Our Phase 1 SAD study demonstrated a half-life of approximately 55 days for ZB002, which we believe may allow for dosing once every four to eight weeks. In the second quarter of 2024, we initiated a Phase 1b MAD study of ZB002 in patients with rheumatoid arthritis. A head-to-head preclinical study in mice demonstrated ZB002’s extended (≥ 2-fold longer) half-life over adalimumab. If the results of our</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4" w:name="page125"/>
    <w:bookmarkEnd w:id="12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ongoing Phase 1b MAD study of ZB002 are favorable, we may seek to identify a partner to advance ZB002 in subsequent trials for potential use as a treatment for certain I&amp;I diseases that can benefit from TNFα inhibition.</w:t>
      </w:r>
    </w:p>
    <w:p>
      <w:pPr>
        <w:spacing w:after="0" w:line="3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Anti-TNFα Background and Mechanism of Action</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TNFα is a potent inflammatory cytokine, produced primarily by activated monocytes, macrophages and T cells, as a cell surface protein. After being activated, TNFα is released and binds to receptors on TNFα-responsive cells to enhance the inflammation and immune response to environmental stimuli such as foreign antigens. Elevated expression of TNFα has been linked to a number of I&amp;I diseases, and inhibition of TNFα signaling has been validated as a therapeutic approach to treat several diseases. The FDA and other comparable foreign regulatory agencies have approved five anti-TNFα therapies to treat diseases, including rheumatoid arthritis, psoriatic arthritis, ankylosing spondylitis, Crohn’s disease, psoriasis, ulcerative colitis, hidradenitis suppurativa, and uveitis. Among those approved therapies are Remicade (infliximab), Simponi (golimumab) and Humira (adalimumab), monoclonal antibodies that target TNFα for inhibition.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Summary of Clinical Trials</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conducted a Phase 1 SAD study designed to evaluate the safety, tolerability, PK and PD profiles of ZB002 in healthy volunteers. We enrolled 48 healthy volunteers across six cohorts of varying dose levels, ranging from 20 mg to 240 mg, for the study. Eight healthy volunteers were randomized 3:1 to ZB002 or placebo, per cohort. There was one SAE of peri- anal abscess. Our Phase 1 SAD study demonstrated a half-life of approximately 55 days for ZB002, which we believe may allow for dosing once every four to eight weeks. In the second quarter of 2024, we initiated a Phase 1b MAD study of ZB002 in patients with rheumatoid arthritis. If the results of our ongoing Phase 1b MAD study of ZB002 are favorable, we will seek to identify a partner to advance ZB002 in subsequent trials and ultimately, if approved, commercialize ZB002 for potential use as a treatment for certain I&amp;I diseases that can benefit from TNFα inhibition.</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Preclinical Characterization</w:t>
      </w:r>
    </w:p>
    <w:p>
      <w:pPr>
        <w:spacing w:after="0" w:line="115" w:lineRule="exact"/>
        <w:rPr>
          <w:sz w:val="20"/>
          <w:szCs w:val="20"/>
          <w:color w:val="auto"/>
        </w:rPr>
      </w:pPr>
    </w:p>
    <w:p>
      <w:pPr>
        <w:jc w:val="both"/>
        <w:ind w:left="1160" w:right="1179" w:firstLine="293"/>
        <w:spacing w:after="0" w:line="212" w:lineRule="auto"/>
        <w:rPr>
          <w:sz w:val="20"/>
          <w:szCs w:val="20"/>
          <w:color w:val="auto"/>
        </w:rPr>
      </w:pPr>
      <w:r>
        <w:rPr>
          <w:rFonts w:ascii="Times New Roman" w:cs="Times New Roman" w:eastAsia="Times New Roman" w:hAnsi="Times New Roman"/>
          <w:sz w:val="15"/>
          <w:szCs w:val="15"/>
          <w:color w:val="auto"/>
        </w:rPr>
        <w:t>ZB002 has similar pharmacological characteristics to adalimumab, including TNFα binding and inhibition. The EC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for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inhibition of TNFα signaling is roughly equivalent (18.17 ng/mL for ZB002 and 14.25 ng/mL for adalimumab), and ZB002 and adalimumab inhibited TNFα-induced lethality in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mouse models at similar rates. However, ZB002 has a higher fragment crystallizable receptor (“FcRn”) binding affinity (K</w:t>
      </w:r>
      <w:r>
        <w:rPr>
          <w:rFonts w:ascii="Times New Roman" w:cs="Times New Roman" w:eastAsia="Times New Roman" w:hAnsi="Times New Roman"/>
          <w:sz w:val="21"/>
          <w:szCs w:val="21"/>
          <w:color w:val="auto"/>
          <w:vertAlign w:val="subscript"/>
        </w:rPr>
        <w:t>D</w:t>
      </w:r>
      <w:r>
        <w:rPr>
          <w:rFonts w:ascii="Times New Roman" w:cs="Times New Roman" w:eastAsia="Times New Roman" w:hAnsi="Times New Roman"/>
          <w:sz w:val="15"/>
          <w:szCs w:val="15"/>
          <w:color w:val="auto"/>
        </w:rPr>
        <w:t xml:space="preserve"> = 6.54 ×10 </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5"/>
          <w:szCs w:val="15"/>
          <w:color w:val="auto"/>
        </w:rPr>
        <w:t xml:space="preserve"> M) compared to adalimumab (K</w:t>
      </w:r>
      <w:r>
        <w:rPr>
          <w:rFonts w:ascii="Times New Roman" w:cs="Times New Roman" w:eastAsia="Times New Roman" w:hAnsi="Times New Roman"/>
          <w:sz w:val="21"/>
          <w:szCs w:val="21"/>
          <w:color w:val="auto"/>
          <w:vertAlign w:val="subscript"/>
        </w:rPr>
        <w:t>D</w:t>
      </w:r>
      <w:r>
        <w:rPr>
          <w:rFonts w:ascii="Times New Roman" w:cs="Times New Roman" w:eastAsia="Times New Roman" w:hAnsi="Times New Roman"/>
          <w:sz w:val="15"/>
          <w:szCs w:val="15"/>
          <w:color w:val="auto"/>
        </w:rPr>
        <w:t xml:space="preserve"> = 1.88 ×10</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5"/>
          <w:szCs w:val="15"/>
          <w:color w:val="auto"/>
        </w:rPr>
        <w:t xml:space="preserve"> M), which is designed to</w:t>
      </w: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 xml:space="preserve">extend ZB002’s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half-life. In the human neonatal FcRn expressed transgenic mice, the PK profile of ZB002 was found to be similar to that of adalimumab with the exception of an extended (≥ 2-fold longer) half-life (t1/2 = 9.9 hours and 4.1 hours for ZB002 and adalimumab, respectively). The subcutaneous bioavailability of ZB002 was 62.4% to 106.0% in cynomolgus monkeys, depending on the dose. Weekly subcutaneous administration of ZB002 for 13 weeks in cynomolgus monkeys demonstrated no adverse safety findings at any dose tested up to 200 mg/kg, providing an adequate therapeutic window for assessment in humans.</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ZB004 Program (CTLA-4-Ig fusion)</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ZB004 is a CTLA-4-Ig fusion protein designed to have an extended half-life versus existing CTLA-4-Ig fusion protein therapies. Based on the results from our ongoing Phase 1 study, we plan to evaluate the path forward for the development of ZB004 in the treatment of I&amp;I indications.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CTLA-4-Ig Background and Mechanism of Action</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ZB004 is comprised of two CTLA-4 extracellular domain substitutions and an IgG Fc region containing substitutions (Xencor’s Xtend technology) . This design allows for increased binding affinity to human CD80 and CD86 and FcRn. Its mechanism of action is selective inhibition of T cell co-stimulation by binding to CD80 and CD86 receptors, which blocks their interaction with CD28 on T cells.</w:t>
      </w:r>
    </w:p>
    <w:p>
      <w:pPr>
        <w:spacing w:after="0" w:line="9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In rheumatoid arthritis, T cells contribute to lymphoid organogenesis in the inflamed joint and neoangiogenesis, stimulate synoviocyte proliferation, and support the development of osteoclasts. CTLA-4, a protein expressed on the surface of CD4+ and CD8+ T cells, is an inhibitory receptor with high homology to</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5" w:name="page126"/>
    <w:bookmarkEnd w:id="12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the costimulatory receptor CD28. It acts as a negative regulator of CD28-mediated activation of CD4+ and CD8+ T cells. CTLA-4-Ig fusion proteins disrupt binding of CD28 with ligand B7 molecules, CD80 and CD86, expressed on antigen-presenting cells. Inhibition of this signaling pathway results in a suppression of T cell effector function and is clinically validated by the regulatory approval of two CTLA-4-Ig therapeutics in several I&amp;I diseases: Orencia (abatacept) and Nulojix (belatacept).</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Clinical Development</w:t>
      </w:r>
    </w:p>
    <w:p>
      <w:pPr>
        <w:spacing w:after="0" w:line="115"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We conducted a Phase 1 SAD study designed to evaluate the safety, tolerability, PK immunogenicity and PD profiles of ZB004 in healthy volunteers. Our Phase 1 SAD study enrolled 40 healthy volunteers across five cohorts of varying dose levels, ranging from 3 mg to 200 mg, with eight healthy volunteers randomized 3:1 to ZB004 or placebo, per cohort. Our Phase 1 SAD study demonstrated a half-life of approximately 17.4 days at the highest dose level of 200 mg, where CD86 receptor occupancy reached a maximum peak value of 81%, overcoming the effect of target mediated drug disposition. There were no SAEs reported.</w:t>
      </w:r>
    </w:p>
    <w:p>
      <w:pPr>
        <w:spacing w:after="0" w:line="3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Preclinical Characterization</w:t>
      </w:r>
    </w:p>
    <w:p>
      <w:pPr>
        <w:spacing w:after="0" w:line="126" w:lineRule="exact"/>
        <w:rPr>
          <w:sz w:val="20"/>
          <w:szCs w:val="20"/>
          <w:color w:val="auto"/>
        </w:rPr>
      </w:pPr>
    </w:p>
    <w:p>
      <w:pPr>
        <w:jc w:val="both"/>
        <w:ind w:left="1160" w:right="1179" w:firstLine="293"/>
        <w:spacing w:after="0" w:line="229" w:lineRule="auto"/>
        <w:rPr>
          <w:sz w:val="20"/>
          <w:szCs w:val="20"/>
          <w:color w:val="auto"/>
        </w:rPr>
      </w:pPr>
      <w:r>
        <w:rPr>
          <w:rFonts w:ascii="Times New Roman" w:cs="Times New Roman" w:eastAsia="Times New Roman" w:hAnsi="Times New Roman"/>
          <w:sz w:val="15"/>
          <w:szCs w:val="15"/>
          <w:color w:val="auto"/>
        </w:rPr>
        <w:t xml:space="preserve">ZB004 has been engineered to increase its affinity to human CD80 and CD86 by approximately six-fold compared to abatacept. ZB004 also binds with higher affinity to human FcRn which is expected to extend ZB004 half-life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ZB004 has shown potency by inhibiting T cell activity and cytokine release. In an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functional inhibition assay of T cell activity, the mean half-maximal inhibitory concentration (“IC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value was 0.334 µg/mL for ZB004 (2 donors) and &gt; 50 µg/mL for abatacept. When the inhibition of inflammation cytokine release was assessed, the 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values for interleukin 2 (IL-2) secretion driven by ZB004 or abatacept were &lt; 0.003 µg/mL and 0.152 µg/mL, respectively. The 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values for interferon gamma secretion driven by ZB004 and abatacept were 0.0054 µg/mL and &gt; 50 µg/mL, respectively. ZB004 has shown prophylactic efficacy in a collagen-induced arthritis disease model.</w:t>
      </w:r>
    </w:p>
    <w:p>
      <w:pPr>
        <w:spacing w:after="0" w:line="112"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ZB004 was well tolerated in toxicology studies up to 13 weeks via subcutaneous administration in cynomolgus monkeys and rats, providing an adequate therapeutic window for assessment in humans. In addition, ZB004 has a PK profile in animals with a dose-disproportional increase in exposure. The terminal half-life parameter of ZB004 was determined at least 1.39-fold longer than that of abatacept in cynomolgus monkeys. The subcutaneous bioavailability of ZB004 was 45.4% to 72.5% for rats and 73.4% to 79.9% for cynomolgus monkeys, depending upon the doses.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ZB001, insulin-like growth factor-1 receptor (anti-IGF-1R) mAb</w:t>
      </w:r>
    </w:p>
    <w:p>
      <w:pPr>
        <w:spacing w:after="0" w:line="126"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ZB001 is a monoclonal antibody that binds to, and is designed to act as a full antagonist of, IGF-1 receptor. This mechanism of action has been clinically and commercially validated by the only FDA product approved for the treatment of thyroid eye disease (“TED”), Tepezza (teprotumumab). TED is a debilitating condition that significantly impacts quality of life and can cause proptosis, double vision and vision loss. In October 2020, we entered into an exclusive license with Viridian, to develop, manufacture, and commercialize certain IGF-1R directed antibody products, including ZB001, for non-oncology indications in greater China. Pursuant to our agreement with Viridian, we are obligated to reimburse Viridian for certain CMC and development expenses, and pay Viridian upon achievement of development milestones and royalties on net sales. For more information on our agreement with Viridian, see the section titled “Certain Relationships and Related Party Transactions—Director Affiliations—Agreements with Viridian Therapeutics Inc.”</w:t>
      </w:r>
    </w:p>
    <w:p>
      <w:pPr>
        <w:spacing w:after="0" w:line="29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April 2023, we completed a Phase 1 SAD clinical study in China in healthy volunteers showing ZB001 was well tolerated when administered in doses up to 20 mg/kg. In April 2024, we completed the last patient visit in the Phase 1 MAD clinical study of ZB001 in Chinese patients with active TED. Preliminary data showed significant and rapid improvement in both signs and symptoms after 4 infusions of ZB001 in both 2 dose cohorts of 3mg/kg and 10mg/kg. All AEs were mild or moderate in severity and no SAEs were reported. Following the initial clinical development of ZB001, we intend to seek to enter into an agreement with a third party who can complete the clinical development work, obtain regulatory approval and ultimately, if approved, commercialize ZB001 and other IGF-1R antibodies pursuant to the license with Viridian in greater China.</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6" w:name="page127"/>
    <w:bookmarkEnd w:id="12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ZB005, anti-active C1s mAb</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ZB005 is a highly potent, highly selective, and human IgG4 monoclonal antibody designed to selectively bind only to the active form of C1s, a validated target in the I&amp;I field. As a result, ZB005 may have a reduced risk of infection from encapsulated bacteria. In addition, ZB005 is engineered with YTE half-life extension technology and has a PK profile designed to support less frequent, lower dose, self-administration as a SC injection. We believe that ZB005 has the potential to yield therapeutic benefit in multiple I&amp;I disease indications, in part due to an extended half-life and this complement protein component (C1s) inhibitor class’s lack of an FDA boxed warning for serious meningococcal infections which are associated with other complement inhibitor classes (e.g., complement protein C5 inhibitor, complement protein C3 inhibitor, and complement factor B inhibitor). In June 2022, we entered into an exclusive license with Dianthus to research, develop, manufacture and commercialize monoclonal antibody antagonists targeting the human Complement C1s protein (including ZB005, also known as DNTH103) in greater China. The agreement with Dianthus entitles Dianthus to reimbursement for certain CMC and development expenses, development milestones and royalties on net sales. For more information on our agreement with Dianthus, see the section titled “Certain Relationships and Related Party Transactions— Director Affiliations—Agreement with Dianthus Therapeutics, Inc.”</w:t>
      </w:r>
    </w:p>
    <w:p>
      <w:pPr>
        <w:spacing w:after="0" w:line="10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August 2023, Dianthus reported data from its ongoing Phase 1 study in 52 healthy volunteers across seven dose cohorts. These data validated the extended half- life and potent classical pathway inhibition, which we believe supports a differentiated safety profile of ZB005 and the potential of ZB005 to yield therapeutic benefit in multiple I&amp;I disease indications. Dianthus has stated that it plans to initiate a Phase 2 trial in the first quarter of 2024 with respect to myasthenia gravis.</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Based on the clinical data generated to date and additional data we or Dianthus plan to generate, we intend to seek to enter into an agreement with a third party who can complete the clinical development work, obtain regulatory approval, and ultimately, if approved, commercialize ZB005 pursuant to the license with Dianthus in greater China.</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License Agreements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License Agreements with Xencor</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September 2020, we entered into a license agreement (the “2020 Xencor Agreement”) with Xencor, to obtain (a) an exclusive, royalty-bearing, sublicensable worldwide license under certain patent rights controlled by Xencor and (b) a non-exclusive payment bearing license under certain know-how controlled by Xencor to research, develop, manufacture, market and sell three antibody product candidates (the “2020 Licensed Assets”), including ZB002 and ZB004. Xencor obtained the rights to some of the intellectual property licensed to us pursuant to license agreements between Xencor and a third party (each such agreement, an “Upstream License Agreement”). As such, the 2020 Xencor Agreement provides that the parties agree that some of the licenses granted by Xencor to us constitute sublicenses under the Upstream License Agreements and are subject, and subordinate, to the terms and conditions of the Upstream License Agreements. As consideration for the 2020 Xencor Agreement, we issued Xencor a 15% equity interest in Zenas. The 2020 Xencor Agreement became effective in November 2020, upon Zenas’ issuance of 5,041,542 shares of its Series A Preferred Stock with a fair value of $16.1 million to Xencor as initial consideration.</w:t>
      </w:r>
    </w:p>
    <w:p>
      <w:pPr>
        <w:spacing w:after="0" w:line="23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Under the 2020 Xencor Agreement, we are obligated to use commercially reasonable efforts to conduct all preclinical (excluding preclinical activities previously conducted by Xencor at the time the 2020 Xencor Agreement was executed), clinical and regulatory activities necessary to develop and obtain the regulatory approval of the 2020 Licensed Assets worldwide. We are further required to use commercially reasonable efforts to commercialize the 2020 Licensed Assets having regulatory approvals in certain specified countries (United States, UK, France, Germany, Italy, and Spain). We are not required to pay any development, regulatory or sales milestone payments under the 2020 Xencor Agreement. We are required to pay Xencor tiered royalties on annual net sales of successfully commercialized products utilizing the 2020 Licensed Assets. The royalty percentage rates vary by geographic areas as defined in the 2020 Xencor Agreement and range from the mid-single digits to the mid-teens. On a region-by region basis and product -by-product basis, the term during which the royalties are payable by us to Xencor is until the latest of (a) last-to-expire licensed patent covering the product in the applicable region, (b) the expiration of regulatory exclusivity for the product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7" w:name="page128"/>
    <w:bookmarkEnd w:id="12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in the applicable region, or (c) the twelfth anniversary of the first commercial sale of the product in the applicable region. As of the date of this prospectus, the last-to-expire patent under the 2020 Xencor Agreement will have an expiration date of December 22, 2028 for ZB002 and February 22, 2031 for ZB004, provided the latest application in each of these countries is allowed. The expected termination of the royalty obligations will depend on factors such as the filing of additional patents covering the products during the term of the 2020 Xencor Agreement, the availability and application of patent term extensions and/or expiration of regulatory exclusivity for the products in the applicable region. We are obligated to reimburse Xencor for certain third-party costs as further specified under the 2020 Xencor Agreement. During each of the three months ended March 31, 2024 and 2023, we incurred immaterial reimbursable costs. During the years ended December 31, 2023 and 2022, we incurred immaterial costs and $0.1 million of such reimbursable costs, respectively.</w:t>
      </w:r>
    </w:p>
    <w:p>
      <w:pPr>
        <w:spacing w:after="0" w:line="27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Under the 2020 Xencor Agreement, (a) Xencor owns all know-how and patent rights invented solely by Xencor, (b) we own all know-how and patent rights invented solely by us; and (c) Xencor and we jointly own all joint intellectual property. Subject to the license grants under the 2020 Xencor Agreement, both parties may practice the joint intellectual property for all purposes on a worldwide basis without consent of and without a duty of accounting to the other party.</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Under the 2020 Xencor Agreement, during the term of the agreement and for two years thereafter, we agree we will not develop, manufacture, or commercialize a competing product for any 2020 Licensed Asset (i.e., any product that binds to the same target as such 2020 Licensed Asset). The 2020 Xencor Agreement will remain in effect, on a region-by region basis and product-by-product basis, until the expiration of all royalty payment obligations. The 2020 Xencor Agreement may be terminated by either party for the other party’s uncured material breach or insolvency. Xencor may terminate the 2020 Xencor Agreement if we challenge a licensed patent. We may terminate for convenience on a country-by-country basis with advance notice to Xencor, with the notice period differing based on whether such termination right is exercised prior to or following the first commercial sale.</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Upon termination, all licenses granted by Xencor to us automatically terminate. We are obligated to assign to Xencor all regulatory filings or approvals specifically related to the terminated assets or products. At Xencor’s sole discretion, we are obligated to transfer (a) our rights under agreements between us and third parties that solely relate to the development, manufacture or commercialization of terminated assets or products, (b) all materials developed by us for use for commercialization of terminated assets or products and (c) any product mark for terminated assets or products.</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Upon termination, if Xencor elects to continue development and commercialization of terminated assets or products, we are obligated to grant to Xencor (a) an exclusive license under certain of our patent rights and (b) a nonexclusive license under certain of our know-how, where such licenses are irrevocable, perpetual, royalty-bearing and sublicensable solely to develop, manufacture, and commercialize the terminated assets or products. In consideration for these licenses, Xencor is obligated to pay us (a) mid-single digits royalty on net sales of the terminated assets or products if Xencor commercializes such terminated assets or products and (b) low double digits percentage of all payments receives from sublicensees if Xencor sublicenses the licenses granted by us. Xencor’s obligation to make payments for these licenses is, on a product-by-product basis and region-by-region basis, until last-to-expire licensed patent covering the product in the applicable region.</w:t>
      </w:r>
    </w:p>
    <w:p>
      <w:pPr>
        <w:spacing w:after="0" w:line="28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May 2021, we entered into a license agreement (the “2021 Xencor Agreement”) with Xencor to obtain (a) an exclusive, royalty-bearing, sublicensable worldwide license under certain patent rights controlled by Xencor and (b) a non-exclusive payment bearing license under certain know-how controlled by Xencor to research, develop, manufacture, market and sell obexelimab, an antibody product candidate based on Xencor’s (and its licensors’) proprietary technology. In addition, Xencor granted us a non-exclusive, royalty-free, sublicensable worldwide license under the same patent and know-how rights to develop, manufacture and commercialize companion diagnostics for obexelimab. Xencor obtained the rights to some of the intellectual property licensed to us pursuant to the Upstream Agreements. As such, the 2021 Xencor Agreement provides that the parties agree that some of the licenses granted by Xencor to us constitute sublicenses under the Upstream Agreements and are subject and subordinate to the terms and conditions of the Upstream Agreements. The 2021 Xencor Agreement became effective in November 2021, upon the execution of an amendment to the 2021 Xencor Agreement and Zenas’ concurrent issuance to Xencor of a warrant with a fair</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8" w:name="page129"/>
    <w:bookmarkEnd w:id="12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value of $20.7 million to Xencor as initial consideration providing Xencor the right to acquire additional equity, such that its total equity in Zenas would be 15% of its fully diluted capitalization at the completion of our Series B financing.</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Under the 2021 Xencor Agreement, we are obligated to use commercially reasonable efforts to conduct all preclinical, clinical, regulatory and other activities (excluding activities previously conducted by Xencor at the time the 2021 Xencor Agreement was executed) necessary to develop and obtain the regulatory approval of obexelimab worldwide. We are further required to use commercially reasonable efforts to commercialize obexelimab following regulatory approvals in certain specified countries (United States, UK, France, Germany, Italy, and Spain).</w:t>
      </w:r>
    </w:p>
    <w:p>
      <w:pPr>
        <w:spacing w:after="0" w:line="10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were obligated to make development milestone payments of up to $10.0 million, at Xencor’s option either in cash or fully-paid newly issued shares, which milestone payment was paid in Series B Preferred Shares in June 2023. We are obligated to make regulatory milestone payments up to $75.0 million. We are also obligated to make one-time sales milestone payments up to $385.0 million upon achieving milestone events of net sales in a given calendar year in the territory equal to certain threshold amounts. In addition, we are required to pay Xencor tiered royalties on annual net sales of successfully commercialized products utilizing obexelimab, with the royalty rates varying based on regions and ranging from the mid-single digits to the mid-teens. On a region-by region basis and product-by-product basis, the term during which the royalties are payable by us to Xencor is until the latest of (a) the last-to-expire licensed patent covering the product in the applicable region, (b) the expiration of regulatory exclusivity for the product in the applicable region, or (c) the twelfth anniversary of the first commercial sale of the product in the applicable region. As of the date of this prospectus, the last-to-expire patent under the 2021 Xencor Agreement will have an expiration date of October 6, 2041, provided the latest application in each of these countries is allowed. The expected termination of the royalty obligations will depend on factors such as the filing of additional patents covering product during the term of the 2021 Xencor Agreement, the availability and application of patent term extensions and/or expiration of regulatory exclusivity for the product in the applicable region.</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Under the 2021 Xencor Agreement, we agree we will not research or develop obexelimab in a way that would produce a molecule that would be classified as obexelimab or an obexelimab product. In addition, during the term and for two years thereafter, we agree not to develop, manufacture, or commercialize a competing product to obexelimab (i.e., any product that binds to CD19 and incorporates FcγRIIb Technology). During the term, Xencor is obligated to refrain from developing, manufacturing, or commercializing a competing product to obexelimab as well. The non-competes do not apply to any pre-existing activity for a competing product of an acquirer, subject to customary restrictions on such activity following such acquisition.</w:t>
      </w:r>
    </w:p>
    <w:p>
      <w:pPr>
        <w:spacing w:after="0" w:line="27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2021 Xencor Agreement will remain in effect, on a region-by region basis and product-by-product basis, until the expiration of all royalty payment obligations. The 2021 Xencor Agreement may be terminated by either party for the other party’s uncured material breach or insolvency. We may terminate for convenience on a country-by-country basis with advance notice to Xencor, with the notice period differing based on whether such termination right is exercised prior to or following the first commercial sale.</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Upon termination, all licenses granted by Xencor to us automatically terminate. We are obligated to assign to Xencor all regulatory filings or approvals specifically related to the terminated assets or products. At Xencor’s sole discretion, we are obligated to transfer (a) our rights under agreements between us and third parties that solely relate to the development, manufacture or commercialization of terminated assets or products, (b) all materials developed by us for use for commercialization of terminated assets or products; and (c) any product mark in relation to the Compound (as defined below) or the Products (as defined below).</w:t>
      </w:r>
    </w:p>
    <w:p>
      <w:pPr>
        <w:spacing w:after="0" w:line="26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Upon termination, if Xencor elects to continue development and commercialization of terminated assets or products, we are obligated to grant to Xencor (a) an exclusive license under certain of our patent rights, and (ii) a nonexclusive license under certain of our know-how, where such licenses are irrevocable, perpetual, royalty-bearing and sublicensable solely to develop, manufacture, and commercialize the terminated assets or products. In consideration for these licenses, Xencor is obligated to pay us (a) mid-single digits royalty on net sales of the terminated assets or products if Xencor commercializes such terminated assets or products and (b) low double digits percentage of all payments receives from sublicensees if Xencor sublicenses the licenses</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9" w:name="page130"/>
    <w:bookmarkEnd w:id="12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granted by us. Xencor’s obligation to make payments for these licenses is, on a product-by-product basis and region-by-region basis, until the last-to-expire licensed patent covering the product in the applicable region.</w:t>
      </w:r>
    </w:p>
    <w:p>
      <w:pPr>
        <w:spacing w:after="0" w:line="3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License Agreement with Bristol-Myers Squibb</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On August 30, 2023 (the “BMS Effective Date”), we entered into a strategic license and collaboration agreement with BMS under which we provided (a) an exclusive (even as to us) license under certain of our patents and joint patents to be developed under the BMS Agreement, and (b) a non-exclusive license under certain of our know-how. The license grants are for BMS to (a) develop, manufacture (subject to our rights to be the exclusive manufacturer for BMS for a certain period of time), commercialize or otherwise exploit our proprietary CD19 x FcγRIIb antibody, obexelimab (the “Compound”) and any biological product (irrespective of presentations, formulations or dosages) containing the Compound but not any of our other proprietary active ingredient (the “Product”) for treatment of any disease in human or animal in the BMS Territory and (b) conduct development and manufacture of the Compound and Products outside the BMS Territory provided that the Compound and Product are solely used in the BMS Territory. We also provided BMS a non-exclusive and royalty-free license under the same patent and know-how rights for BMS to develop, manufacture, commercialize, or otherwise exploit companion diagnostics for the Compound and Products in the BMS Territory. We retain all rights to commercialize obexelimab outside of the BMS Territory.</w:t>
      </w:r>
    </w:p>
    <w:p>
      <w:pPr>
        <w:spacing w:after="0" w:line="2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Under the BMS Agreement, during the term of the BMS Agreement and for a certain period thereafter, BMS has agreed not to develop, manufacture, or commercialize in the BMS Territory a competing product to obexelimab. We have similarly agreed, during the term of the BMS Agreement and for a certain period thereafter, not to develop, manufacture of commercialize in the BMS Territory a product that competes with obexelimab. The non-competes do not apply to any pre-existing activity for a competing product of an acquirer, subject to customary restrictions on such activity following such acquisition.</w:t>
      </w:r>
    </w:p>
    <w:p>
      <w:pPr>
        <w:spacing w:after="0" w:line="9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Under the BMS Agreement, we own all intellectual property in (a) improvements and modification to our pre-existing intellectual property, irrespective of which party develops such improvements and modification, (b) any item relating solely to the Compound and Products derived from use of our pre-existing intellectual property and confidential information, irrespective of which party develops such item and (c) any item generated solely by us in relation to the BMS Agreement. With the exclusion of intellectual property allocated as our intellectual property pursuant to (a) or (b) in the foregoing, (a) BMS shall own intellectual property generated solely by BMS under this Agreement and (b) parties will jointly own all other jointly developed intellectual property.</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part of the BMS Agreement, BMS is solely responsible for conducting all development activities required to obtain regulatory approval for the Compound or Products in the BMS Territory and BMS is obligated to use commercially reasonable efforts to develop at least one Product and seek and maintain regulatory approvals for such Product in Japan and certain other jurisdictions in the BMS Territory.</w:t>
      </w:r>
    </w:p>
    <w:p>
      <w:pPr>
        <w:spacing w:after="0" w:line="10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parties agreed that we will manufacture and supply and BMS will exclusively purchase all of BMS’s requirements of (a) Products (and placebo) for development in the BMS Territory, subject to the terms of a separate clinical supply agreement and clinical supply quality agreement, to be executed after the BMS Effective Date and (b) finished Products for commercialization in the BMS Territory, subject to the terms of a separate commercial supply agreement and commercial supply quality agreement, to be executed within a certain number of months prior to the first regulatory approval in the BMS Territory. However, BMS may elect to manufacture the Product itself or via a third party (a) at any time after a certain period following the BMS Effective Date or (b) during such period following the BMS Effective Date if we fail to supply above a certain threshold quantity of the Product ordered in any given calendar quarter. BMS has exclusive rights to commercialize the Product in the BMS Territory and is obligated to use commercially reasonable efforts to commercialize Products in Japan and certain other jurisdictions in the BMS Territory after obtaining the applicable regulatory approvals.</w:t>
      </w:r>
    </w:p>
    <w:p>
      <w:pPr>
        <w:spacing w:after="0" w:line="9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Under the terms of the BMS Agreement, we have received a one-time upfront payment of $50.0 million. We are entitled to receive further separate development and regulatory milestone payments up to $79.5 million and sales milestone payments up to $70.0 million upon BMS achieving certain net sales milestones in a given calendar year in the BMS Territory.</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0" w:name="page131"/>
    <w:bookmarkEnd w:id="13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addition, if BMS successfully develops and commercializes the Product in the BMS Territory, BMS will pay us tiered royalties ranging from (a) the mid- teens to very-low twenties for net sales of Product in Japan and (b) high single digit to low-teens for net sales of Product in all other countries in the BMS Territory, subject to specified reductions. On a country-by country basis, the term during which the royalties are payable to us is until the latest of (a) the last-to-expire licensed patent covering the Product, (b) the expiration of regulatory exclusivity for the Product or (c) the twelfth anniversary of the first commercial sale of the Product. As of the date of this prospectus, the last-to-expire patent under the BMS Agreement will have an expiration date of October 2, 2044, provided the latest application in each of these countries is allowed. The expected termination of the royalty obligations will depend on factors such as the filing of additional patents covering the Product during the term of the BMS Agreement, the availability and application of patent term extensions and/or expiration of regulatory exclusivity for the Product in the BMS Territory. Finally, BMS will be required to pay a portion of the costs associated with our ongoing INDIGO Trial, in which BMS is participating, as well as any other global study in which BMS elects to participate. During the year ended December 31, 2023, we recorded $4.1 million as a reduction to research and development expense for costs associated with our INDIGO Trial that will be reimbursed by BMS. During the three months ended March 31, 2024, we recorded $1.0 million as a reduction to research and development expense for costs associated with our INDIGO Trial that will be reimbursed by BMS. We recognized no revenue during the three months ended March 31, 2024 pursuant to the BMS Agreement.</w:t>
      </w:r>
    </w:p>
    <w:p>
      <w:pPr>
        <w:spacing w:after="0" w:line="100"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BMS Agreement will remain in effect, on a country-by-country basis, until the expiration of all royalty payment obligations, and may be earlier terminated by either party for the other party’s uncured material breach or insolvency. BMS may terminate for convenience on a country-by-country basis with advance notice to us, with the notice period differing based on whether such termination right is exercised prior to or following the first commercial sale. In addition to customary events of termination, we also have a right to terminate the agreement (a) automatically upon written notice if the upstream Xencor License Agreement terminates and (b) with written notice if BMS challenges the licensed patents.</w:t>
      </w:r>
    </w:p>
    <w:p>
      <w:pPr>
        <w:spacing w:after="0" w:line="9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Upon termination of the BMS Agreement, all licenses granted by us to BMS will automatically terminate and BMS is obligated to cease developing, manufacturing (subject to any transition assistance) and commercializing the Compound and Products in the BMS Territory. Additionally, BMS is obligated to transfer to us all regulatory filings and regulatory approvals related to the Compound or the Products in the Field in the BMS Territory. BMS is further obligated, at our sole discretion, to assign to us (to the extent permissible) (a) BMS’s rights under agreements between BMS and third parties that solely relate to the development, commercialization or manufacture of the Compound or the Products, (b) documentation relating to the commercialization of the Compound or the Products in the BMS Territory; and (c) any BMS owned marks for the Compound or the Products. BMS is obligated to provide reasonable transition supply assistance with respect to any agreement for manufacturing Compound or Products transferred to us, including manufacturing the Compound or Products for up to 18 months following termination.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own or license patents in the United States and foreign countries that protect our products, their methods of use and manufacture, as well as other innovations important to our business, and in order to help bring new therapies to patients. We consider the overall protection of our patents, trademarks, licenses and other intellectual property rights to be of material value. We also rely on trade secrets to protect aspects of our business that are not amenable to, or that we do not consider appropriate for, patent protection. Our success will, in part,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other proprietary rights of third parties. We also rely on regulatory protection, particularly biological data exclusivity, know-how, continuing technological innovation and in-licensing opportunities to develop, strengthen and maintain the proprietary position of our products and development programs.</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the biopharmaceutical industry, a substantial portion of an innovative product’s commercial value is usually realized during the period in which the product has exclusivity. A product’s exclusivity is generally determined by two forms of intellectual property: patent rights held by the innovator company and any regulatory forms of exclusivity to which the innovative drug is entitled.</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1" w:name="page132"/>
    <w:bookmarkEnd w:id="13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Patents are a key determinant of exclusivity for most pharmaceuticals. Patents provide the innovator with the right to exclude others from practicing an invention related to the medicine. Patents may cover, among other things, the active ingredient(s), various uses of a drug product, discovery tools, pharmaceutical formulations, biomarkers, drug delivery mechanisms and processes for (or intermediates useful in) the manufacture of products. The protection afforded by a patent extends for a 20- year term from its filing date, without taking into account any potential patent term adjustment or extension. The protection provided by a patent depends on the scope of its coverage and the availability of meaningful legal remedies to enforce patent claims in the country or countries where it has issued.</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Market exclusivity can also be influenced by regulatory data protection (“RDP”). Many developed countries provide certain non-patent incentives for the development of medicines. For example, in the United States, EU member states, UK, Japan, and certain other countries, RDP intellectual property rights are offered to: (i) provide a time period of data protection during which a generic company is not allowed to rely on the innovator’s data in seeking approval; (ii) restore patent term lost during drug development and approval; and (iii) provide incentives for research on medicines for rare diseases, or orphan drugs, and on medicines useful in treating pediatric patients. These incentives may extend a product’s market exclusivity period beyond the patent term.</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Patent Portfolio</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As of March 31, 2024, we own or exclusively in-license ten patent families that specifically cover our product candidates obexelimab (our CD19 x FcγRIIb antibody), ZB002 (our anti-TNFα antibody), and ZB004 (our CTLA-4-Ig fusion protein). These families include 14 issued U.S. patents, six pending U.S. applications, 120 issued foreign patents, one pending PCT application and 23 pending foreign patent applications in Australia, Brazil, Canada, China, Europe, Eurasia, Israel, Mexico, South Africa, South Korea, Hong Kong, Japan, India, Russia and Taiwan. In addition, we own or exclusively in-license seven United States provisional patent applications, which belong to four different patent families, within the priority year. Any United States or foreign patents issued from national stage filings of our owned, or exclusively in-licensed PCT patent applications, any U.S. patents issued from our exclusively in-licensed non-provisional applications, and any United States patents or foreign patents issued from non-provisional applications we may file in connection with our provisional patent applications would be scheduled to expire on various dates from 2027 through 2045.</w:t>
      </w:r>
    </w:p>
    <w:p>
      <w:pPr>
        <w:spacing w:after="0" w:line="9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All expected expiration dates provided herein are based on a 20-year term, without taking into account any possible PTA or PTE and assuming payment of all appropriate maintenance, renewal, annuity or other governmental fees.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Obexelimab</w:t>
      </w:r>
    </w:p>
    <w:p>
      <w:pPr>
        <w:spacing w:after="0" w:line="12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Obexelimab is a bifunctional, non-cytolytic, humanized monoclonal antibody that binds CD19 and FcγRIIb to inhibit B-lineage cell activity. As of March 31, 2024, we own or exclusively in-license from Xencor seven patent families that specifically cover the composition of matter, mechanism of action, biomarkers and the clinical uses of obexelimab for treating IgG4-RD, SLE, MS and wAIHA.</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 first patent family specifically covers the composition of matter of obexelimab and includes six issued patents and two pending applications in the United States, and 21 issued foreign patents in Australia, Hong Kong, India, Israel and various European countries including Belgium, Denmark, France, Germany, Ireland, Italy Latvia, Lithuania, Luxembourg, Monaco, Netherlands, Spain, Sweden, Switzerland, and UK. The 20-year statutory term for the patents issued in this family expires in May 2028, excluding any extension of patent term that may be available. A second patent family is directed to obexelimab’s mechanism of action and includes one issued patent and one pending application in the United States, four pending applications in Canada, Europe and Japan, and 19 issued patents in Japan and European countries including Austria, Belgium, Denmark, France, Germany, Ireland, Italy, Netherlands, Norway, Poland, Portugal, Sweden, Turkey and UK. The 20-year statutory term for any patents issued in this family expires in June 2037, excluding any extension of patent term that may be available. A third patent family is directed to the use of biomarkers for treating autoimmune diseases (e.g., SLE) and includes one pending United States application, and 13 pending applications in Australia, Brazil, Canada, China, Eurasia, Europe, Hong Kong, Israel, Japan, South Korea, Mexico, South Africa and Taiwan. The 20-year statutory term for any patents issued in this family would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2" w:name="page133"/>
    <w:bookmarkEnd w:id="13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expire in October 2041, excluding any extension of patent term that may be available. A fourth patent family is directed to the clinical use of obexelimab for treating IgG4-RD, currently including a pending PCT application and Taiwanese application. The 20-year statutory term for any patents issued in this family would expire in June 2043, excluding any extension of patent term that may be available. A fifth patent family is directed to the clinical use of obexelimab for treating wAIHA, currently including one provisional application. Assuming the provisional application is converted to a non -provisional application at the 12-month from priority deadline, the 20-year statutory term for any patents issued in this family would expire in April 2044, excluding any extension of patent term that may be available. A sixth patent family is directed to the clinical use of obexelimab for treating MS currently including four provisional applications. Assuming the provisional application is converted to a non-provisional application at the 12-month from priority deadline, the 20-year statutory term for any patents issued in this family would expire in October 2044, excluding any extension of patent term that may be available. A seventh patent family is directed to the SC administration of obexelimab for treating SLE currently including one provisional application. Assuming the provisional application is converted to a non -provisional application at the 12-month from priority deadline, the 20-year statutory term for any patents issued in this family would expire in January 2045, excluding any extension of patent term that may be available. A PTE of up to five years may be available and can be applied in one of these families as appropriate.</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ZB002</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ZB002 is an anti-TNFα monoclonal antibody with the Xtend technology modified to have an extended half-life as compared to existing anti- TNFα therapies. As of March 31, 2024, we exclusively own or in-licensed two patent families covering ZB002. A first patent family specifically covers the full-length amino acid sequences of ZB002, including three issued patents in the United States, Brazil and Japan, and four pending applications in the United States, Europe, Hong Kong and Russia. The 20-year statutory term for U.S. patents in this family expires in October 2027 and any foreign patents that are in this family are expected to expire in December 2028, excluding any extension of patent term that may be available. A second patent family is directed to the formulation and dosing of ZB002 in treating autoimmune diseases. Assuming the provisional application is converted to a non-provisional application at the 12-month from priority deadline, the 20-year statutory term for any patents issued in this family would expire in March 2045. A PTE of up to five years may be available and can be applied in one of these families as appropriate.</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ZB004</w:t>
      </w:r>
    </w:p>
    <w:p>
      <w:pPr>
        <w:spacing w:after="0" w:line="11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ZB004 is a CTLA-4-Ig fusion protein with the Xtend technology modified to have an extended half-life versus existing CTLA-4-Ig fusion protein therapies. As of March 31, 2024, we exclusively in-licensed one patent family that specifically covers the composition of matter of ZB004 and related methods of use including six issued patents and one pending application in the United States, two pending foreign applications in China and Hong Kong, and 78 issued foreign patents in Australia, Canada, China, India, Japan, South Korea and European countries including Albania, Austria, Belgium, Bulgaria, Croatia, Cyprus, Czech Republic, Denmark, Estonia, Finland, France, Germany, Greece, Hungary, Iceland, Ireland, Italy, Latvia, Lichtenstein, Lithuania, Luxembourg, Macedonia, Malta, Monaco, Netherlands, Norway, Poland, Portugal, Romania, San Marino, Serbia, Slovakia, Slovenia, Spain, Sweden, Switzerland, Turkey, and UK. The 20-year statutory term for the patents issued in this family expires in February 2031, excluding any extension of patent term that may be available. A PTE of up to five years may be available.</w:t>
      </w:r>
    </w:p>
    <w:p>
      <w:pPr>
        <w:spacing w:after="0" w:line="153" w:lineRule="exact"/>
        <w:rPr>
          <w:sz w:val="20"/>
          <w:szCs w:val="20"/>
          <w:color w:val="auto"/>
        </w:rPr>
      </w:pPr>
    </w:p>
    <w:tbl>
      <w:tblPr>
        <w:tblLayout w:type="fixed"/>
        <w:tblInd w:w="140" w:type="dxa"/>
        <w:tblCellMar>
          <w:top w:w="0" w:type="dxa"/>
          <w:left w:w="0" w:type="dxa"/>
          <w:bottom w:w="0" w:type="dxa"/>
          <w:right w:w="0" w:type="dxa"/>
        </w:tblCellMar>
      </w:tblPr>
      <w:tr>
        <w:trPr>
          <w:trHeight w:val="194"/>
        </w:trPr>
        <w:tc>
          <w:tcPr>
            <w:tcW w:w="2440" w:type="dxa"/>
            <w:vAlign w:val="bottom"/>
            <w:gridSpan w:val="2"/>
          </w:tcPr>
          <w:p>
            <w:pPr>
              <w:ind w:left="1020"/>
              <w:spacing w:after="0"/>
              <w:rPr>
                <w:sz w:val="20"/>
                <w:szCs w:val="20"/>
                <w:color w:val="auto"/>
              </w:rPr>
            </w:pPr>
            <w:r>
              <w:rPr>
                <w:rFonts w:ascii="Times New Roman" w:cs="Times New Roman" w:eastAsia="Times New Roman" w:hAnsi="Times New Roman"/>
                <w:sz w:val="15"/>
                <w:szCs w:val="15"/>
                <w:b w:val="1"/>
                <w:bCs w:val="1"/>
                <w:i w:val="1"/>
                <w:iCs w:val="1"/>
                <w:color w:val="auto"/>
              </w:rPr>
              <w:t>Trademark Portfolio</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5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5"/>
                <w:szCs w:val="15"/>
                <w:color w:val="auto"/>
              </w:rPr>
              <w:t>As of March 31, 2024, we own three federal trademark registrations for the marks</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 ZENAS</w:t>
            </w:r>
          </w:p>
        </w:tc>
        <w:tc>
          <w:tcPr>
            <w:tcW w:w="36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1160" w:type="dxa"/>
            <w:vAlign w:val="bottom"/>
            <w:vMerge w:val="restart"/>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528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4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BIOPHARMA and</w:t>
            </w:r>
          </w:p>
        </w:tc>
        <w:tc>
          <w:tcPr>
            <w:tcW w:w="4780" w:type="dxa"/>
            <w:vAlign w:val="bottom"/>
            <w:gridSpan w:val="5"/>
          </w:tcPr>
          <w:p>
            <w:pPr>
              <w:ind w:left="220"/>
              <w:spacing w:after="0"/>
              <w:rPr>
                <w:sz w:val="20"/>
                <w:szCs w:val="20"/>
                <w:color w:val="auto"/>
              </w:rPr>
            </w:pPr>
            <w:r>
              <w:rPr>
                <w:rFonts w:ascii="Times New Roman" w:cs="Times New Roman" w:eastAsia="Times New Roman" w:hAnsi="Times New Roman"/>
                <w:sz w:val="15"/>
                <w:szCs w:val="15"/>
                <w:color w:val="auto"/>
              </w:rPr>
              <w:t> in the United States, four federal trademark registrations for the marks</w:t>
            </w:r>
          </w:p>
        </w:tc>
        <w:tc>
          <w:tcPr>
            <w:tcW w:w="36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2760" w:type="dxa"/>
            <w:vAlign w:val="bottom"/>
            <w:gridSpan w:val="3"/>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rPr>
              <w:t>, ZENAS BIOPHARMA and</w:t>
            </w:r>
          </w:p>
        </w:tc>
        <w:tc>
          <w:tcPr>
            <w:tcW w:w="3660" w:type="dxa"/>
            <w:vAlign w:val="bottom"/>
            <w:gridSpan w:val="4"/>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 in the EU, and six federal trademark registrations for</w:t>
            </w:r>
          </w:p>
        </w:tc>
        <w:tc>
          <w:tcPr>
            <w:tcW w:w="1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88"/>
        </w:trPr>
        <w:tc>
          <w:tcPr>
            <w:tcW w:w="1160" w:type="dxa"/>
            <w:vAlign w:val="bottom"/>
            <w:vMerge w:val="restart"/>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2760" w:type="dxa"/>
            <w:vAlign w:val="bottom"/>
            <w:gridSpan w:val="3"/>
            <w:vMerge w:val="continue"/>
          </w:tcPr>
          <w:p>
            <w:pPr>
              <w:spacing w:after="0"/>
              <w:rPr>
                <w:sz w:val="7"/>
                <w:szCs w:val="7"/>
                <w:color w:val="auto"/>
              </w:rPr>
            </w:pPr>
          </w:p>
        </w:tc>
        <w:tc>
          <w:tcPr>
            <w:tcW w:w="3660" w:type="dxa"/>
            <w:vAlign w:val="bottom"/>
            <w:gridSpan w:val="4"/>
            <w:vMerge w:val="continue"/>
          </w:tcPr>
          <w:p>
            <w:pPr>
              <w:spacing w:after="0"/>
              <w:rPr>
                <w:sz w:val="7"/>
                <w:szCs w:val="7"/>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11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vMerge w:val="restart"/>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rPr>
              <w:t> and</w:t>
            </w:r>
          </w:p>
        </w:tc>
        <w:tc>
          <w:tcPr>
            <w:tcW w:w="3020" w:type="dxa"/>
            <w:vAlign w:val="bottom"/>
            <w:gridSpan w:val="3"/>
            <w:vMerge w:val="restart"/>
          </w:tcPr>
          <w:p>
            <w:pPr>
              <w:jc w:val="right"/>
              <w:ind w:right="187"/>
              <w:spacing w:after="0"/>
              <w:rPr>
                <w:sz w:val="20"/>
                <w:szCs w:val="20"/>
                <w:color w:val="auto"/>
              </w:rPr>
            </w:pPr>
            <w:r>
              <w:rPr>
                <w:rFonts w:ascii="Times New Roman" w:cs="Times New Roman" w:eastAsia="Times New Roman" w:hAnsi="Times New Roman"/>
                <w:sz w:val="15"/>
                <w:szCs w:val="15"/>
                <w:color w:val="auto"/>
              </w:rPr>
              <w:t> in China. We also own two allowed federal</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60" w:type="dxa"/>
            <w:vAlign w:val="bottom"/>
            <w:gridSpan w:val="3"/>
          </w:tcPr>
          <w:p>
            <w:pPr>
              <w:ind w:left="1020"/>
              <w:spacing w:after="0"/>
              <w:rPr>
                <w:sz w:val="20"/>
                <w:szCs w:val="20"/>
                <w:color w:val="auto"/>
              </w:rPr>
            </w:pPr>
            <w:r>
              <w:rPr>
                <w:rFonts w:ascii="Times New Roman" w:cs="Times New Roman" w:eastAsia="Times New Roman" w:hAnsi="Times New Roman"/>
                <w:sz w:val="15"/>
                <w:szCs w:val="15"/>
                <w:color w:val="auto"/>
              </w:rPr>
              <w:t>the marks ZENAS BIOPHARMA,</w:t>
            </w:r>
          </w:p>
        </w:tc>
        <w:tc>
          <w:tcPr>
            <w:tcW w:w="5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020" w:type="dxa"/>
            <w:vAlign w:val="bottom"/>
            <w:gridSpan w:val="3"/>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9"/>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130</w:t>
            </w: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-1066800</wp:posOffset>
            </wp:positionV>
            <wp:extent cx="586105" cy="167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6105" cy="167640"/>
                    </a:xfrm>
                    <a:prstGeom prst="rect">
                      <a:avLst/>
                    </a:prstGeom>
                    <a:noFill/>
                  </pic:spPr>
                </pic:pic>
              </a:graphicData>
            </a:graphic>
          </wp:anchor>
        </w:drawing>
        <w:drawing>
          <wp:anchor simplePos="0" relativeHeight="251657728" behindDoc="1" locked="0" layoutInCell="0" allowOverlap="1">
            <wp:simplePos x="0" y="0"/>
            <wp:positionH relativeFrom="column">
              <wp:posOffset>1506855</wp:posOffset>
            </wp:positionH>
            <wp:positionV relativeFrom="paragraph">
              <wp:posOffset>-1610995</wp:posOffset>
            </wp:positionV>
            <wp:extent cx="3223260" cy="8997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23260" cy="89979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3" w:name="page134"/>
    <w:bookmarkEnd w:id="133"/>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309880</wp:posOffset>
            </wp:positionV>
            <wp:extent cx="160655" cy="167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0655" cy="16764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316865</wp:posOffset>
            </wp:positionV>
            <wp:extent cx="586105" cy="1606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6105" cy="1606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and ZENAS BIOPHARMA</w:t>
            </w:r>
          </w:p>
        </w:tc>
        <w:tc>
          <w:tcPr>
            <w:tcW w:w="2020" w:type="dxa"/>
            <w:vAlign w:val="bottom"/>
            <w:vMerge w:val="restart"/>
          </w:tcPr>
          <w:p>
            <w:pPr>
              <w:ind w:left="880"/>
              <w:spacing w:after="0"/>
              <w:rPr>
                <w:sz w:val="20"/>
                <w:szCs w:val="20"/>
                <w:color w:val="auto"/>
              </w:rPr>
            </w:pPr>
            <w:r>
              <w:rPr>
                <w:rFonts w:ascii="Times New Roman" w:cs="Times New Roman" w:eastAsia="Times New Roman" w:hAnsi="Times New Roman"/>
                <w:sz w:val="15"/>
                <w:szCs w:val="15"/>
                <w:color w:val="auto"/>
              </w:rPr>
              <w:t> in the United</w:t>
            </w:r>
          </w:p>
        </w:tc>
        <w:tc>
          <w:tcPr>
            <w:tcW w:w="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28"/>
        </w:trPr>
        <w:tc>
          <w:tcPr>
            <w:tcW w:w="24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trademark applications for the marks</w:t>
            </w:r>
          </w:p>
        </w:tc>
        <w:tc>
          <w:tcPr>
            <w:tcW w:w="194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States and two pending federal trademark applications for the mark</w:t>
            </w:r>
          </w:p>
        </w:tc>
        <w:tc>
          <w:tcPr>
            <w:tcW w:w="20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in China.</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-194945</wp:posOffset>
            </wp:positionV>
            <wp:extent cx="160655" cy="167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0655" cy="167640"/>
                    </a:xfrm>
                    <a:prstGeom prst="rect">
                      <a:avLst/>
                    </a:prstGeom>
                    <a:noFill/>
                  </pic:spPr>
                </pic:pic>
              </a:graphicData>
            </a:graphic>
          </wp:anchor>
        </w:drawing>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do not own or operate, and currently have no plans to establish, any manufacturing facilities. We have engaged, and currently expect to continue to rely on, a single third-party CMO, WuXi Biologics, for the supply of our product candidates for use in our preclinical studies and clinical trials. Should our CMO become unavailable to us for any reason, we believe that there are a number of potential replacements, although we would incur delay and cost in identifying and qualifying such replacements.</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maintain a master services agreement with Wuxi Biologics pursuant to which it provides biologics development and manufacturing services on a per-project basis. We may terminate the master services agreement at any time for convenience in accordance with the terms of the agreement. We may also terminate the master services agreement in the event that Wuxi Biologics does not obtain or maintain any material governmental license or approval in accordance with the terms of the agreement. The agreement includes confidentiality and intellectual property provisions to protect our proprietary rights related to our product candidates. We are actively pursuing but do not currently have arrangements in place for redundant supply. While any reduction or halt in supply from the CMO could limit our ability to develop our product candidates until a replacement CMO is found and qualified, we believe that we have sufficient supply to support our current clinical trial programs. See “Risk Factors” for additional information.</w:t>
      </w:r>
    </w:p>
    <w:p>
      <w:pPr>
        <w:spacing w:after="0" w:line="9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If any of our product candidates receive FDA approval, we intend to rely on third-party CMOs for commercial manufacturing. As our product candidates advance through development, we expect to enter into longer-term commercial supply agreements to fulfill and secure our production needs, and we plan to reconsider our lack of redundant supply for the drug substance and drug product for each of our product candidates to mitigate the risk of supply disruptions. As part of this initiative, as we progress our product candidates through clinical development, we plan to transfer some drug substance and drug product manufacturing to our CMO’s manufacturing facilities in Europe, in addition to continuing manufacturing at its facilities in China. For the medical device component of our product (i.e., prefilled syringe or autoinjector), we plan to utilize device assembly facilities in the U.S./EU for the global supply. While the drug substances used in our product candidates are manufactured by more than one supplier, we rely on a single third-party manufacturer to manufacture and supply the drug substances, drug products, raw materials, samples, components and other materials for our product candidates. In the event it is necessary or advisable to acquire supplies from alternative sources, we might not be able to obtain them at reasonable prices, or at all. It could also require significant time and expense to transfer our manufacturing processes to another company. If we need to change manufacturers for any reason, we will be required to verify that the new manufacturer maintains facilities and procedures that comply with applicable quality standards, regulations and guidelines, and we may be required to conduct additional studies.</w:t>
      </w:r>
    </w:p>
    <w:p>
      <w:pPr>
        <w:spacing w:after="0" w:line="10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Additionally, to adequately meet our projected manufacturing needs for commercializing obexelimab and our other product candidates, our CMOs will need to scale-up production or we will need to secure additional suppliers. Processes for producing obexelimab drug substances and drug product for commercial supply have been developed and defined. We believe the drug substance and drug product processes for obexelimab and our other product candidates are amenable to scale-up.</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Sales, Marketing and Commercialization</w:t>
      </w:r>
    </w:p>
    <w:p>
      <w:pPr>
        <w:spacing w:after="0" w:line="11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None of our product candidates have been approved for sale in any country. We hold global development and commercialization rights to obexelimab, excluding Japan, Taiwan, South Korea, Singapore, Hong Kong and Australia, which we have licensed to BMS. We also hold the global development and commercialization rights to ZB002 and ZB004. We hold development and commercialization rights to ZB001 and ZB005 in greater China only.</w:t>
      </w:r>
    </w:p>
    <w:p>
      <w:pPr>
        <w:spacing w:after="0" w:line="9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If our product candidates receive FDA approval, we intend to build our own commercialization infrastructure in the United States and Europe, to market and sell our products. For Asia and other</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4" w:name="page135"/>
    <w:bookmarkEnd w:id="13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geographies, we plan to conduct the initial clinical development work and then seek to enter into an agreement with a third party to complete the clinical development work, obtain regulatory approval, and ultimately commercialize in these territories. However, we intend to continually evaluate the economics of potentially commercializing our product candidates ourselves, if approved, versus other strategic commercialization arrangements.</w:t>
      </w:r>
    </w:p>
    <w:p>
      <w:pPr>
        <w:spacing w:after="0" w:line="9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currently have no sales, marketing or commercialization capabilities and have no experience as a company performing such activities. However, we intend to build the necessary capabilities and infrastructure over time as our product candidates continue to advance through clinical development. We believe that clinical data, the size of the market opportunity and the size of the required commercial infrastructure will influence our commercialization plans and decision making.</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99"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26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4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are currently developing obexelimab for IgG4-RD, MS, SLE and wAIHA. There are currently no approved products for IgG4-RD or wAIHA. A number of products are approved for MS and two products are approved for SLE. However, there are a number of product candidates in clinical development by other companies for IgG4- RD, MS, SLE and wAIHA which may become available in the future. Potentially competitive therapies by indication fall primarily into the following groups of treatment: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IgG4-RD:</w:t>
      </w:r>
    </w:p>
    <w:p>
      <w:pPr>
        <w:spacing w:after="0" w:line="82" w:lineRule="exact"/>
        <w:rPr>
          <w:sz w:val="20"/>
          <w:szCs w:val="20"/>
          <w:color w:val="auto"/>
        </w:rPr>
      </w:pPr>
    </w:p>
    <w:p>
      <w:pPr>
        <w:ind w:left="1600" w:hanging="143"/>
        <w:spacing w:after="0"/>
        <w:tabs>
          <w:tab w:leader="none" w:pos="16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anti-CD19 antibody program in a Phase 3 clinical trial, being developed by Amgen Inc.;</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Bruton’s tyrosine kinase (“BTK”) inhibitor in a Phase 2 clinical trial, being developed by Sanofi S.A.;</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clinical or preclinical small molecules, biologics (including cell-based therapies), or other therapeutic modalities that may be or are being developed for IgG4-RD; and</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therapies such as corticosteroids and immunosuppressants like cyclophosphamide and rituximab have been used off-label. While these other therapies have not been shown to be effective, and carry significant side effects, their off-label use could reduce or delay treatment in the addressable patient population for obexelimab.</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MS:</w:t>
      </w:r>
    </w:p>
    <w:p>
      <w:pPr>
        <w:spacing w:after="0" w:line="82" w:lineRule="exact"/>
        <w:rPr>
          <w:sz w:val="20"/>
          <w:szCs w:val="20"/>
          <w:color w:val="auto"/>
        </w:rPr>
      </w:pPr>
    </w:p>
    <w:p>
      <w:pPr>
        <w:ind w:left="1600" w:right="1179" w:hanging="143"/>
        <w:spacing w:after="0" w:line="269" w:lineRule="auto"/>
        <w:tabs>
          <w:tab w:leader="none" w:pos="16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monoclonal antibody biologic therapies including anti-CD20 antibodies such as Ocrevus marketed by F. Hoffmann-La Roche Ltd., Kesimpta marketed by Novartis AG, Briumvi marketed by</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5" w:name="page136"/>
    <w:bookmarkEnd w:id="13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spacing w:after="0" w:line="269" w:lineRule="auto"/>
        <w:rPr>
          <w:sz w:val="20"/>
          <w:szCs w:val="20"/>
          <w:color w:val="auto"/>
        </w:rPr>
      </w:pPr>
      <w:r>
        <w:rPr>
          <w:rFonts w:ascii="Times New Roman" w:cs="Times New Roman" w:eastAsia="Times New Roman" w:hAnsi="Times New Roman"/>
          <w:sz w:val="15"/>
          <w:szCs w:val="15"/>
          <w:color w:val="auto"/>
        </w:rPr>
        <w:t>TG Therapeutics Inc., an anti-CD52 antibody Lemtrada marketed by Sanofi S.A., and an α4-integrin antibody Tysabri marketed by Biogen;</w:t>
      </w:r>
    </w:p>
    <w:p>
      <w:pPr>
        <w:spacing w:after="0" w:line="42" w:lineRule="exact"/>
        <w:rPr>
          <w:sz w:val="20"/>
          <w:szCs w:val="20"/>
          <w:color w:val="auto"/>
        </w:rPr>
      </w:pPr>
    </w:p>
    <w:p>
      <w:pPr>
        <w:jc w:val="both"/>
        <w:ind w:left="1600" w:right="1179" w:hanging="143"/>
        <w:spacing w:after="0" w:line="252"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non-antibody-based injectable therapies including interferon beta-1a therapies such as Avonex marketed by Biogen, Plegridy marketed by Biogen, Betaseron marketed by Bayer AG, Extavia marketed by Novartis AG, Rebif marketed by Merck KGaA, and myelin basic protein-based therapies such as Copaxone marketed by Teva Neuroscience Inc.;</w:t>
      </w:r>
    </w:p>
    <w:p>
      <w:pPr>
        <w:spacing w:after="0" w:line="55"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small molecule oral therapies including Aubagio marketed by Genzyme Corporation, Bafiertam marketed by Banner Life Sciences, Gilenya marketed by Novartis AG, Mavenclad marketed by Merck KGaA, Mayzent marketed by Novartis AG, Ponvory marketed by Janssen Pharmaceuticals, Inc., Tascenso ODT marketed by Cycle Pharmaceuticals Ltd., Tecfidera marketed by Biogen, Vumerity marketed by Biogen, and Zeposia marketed by Bristol Myers Squibb Company;</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three small molecule BTK inhibitor programs in Phase 3 development by Sanofi S.A., Novartis AG, and Hoffmann-La Roche Ltd.;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vidofludimus calcium program in Phase 3 development by Immunic Therapeutics Inc.;</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selective tyrosine kinase inhibitor program in Phase 3 development by AB Science;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anti-CD40/CD40L antibody in a Phase 3 clinical trial being developed by Sanofi S.A;</w:t>
      </w:r>
    </w:p>
    <w:p>
      <w:pPr>
        <w:spacing w:after="0" w:line="80"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several Phase 2 clinical trial programs evaluating multiple targets / mechanisms of action including but not limited to BTK, M1R (muscarinic type 1 receptor), RIPK1 (receptor-interacting serine/threonine-protein Kinase 1), BLyS/APRIL, MOG (myelin oligodendrocyte glycoprotein), VAA-4 (very late antigen 4), undisclosed targets / mechanisms and allogenic, autologous, mesenchymal, and CAR-T cell therapies;</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clinical or preclinical disease modifying small molecules, biologics, or other therapeutic modalities that may be or are being developed for MS; and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approved generic and biosimilar therapies.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SLE:</w:t>
      </w:r>
    </w:p>
    <w:p>
      <w:pPr>
        <w:spacing w:after="0" w:line="93" w:lineRule="exact"/>
        <w:rPr>
          <w:sz w:val="20"/>
          <w:szCs w:val="20"/>
          <w:color w:val="auto"/>
        </w:rPr>
      </w:pPr>
    </w:p>
    <w:p>
      <w:pPr>
        <w:jc w:val="both"/>
        <w:ind w:left="1600" w:right="1179" w:hanging="143"/>
        <w:spacing w:after="0" w:line="257"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therapies including an anti-BLyS antibody Benlysta marketed by GSK plc., an anti-IFNAR (type I interferon receptor) antibody Saphnelo marketed by AstraZeneca plc., and a dual antagonist of BlyS and APRIL Tai’ai approved and marketed only in China, by RemeGen Co., Ltd.;</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anti-CD40L (CD40 ligand) pegylated Fab (antigen binding fragment) program in a Phase 3 clinical trial, being developed by UCB Biopharma SRL;</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anti-BDCA2 (blood dendritic cell antigen 2) antibody program in Phase 3 clinical trials, being conducted by Biogen Inc.;</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dual antagonist of BLyS and APRIL program in a Phase 3 (ex-China) clinical trial, being developed by RemeGen Co., Ltd.;</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two anti-CD20 antibody programs in Phase 3 clinical trials, being developed by F. Hoffmann-La Roche Ltd. and Beijing Mabworks Biotech Co., Ltd., the latter in China only;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tyrosine kinase 2 (“TYK2”) inhibitor in Phase 3 clinical trials, being developed by Bristol Myers Squibb Company;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sphingosine-1-phosphate 1 receptor modulator in Phase 3 clinical trials, being developed by Idorsia Pharmaceuticals Ltd.;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Janus kinase inhibitor in Phase 3 clinical trials, being developed by AbbVie Inc.;</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anti-BAFF-R antibody program in Phase 3 clinical trials, being developed by Novartis AG;</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several Phase 2 clinical trial programs evaluating multiple targets / mechanisms of action including but not limited to TLR7/8, CD28/ICOS, CD40/CD40L, BAFF/APRIL, IL2, CRL4-CRBN, IFNB1, BTLA, FcRn, TYK2, BTK, CD22, CD32B/CD79B, CD19, CD19/CD20/BCMA-CAR T programs and undisclosed targets / mechanisms;</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6" w:name="page137"/>
    <w:bookmarkEnd w:id="13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clinical or preclinical small molecules, biologics, or other therapeutic modalities that may be or are being developed for SLE; and</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therapies such as antimalarials (e.g., hydroxychloroquine), corticosteroid, and immunosuppressants (e.g., cyclophosphamide or rituximab) have been used off-label. While these other therapies have not been shown to be effective, and carry significant side effects, their off-label use could reduce or delay treatment in the addressable patient population for obexelimab.</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wAIHA:</w:t>
      </w:r>
    </w:p>
    <w:p>
      <w:pPr>
        <w:spacing w:after="0" w:line="93" w:lineRule="exact"/>
        <w:rPr>
          <w:sz w:val="20"/>
          <w:szCs w:val="20"/>
          <w:color w:val="auto"/>
        </w:rPr>
      </w:pPr>
    </w:p>
    <w:p>
      <w:pPr>
        <w:ind w:left="1600" w:right="1179" w:hanging="143"/>
        <w:spacing w:after="0" w:line="269" w:lineRule="auto"/>
        <w:tabs>
          <w:tab w:leader="none" w:pos="16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anti-BAFF-R (B cell activating factor receptor) antibody program in a Phase 3 clinical trial, being developed by Novartis AG;</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anti-FcRn (neonatal fragment crystallizable receptor) antibody program in a Phase 2/3 clinical trial, being developed by Johnson &amp; Johnson;</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spleen tyrosine kinase inhibitor in a Phase 2/3 clinical trial in China, being developed by HUTCHMED (China) Ltd.;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BTK inhibitor in a Phase 2 clinical trial, being developed by Sanofi S.A.;</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dual monoclonal antibody antagonist of BlyS and APRIL in Phase 1/2 clinical trial by Alpine Immune Sciences, Inc;</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clinical or preclinical small molecules, biologics, or other therapeutic modalities that may be or are being developed for wAIHA; and</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therapies such as corticosteroid, immunosuppressants (e.g., cyclophosphamide or rituximab), intravenous immunoglobulin, and splenectomy have been used off-label. While these other therapies have not been shown to be effective, and carry significant side effects, their off-label use could reduce or delay treatment in the addressable patient population for obexelimab.</w:t>
      </w:r>
    </w:p>
    <w:p>
      <w:pPr>
        <w:spacing w:after="0" w:line="100"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are also developing ZB002, an anti-TNFα therapy with an extended half-life. The TNFα -binding region within the fragment variable (Fv) domain has an identical amino acid sequence to Humira (adalimumab). The fragment crystallizable (Fc) domain consists of a hybrid immunoglobulin (IgG1/2) constant region containing amino acid substitutions for extended half-life. There are 5 FDA-approved innovator anti-TNF programs for various indications including Humira marketed by AbbVie Biotechnology Ltd., Enbrel marketed by Amgen Inc., Remicade, marketed by Janssen Biotech, Inc., Simponi, marketed by Janssen Biotech, Inc., and Cimzia, marketed by UCB, Inc. In addition to these five innovator anti-TNF programs, a number of biosimilar anti-TNF programs are FDA-approved including Humira biosimilars (such as Amjevita marketed by Amgen Inc., Abrilada marketed by Pfizer Inc., Cyltezo marketed by Boehringer Ingelheim Pharmaceuticals, Inc., Hadlima Organon group of companies, Hulio marketed by Veritas Inc., Hyrimoz marketed by Sandoz Inc., Idacio marketed by Fresenius Kabi USA, LLC, Yuflyma marketed by Celltrion Healthcare Co., Ltd., and Yusimry marketed by Coherus BioSciences, Inc.).</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ZB004 is a CTLA-4-Ig fusion protein with an extended half-life and potential improved potency versus existing CTLA-4-Ig fusion protein therapies. There are two marketed CTLA-4-Ig fusion protein therapies. Orencia, marketed by BMS, is FDA-approved for rheumatoid arthritis, polyarticular juvenile idiopathic arthritis, and prophylaxis of acute graft versus host disease. Nulojix, marketed by BMS, is FDA-approved for prophylaxis of organ rejection in adult patients receiving a kidney transplant. One Orencia biosimilar program recently entered Phase 1 clinical development.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Government Regulation</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Government authorities at the federal, state and local level in the United States and in other countries and jurisdictions, including the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biological products such as those we are developing.</w:t>
      </w:r>
    </w:p>
    <w:p>
      <w:pPr>
        <w:spacing w:after="0" w:line="9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along with our CMOs, CROs and third-party vendors, will be required to satisfy these requirements in each of the countries in which we wish to conduct studies or seek approval or licensure of our product</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7" w:name="page138"/>
    <w:bookmarkEnd w:id="1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candidates. The processes for obtaining marketing approvals in the United States and in foreign countries and jurisdictions, along with subsequent compliance with applicable statutes, regulations, and other regulatory requirements, require the expenditure of substantial time and financial resources.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Licensure and Regulation of Biologics in the United States</w:t>
      </w:r>
    </w:p>
    <w:p>
      <w:pPr>
        <w:spacing w:after="0" w:line="12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are currently developing product candidates that are biological products, or biologics. In the United States, where we are initially focusing our product development, the FDA regulates biologics under the FDCA and the Public Health Service Act (“PHSA”), and their implementing regulations. Biologics are also subject to other federal, state and local statutes and regulations. Our product candidates are early-stage and have not been approved for marketing in the United States.</w:t>
      </w:r>
    </w:p>
    <w:p>
      <w:pPr>
        <w:spacing w:after="0" w:line="9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An applicant seeking approval to market and distribute a new biologic in the United States must satisfactorily complete each of the following steps:</w:t>
      </w:r>
    </w:p>
    <w:p>
      <w:pPr>
        <w:spacing w:after="0" w:line="42" w:lineRule="exact"/>
        <w:rPr>
          <w:sz w:val="20"/>
          <w:szCs w:val="20"/>
          <w:color w:val="auto"/>
        </w:rPr>
      </w:pPr>
    </w:p>
    <w:p>
      <w:pPr>
        <w:ind w:left="1600" w:right="1179" w:hanging="143"/>
        <w:spacing w:after="0" w:line="269"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preclinical laboratory tests, animal studies and formulation studies performed in accordance with the FDA’s GLPs;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manufacture of the drug substance and drug product in accordance with the FDA’s cGMPs, along with required analytical and stability testing;</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submission to the FDA of an IND for human clinical testing, which must become effective before human clinical trials may begin;</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by an independent IRB, representing each clinical trial site before each clinical trial may be initiated;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of adequate and well-controlled human clinical trials, in accordance with current Good Clinical Practice requirements (“cGCPs”), necessary to establish the safety, potency and purity of the product candidate for each proposed indication;</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preparation and submission to the FDA of a BLA, requesting marketing approval for one or more proposed indications, including submission of detailed information on the manufacture and composition of the product and proposed labeling;</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one or more FDA inspections of the manufacturing facility or facilities, including those of third parties, at which the product, or components thereof, are produced to assess compliance with cGMPs and to assure that the facilities, methods and controls are adequate to preserve the product’s identity, strength, quality and purity;</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any FDA audits of the preclinical studies and clinical trial sites to assure compliance with GLPs and cGCPs, as applicable, and the integrity of clinical data in support of the BLA;</w:t>
      </w:r>
    </w:p>
    <w:p>
      <w:pPr>
        <w:spacing w:after="0" w:line="5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of user fees under the Prescription Drug User Fee Act (“PDUFA”), unless exempted;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FDA’s review and approval of the BLA, including consideration of the views of any FDA advisory committee, if applicable; and</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approved, compliance with any post-approval requirements, including the potential requirement to implement a REMS and any post-approval studies or other post-marketing commitments required by the FDA.</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Failure to comply with the applicable requirements at any time during the product development process, including preclinical testing, clinical testing, the approval process, or post-approval process, may subject an applicant to delays in the conduct of the study or regulatory review and approval, as well as administrative or judicial sanctions or other consequences. These sanctions or consequences may include, but are not limited to, the FDA’s refusal to allow an applicant to proceed with clinical testing, issuance of clinical holds for planned or ongoing studies, refusal to approve pending applications, suspension or revocation of existing product licenses or approvals, issuance of warning or untitled letters, adverse publicity, product recalls, marketing restrictions, product seizures, import detentions and refusals, total or partial suspension of manufacturing or distribution, injunctions, fines and civil or criminal investigations and penalties brought by the FDA or the Department of Justice (“DOJ”), and other governmental entities, including state agencies.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8" w:name="page139"/>
    <w:bookmarkEnd w:id="1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Preclinical Studies and Investigational New Drug Application</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Once a therapeutic product candidate is identified for development, it must undergo preclinical studies (also known as preclinical testing) before any testing may be conducted in humans. Preclinical tests include laboratory evaluations of product chemistry, formulation and stability, as well as studies to evaluate the potential for efficacy and toxicity in animals. The conduct of preclinical tests and formulation of the compounds for testing must comply with federal regulations and requirements, including GLPs. The results of the preclinical tests, together with manufacturing information, analytical data, and plans for the proposed clinical studies, are submitted to the FDA as part of an IND. Some preclinical testing may continue after an IND is submitted.</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An IND is a request for FDA authorization to administer an investigational new drug product to humans. The IND automatically becomes effective 30 days after receipt by the FDA, unless before that time the FDA raises concerns or questions about the product or the conduct of the proposed clinical trial, including concerns that human research subjects will be exposed to unreasonable health risks. In that case, the IND sponsor and the FDA must resolve any outstanding FDA concerns before the clinical trials can begin. As a result, submission of an IND may or may not result in FDA authorization to begin a clinical trial, or to begin a clinical trial on the terms originally specified by the sponsor in the IND.</w:t>
      </w:r>
    </w:p>
    <w:p>
      <w:pPr>
        <w:spacing w:after="0" w:line="9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At any time during the initial 30-day IND review period or while clinical trials are ongoing under the IND, the FDA may impose a partial or complete clinical hold. Clinical holds may be imposed by the FDA when there is concern for patient safety, and may be a result of new data, findings, or developments in clinical, preclinical, and/or chemistry, CMC or where there is non-compliance with regulatory requirements. This order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conducted, and the FDA must grant permission, either explicitly or implicitly, by not objecting before each clinical trial can begin.</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Human Clinical Trials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Clinical trials involve the administration of an investigational drug product to healthy volunteers or patients with the disease or condition to be treated under the supervision of qualified investigators. Clinical trials must be conducted in accordance with GCPs, which establish ethical and data integrity standards for clinical testing, as well as the requirements for informed consent.</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Clinical trials are conducted under protocols detailing, among other things, the objectives of the trial, dosing procedures,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8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FDA, IRB or the trial sponsor may suspend a clinical trial at any time on various grounds, including a finding that the trial is not being conducted in accordance with GCPs or IRB requirements or that research subjects or patients are being exposed to an unacceptable health risk. In addition, some clinical trials are overseen by an independent group of qualified experts organized by the sponsor, known as a data safety monitoring board or data monitoring committee. Depending on its charter, this group may recommend continuation of the trial as planned, changes in trial conduct, or cessation of the trial at designated check points based on certain available data from the trial.</w:t>
      </w:r>
    </w:p>
    <w:p>
      <w:pPr>
        <w:spacing w:after="0" w:line="10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9" w:name="page140"/>
    <w:bookmarkEnd w:id="13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under an IND, FDA may accept the results of the study in support of a BLA if the study was well-designed and conducted in accordance with GCPs, and the FDA is able to validate the data through an onsite inspection if deemed necessary.</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Clinical trials typically are conducted in three sequential phases, but the phases may overlap or be combined. Additional studies may be required after approval.</w:t>
      </w:r>
    </w:p>
    <w:p>
      <w:pPr>
        <w:spacing w:after="0" w:line="64" w:lineRule="exact"/>
        <w:rPr>
          <w:sz w:val="20"/>
          <w:szCs w:val="20"/>
          <w:color w:val="auto"/>
        </w:rPr>
      </w:pPr>
    </w:p>
    <w:p>
      <w:pPr>
        <w:jc w:val="both"/>
        <w:ind w:left="1600" w:right="1179" w:hanging="143"/>
        <w:spacing w:after="0" w:line="250"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1 clinical trials are initially conducted in a limited population of healthy subjects to test the product candidate for safety, including adverse effects, dose tolerance, absorption, metabolism, distribution, excretion and PD. In the case of some products designed to address severe or life-threatening diseases, initial human testing is often conducted in patients with the disease, especially when the product may be too inherently toxic to ethically administer to healthy volunteers.</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2 clinical trials are generally conducted in a limited patient population to identify possible adverse effects and safety risks, evaluate the preliminary efficacy of the product candidate for specific targeted indications and determine dose tolerance and recommended dosage. Multiple Phase 2 clinical trials may be conducted by the sponsor to obtain information prior to beginning larger and more costly Phase 3 clinical trials.</w:t>
      </w:r>
    </w:p>
    <w:p>
      <w:pPr>
        <w:spacing w:after="0" w:line="79"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3 clinical trials are generally undertaken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generally referred to as “pivotal,” however, for some investigational products, Phase 2 may be considered pivotal trials if such trials are expected to provide the clinical evidence needed to support a marketing application.</w:t>
      </w:r>
    </w:p>
    <w:p>
      <w:pPr>
        <w:spacing w:after="0" w:line="26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some cases, the FDA may approve a BLA for a product but require the sponsor to conduct additional clinical trials to further assess the product’s safety and effectiveness after approval. Such post-approval trials are typically referred to as confirmatory studies, or Phase 4 clinical trials. These studies are used to gain additional experience from the treatment of patients in the intended therapeutic indication and verify clinical benefit for products approved under accelerated approval regulations. Failure to exercise due diligence with regard to conducting required confirmatory studies could result in withdrawal of approval for products.</w:t>
      </w:r>
    </w:p>
    <w:p>
      <w:pPr>
        <w:spacing w:after="0" w:line="27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 xml:space="preserve">While the IND is active and before approval, progress reports detailing the results of the clinical trials and preclinical studies performed since the last progress report must be submitted at least annually to the FDA and written IND safety reports must be submitted to the FDA and the investigators for serious and unexpected suspected adverse events, findings from other studies or animal or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0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There are also requirements governing the reporting of ongoing clinical trials and clinical trial results to public registries. Sponsors of certain clinical trials of FDA-regulated products are required to register and disclose information about ongoing clinical trials, including information related to the drug, patient population, phase of investigation, trial sites and investigators. Sponsors are also obligated to disclose the results of completed clinical trials, other than Phase 1 clinical trials, within specific timeframes. Information about applicable clinical trials is published on www.ClinicalTrials.gov, a clinical trials database maintained by the National Institutes of Health.</w:t>
      </w:r>
    </w:p>
    <w:p>
      <w:pPr>
        <w:spacing w:after="0" w:line="9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During the development of a new biologic, sponsors are given opportunities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0" w:name="page141"/>
    <w:bookmarkEnd w:id="14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Compliance with cGMPs</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Concurrent with clinical trials, companies must finalize a process for manufacturing the product in commercial quantities in accordance with cGMPs.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products do not undergo unacceptable deterioration over their shelf life. Before approving a BLA, the FDA will typically inspect the facility or facilities where the product is manufactured. The FDA will not approve an application unless it determines that the manufacturing processes and facilities are in compliance with cGMPs and adequate to assure consistent production of the product within required specifications. The PHSA emphasizes the importance of manufacturing controls for products like biologics whose attributes cannot be precisely defined. Material changes in manufacturing equipment, location, or process post-approval, may result in additional regulatory review and approval.</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Review and Approval of a BLA</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results of clinical trials and preclinical studies, together with detailed information regarding the manufacturing processes, chemistry and composition of the product, the proposed labeling and other relevant information, are submitted to the FDA as part of a BLA requesting approval to market the product for one or more specified indications. Clinical and preclinical data may come from company -sponsored trials or from a number of alternative sources, including studies initiated by investigators, and the BLA must include any negative and ambiguous results, as well as positive findings. To support marketing approval, the data submitted must be sufficient in quality and quantity to establish the safety, purity, and potency of the investigational product to the satisfaction of the FDA. For most BLAs, the sponsor is required to pay a substantial application user fee at the time of submission and the sponsor of an approved BLA is subject to an annual program fee. Certain exceptions and waivers are available for some of these fees, such as an exception from the application fee for products with orphan designation and a waiver for certain small businesses.</w:t>
      </w:r>
    </w:p>
    <w:p>
      <w:pPr>
        <w:spacing w:after="0" w:line="234"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FDA has 60 days after submission of the application to conduct an initial review to determine whether to accept it for filing based on the agency’s threshold determination that it is sufficiently complete to permit substantive review. If the submission has been accepted for filing, the FDA begins an in-depth review of the application. Under the goals and policies agreed to by the FDA under PDUFA, the FDA has ten months from the filing date in which to complete its initial review of a standard application and respond to the applicant, and six months for a priority review of the application. The FDA does not always meet its PDUFA goal dates for standard and priority BLAs and the review process may be significantly extended by FDA requests for additional information or clarification. For example, the review process and the PDUFA goal date may be extended by three months if the FDA requests or if the applicant otherwise provides additional data, analysis or information that FDA deems a major amendment.</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During its review of a BLA,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if any. The FDA is not bound by the recommendations of an advisory committee, but it considers such recommendations carefully when making decisions.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 the basis of the FDA’s evaluation of the application and accompanying information, including the results of the inspection of the manufacturing facilities and any FDA audits of preclinical and clinical trial sites to assure compliance with GLPs or GCPs, the FDA may approve the BLA or issue a complete response letter. Under the PHSA, the FDA may approve a BLA if it determines the product is safe, pure, and potent, and that the facility in which the product will be manufactured, processed, packaged or held meets standards designed to assure the product’s continued safety, purity and potency. If FDA determines the product meets these standards, it may issue an approval letter authorizing the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A complete response letter may require additional clinical data and/or other</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1" w:name="page142"/>
    <w:bookmarkEnd w:id="14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significant and time-consuming requirements related to clinical trials, preclinical studies or manufacturing. Sponsors that receive a complete response letter have one year to submit information that represents a complete response to the deficiencies identified by the FDA. The FDA will then re-review the application, taking into consideration the response, and determine whether the application meets the criteria for approval. Failure to respond to a complete response letter will serve as a withdrawal of an application. The FDA will not approve an application until issues identified in any complete response letters have been addressed.</w:t>
      </w:r>
    </w:p>
    <w:p>
      <w:pPr>
        <w:spacing w:after="0" w:line="27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the FDA approves a new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(also known as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After approval, if there are any modifications to the approved product, including changes in the indications, dosage forms, labeling, or manufacturing processes or facilities, the sponsor may be required to submit and obtain FDA approval of a new BLA or BLA supplement, which may require the generation of additional data or the conduct of additional preclinical studies and clinical trials.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Post-Approval Regulation</w:t>
      </w:r>
    </w:p>
    <w:p>
      <w:pPr>
        <w:spacing w:after="0" w:line="11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Upon FDA approval of a BLA, the sponsor will be required to comply with all post-approval regulatory requirements for biologics, as well as any specific post-approval requirements that the FDA has imposed as part of the product or indication’s approval process. The sponsor will be required to report certain adverse reactions and production problems to the FDA, provide updated safety and efficacy information, obtain FDA approval for certain manufacturing and labeling changes, and comply with requirements concerning advertising and promotional labeling, record-keeping, and drug supply chain security. Manufacturers and certain of their subcontractors are required to register their establishments with the FDA and certain state agencies and are subject to periodic unannounced inspections for compliance with ongoing regulatory requirements, including cGMPs. Accordingly, the sponsor and its third-party manufacturers must continue to expend time, money and effort in the areas of production and quality control, as well as pharmacovigilance activities, to maintain compliance with cGMPs and other regulatory requirements.</w:t>
      </w:r>
    </w:p>
    <w:p>
      <w:pPr>
        <w:spacing w:after="0" w:line="102"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In addition, the FDA strictly regulates the marketing, labeling, advertising and promotion of prescription drug products, including biological products. These regulations include,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BLA is approved. Once a BLA is approved, the sponsor can make only those claims relating to safety, efficacy, purity and potency that are in accordance with the provisions of the approved label. In the United States, healthcare professionals are generally permitted to prescribe legally available drugs for uses that are not described in the product’s labeling and that differ from those approved by the FDA. Such off-label uses are common across medical specialties. The FDA does not regulate the practice of medicine or healthcare providers’ choice of treatments. However, FDA regulations do impose rigorous restrictions on manufacturers’ communications of off-label uses. Additionally, promotional materials for prescription drug products must be submitted to the FDA in conjunction with their first use.</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2" w:name="page143"/>
    <w:bookmarkEnd w:id="14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0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FDA may withdraw product approval if compliance with regulatory requirements and standards is not maintained or if issues occur after the product reaches the market. Later discovery of previously unknown issues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w:t>
      </w:r>
    </w:p>
    <w:p>
      <w:pPr>
        <w:spacing w:after="0" w:line="245" w:lineRule="exact"/>
        <w:rPr>
          <w:sz w:val="20"/>
          <w:szCs w:val="20"/>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the product, including total or partial suspension of production, or complete withdrawal of the product from the market;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safety alerts, Dear Healthcare Provider letters, press releases or other communications containing warnings or other safety information about the product;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warning letters or untitled letters;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of the FDA to approve pending applications or supplements to approved applications, or suspension or revocation of product license approvals;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 seizure or detention, or refusal to permit the import or export of products;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imposition of clinical holds on ongoing clinical trials;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mandated modification of promotional materials and labeling and the issuance of corrective information;</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 decrees, corporate integrity agreements, debarment or exclusion from federal healthcare programs; or</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injunctions or the imposition of civil or criminal penalties.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FDA Regulation of Combination Products</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Certain therapeutic products are comprised of multiple FDA-regulated components, such as drugs and medical devices, that are physically combined and produced as a single entity, packaged together in a single package, or packaged separately but intended to be labeled for use together. These products are known as combination products. We expect that obexelimab and our other product candidates packaged in a prefilled syringe or autoinjector would be subject to regulation as a combination product if consisting of a therapeutic biologic and a delivery device.</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constituent elements of such combination products would normally be subject to different FDA regulatory frameworks and regulated by different Centers at the FDA. Depending on the type of combination product, its approval, clearance or licensure may usually be obtained through the submission of a single marketing application; however, FDA could require separate marketing applications for individual constituent parts of the combination product which may require additional time, effort and information. Even when a single marketing application is required for a combination product, such as a BLA for a combination biologic and device product, both FDA’s Center for Biologics Evaluation and Research and FDA’s Center for Devices and Radiological Health may participate in the review. If a product candidate is considered a biologic-device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3" w:name="page144"/>
    <w:bookmarkEnd w:id="14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combination product, the sponsor will also need to comply with post-marketing regulatory requirements, including adverse event reporting and applicable portions of the FDA’s Quality System regulation, applicable to combination products.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Fast Track, Breakthrough Therapy and Priority Review Designations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FDA has several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FDA may designate a product for fast track designation if it is intended for the treatment of a serious or life- threatening disease or condition, and preclinical or clinical data demonstrate the potential to address unmet medical needs for such a disease or condition. For products with fast track designation, sponsors may have more frequent interactions with the FDA, the product is potentially eligible for accelerated approval and priority review, if relevant criteria are met, and the BLA may be eligible for “rolling review,” under which the FDA may consider sections of the BLA for review on a rolling basis before the complete application is submitted.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sections of the BLA, and the sponsor must pay any required user fees upon submission of the first section of the BLA. The FDA’s time goal for reviewing a fast track application does not begin until the last section of the application is submitted.</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designation includes all of the fast track program features, including eligibility for rolling review. Additionally, the FDA may take certain actions to expedite the development and review of breakthrough therapies, including holding meetings with the sponsor throughout the development process; providing timely advice to the product sponsor regarding development and approval; involving more senior staff managers in the review process; assigning a cross-disciplinary lead for the review team; and taking other steps to design the clinical trials in an efficient manner.</w:t>
      </w:r>
    </w:p>
    <w:p>
      <w:pPr>
        <w:spacing w:after="0" w:line="9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FDA may designate a product for priority review if it is a product that treats a serious condition and, if approved, would provide a significant improvement in safety or effectiveness when compared with other available therapies. A priority review designation is intended to direct the FDA’s attention and resources to the evaluation of such applications, and to shorten the FDA’s goal for taking action on an original BLA from ten months to six months from the filing date.</w:t>
      </w:r>
    </w:p>
    <w:p>
      <w:pPr>
        <w:spacing w:after="0" w:line="9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Fast track designation, breakthrough therapy designation, and priority review do not change the standards for approval but may expedite the development or approval process. Even if a drug qualifies for one or more of these programs, the FDA may later withdraw or rescind the designation if it decides that the drug no longer meets the conditions for qualification or decides that the time period for FDA review or approval will not be shortened.</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Accelerated Approval Pathway</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FDA may grant accelerated approval to a product candidate designed to treat a serious or life-threatening condition that provides a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4" w:name="page145"/>
    <w:bookmarkEnd w:id="14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on IMM or other clinical benefit, taking into account the severity, rarity or prevalence of the condition and the availability or lack of alternative treatments.</w:t>
      </w:r>
    </w:p>
    <w:p>
      <w:pPr>
        <w:spacing w:after="0" w:line="7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Products granted accelerated approval must meet the same statutory standards for safety and effectiveness as those granted traditional approval.</w:t>
      </w:r>
    </w:p>
    <w:p>
      <w:pPr>
        <w:spacing w:after="0" w:line="26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FDA’s approval of a candidate product under the accelerated approval pathway is usually contingent on a sponsor’s agreement to conduct post-approval confirmatory studies to verify and describe the product’s clinical benefit, and the FDA may require such studies to be underway prior to approval. Failure to conduct required post-approval studies, confirm a clinical benefit during post-marketing studies may result in the FDA’s withdrawal of the product from the market on an expedited basis. All promotional materials for therapeutic candidates approved under accelerated regulations are subject to prior review by the FDA.</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Orphan Drug Designation and Exclusivity</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drug or biologic for the disease or condition will be recovered from sales of the product in the United States.</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If orphan drug designation is granted by the FDA, the generic identity of the therapeutic agent and its potential orphan use are disclosed publicly by the FDA. After FDA grants orphan designation, the product must then go through the review and approval process like any other product.</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 Orphan drug exclusivity does not prevent the FDA from approving a different drug for the same disease or condition, or the same drug for a different disease or condition.</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The FDA has historically taken the position that the scope of orphan exclusivity aligns with the approved indication or use of a product, rather than the disease or condition for which the product received orphan designation. However, in </w:t>
      </w:r>
      <w:r>
        <w:rPr>
          <w:rFonts w:ascii="Times New Roman" w:cs="Times New Roman" w:eastAsia="Times New Roman" w:hAnsi="Times New Roman"/>
          <w:sz w:val="15"/>
          <w:szCs w:val="15"/>
          <w:i w:val="1"/>
          <w:iCs w:val="1"/>
          <w:color w:val="auto"/>
        </w:rPr>
        <w:t>Catalyst Pharms., Inc. v. Becerra</w:t>
      </w:r>
      <w:r>
        <w:rPr>
          <w:rFonts w:ascii="Times New Roman" w:cs="Times New Roman" w:eastAsia="Times New Roman" w:hAnsi="Times New Roman"/>
          <w:sz w:val="15"/>
          <w:szCs w:val="15"/>
          <w:color w:val="auto"/>
        </w:rPr>
        <w:t>, 14 F.4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1299 (11</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Cir. 2021), the court disagreed</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5" w:name="page146"/>
    <w:bookmarkEnd w:id="1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 xml:space="preserve">with this position, holding that orphan-drug exclusivity blocked the FDA’s approval of the same drug for all uses or indications within the same orphan -designated disease. On January 24, 2023, the FDA published a notice in the Federal Register to clarify that the FDA intends to continue to apply its longstanding interpretation of the regulations to all matters outside of the scope of the </w:t>
      </w:r>
      <w:r>
        <w:rPr>
          <w:rFonts w:ascii="Times New Roman" w:cs="Times New Roman" w:eastAsia="Times New Roman" w:hAnsi="Times New Roman"/>
          <w:sz w:val="15"/>
          <w:szCs w:val="15"/>
          <w:i w:val="1"/>
          <w:iCs w:val="1"/>
          <w:color w:val="auto"/>
        </w:rPr>
        <w:t>Catalyst</w:t>
      </w:r>
      <w:r>
        <w:rPr>
          <w:rFonts w:ascii="Times New Roman" w:cs="Times New Roman" w:eastAsia="Times New Roman" w:hAnsi="Times New Roman"/>
          <w:sz w:val="15"/>
          <w:szCs w:val="15"/>
          <w:color w:val="auto"/>
        </w:rPr>
        <w:t xml:space="preserve"> order and will continue tying the scope of orphan-drug exclusivity to the uses or indications for which a drug is approved. It is unclear how future litigation, legislation, agency decisions, and administrative actions will impact the scope of the orphan drug exclusivity.</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Development in Pediatric Patients</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Under the Pediatric Research Equity Act of 2003, a BLA or BLA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A sponsor who is planning to submit a marketing application for a product that includes a new active ingredient, new indication, new dosage form, new dosing regimen or new route of administration must submit a Pediatric Study Plan (“PSP”) that contains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FDA may, on its own initiative or at the request of the applicant, grant deferrals for submission of some or all pediatric data until after approval of the product for use in adults, or full or partial waivers from the pediatric data requirements. The FDA must send a non-compliance letter to any sponsor that fails to submit the required assessment, keep a deferral current or fails to submit a request for approval of a pediatric formulation. Unless otherwise required by regulation, the pediatric data requirements do not apply to products with orphan designation.</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Pediatric Exclusivity</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Pediatric exclusivity is a type of non-patent marketing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Biosimilars and Exclusivity</w:t>
      </w:r>
    </w:p>
    <w:p>
      <w:pPr>
        <w:spacing w:after="0" w:line="11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ACA, which was signed into law in March 2010, included the BPCIA. The BPCIA established a regulatory scheme authorizing the FDA to approve biosimilars and interchangeable biosimilars. A biosimilar is a biological product that is highly similar to an existing FDA- licensed “reference product.” 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in any given patient, and (for products administered multiple times to an individual) that the biologic and the reference biologic may be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10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6" w:name="page147"/>
    <w:bookmarkEnd w:id="1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 law also includes an extensive process for the innovator biologic and biosimilar manufacturer to litigate patent infringement, validity and enforceability prior to the approval of the biosimilar. Since the passage of the BPCIA, many states have passed laws or amendments to laws, including laws governing pharmacy practices, which are state regulated, to regulate the use of biosimilars.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U.S. Patent Term Restoration and Extension</w:t>
      </w:r>
    </w:p>
    <w:p>
      <w:pPr>
        <w:spacing w:after="0" w:line="11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the United States, a patent claiming a new biologic product, its method of use or its method of manufacture may be eligible for a limited patent term extension under the Hatch-Waxman Amendments,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Federal and State Data Privacy and Security Laws</w:t>
      </w:r>
    </w:p>
    <w:p>
      <w:pPr>
        <w:spacing w:after="0" w:line="11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and their covered subcontractors that obtain protected health information in providing services to or on behalf of covered entities or business associates.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0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Additionally, states, such as California, Virginia and Colorado have recently enacted the consumer privacy laws that grant rights to data subjects and place increased privacy and security obligations on entities handling personal data of consumers or households. While we are not currently subject to laws such as the CCPA, some observers note that the CCPA and similar legislation could mark the beginning of a trend toward more stringent privacy legislation in the United States, which could increase our potential liability and adversely affect our business.</w:t>
      </w:r>
    </w:p>
    <w:p>
      <w:pPr>
        <w:spacing w:after="0" w:line="9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7" w:name="page148"/>
    <w:bookmarkEnd w:id="14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we collect or otherwise process personal information, we may be subject to privacy or data protection laws that are in effect in such third countries foreign laws.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Regulation and Procedures Governing Approval of Medicinal Products in Europe</w:t>
      </w:r>
    </w:p>
    <w:p>
      <w:pPr>
        <w:spacing w:after="0" w:line="11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order to market any medicinal product outside of the United States, a company must also comply with numerous and varying regulatory requirements to generate relevant data for the purpose of establishing its quality, safety and efficacy. There are specific rules governing, among other things, clinical trials, marketing authorization, commercial sales and distribution of products. Regardless of the product approval status in the United States, an applicant will need to obtain the necessary approvals granted by the comparable foreign regulatory authorities before it can commence clinical trials or marketing of a medicinal product in those countries or jurisdictions.</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processes governing approval of medicinal products in the EU and UK generally adopt a similar approach to that applied in the United States. They entail satisfactory completion of preclinical studies and adequate and well-controlled clinical trials to establish the safety and efficacy of the product for each proposed indication. Data should be generated to demonstrate that a drug substance and a drug product can be manufactured and controlled according to the pre-specified quality standards. The data relating to quality, preclinical testing and clinical trials should be submitted to the relevant competent authorities in a marketing authorization application (“MAA”) for regulatory review in order to determine whether a marketing authorization can be granted. Even if a marketing authorization has been granted, there is a need to obtain a pricing and reimbursement decision before a new medicinal product can be marketed and sold in the EU and/or the UK (as applicable).</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Clinical Trial Approval</w:t>
      </w:r>
    </w:p>
    <w:p>
      <w:pPr>
        <w:spacing w:after="0" w:line="11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Pursuant to the currently applicable Regulation (EU) No 536/2014 (CTR) and Directive 2005/28/EC on GCP, an applicant must obtain approval from the national competent authority of an EU member state in which the clinical trial is to be conducted, or in multiple member states if the clinical trial is to be conducted in a number of member states. Furthermore, the applicant can only start a clinical trial at a specific site after a research ethics committee has issued a favorable opinion. The clinical trial application must be accompanied by an investigational medicinal product dossier with supporting information prescribed by the CTR and corresponding national laws of the member states. All suspected unexpected serious adverse reactions to the investigational medicinal product that occur during the clinical trial have to be reported to the national competent authorities and research ethics committees of the member state where they occurred.</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Pursuant to the CTR, a sponsor must submit a single application for a new clinical trial authorization through a centralized EU clinical trials portal called the Clinical Trials Information System (“CTIS”). One national competent authority (from the reporting EU member state selected by the applicant)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 By January 31, 2025, all ongoing trials approved under the CTD must comply with the CTR and information relating to such clinical trials must be recorded in CTIS. The CTR aims to streamline and simplify the rules on safety reporting, and introduces enhanced transparency requirements such as mandatory submission of a summary of the clinical trial results to the CTIS.</w:t>
      </w:r>
    </w:p>
    <w:p>
      <w:pPr>
        <w:spacing w:after="0" w:line="101"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UK formally left the EU on January 31, 2020, under the terms of the Agreement on the withdrawal of the UK of Great Britain and Northern Ireland from the EU and the European Atomic Energy Community (the EU-UK Withdrawal Agreement). Despite this, EU law continued to apply in the UK until the expiry of the transition period on 31 December 2020. Following the UK’s departure from the EU, the UK and the EU entered into a trade and cooperation agreement (“TCA”), which includes specific provisions concerning</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8" w:name="page149"/>
    <w:bookmarkEnd w:id="14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pharmaceuticals (such as the mutual recognition of cGMP inspections of manufacturing facilities for medicinal products and cGMP documents issued), but which does not provide for wholesale mutual recognition of UK and EU pharmaceutical regulations. At the point that the transition period expired, the Northern Ireland Protocol, which is contained in the EU-UK Withdrawal Agreement, took effect. The Northern Ireland Protocol makes certain provisions of EU law, including several concerning medicinal products, applicable in Northern Ireland. This position has recently been revised via the Windsor Framework. Under the Windsor Framework, from January 1, 2025, all new medicinal products for the UK market will be authorized by the UK’s Medicines and Healthcare products Regulatory Agency (“MHRA”) (see further below).</w:t>
      </w:r>
    </w:p>
    <w:p>
      <w:pPr>
        <w:spacing w:after="0" w:line="25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the UK, clinical trials of medicinal products are primarily governed by the Medicines for Human Use (Clinical Trials) Regulations 2004, as amended (the UK Regulations). The UK Regulations sought to implement the CTD while the UK was a member state of the EU. Since the CTR was not in force in the EU at the time when the UK exited the EU, it was not retained in UK law on exit day under the terms of the European Union (Withdrawal) Act 2018. Following a public consultation which was conducted in early 2022, the UK authorities are in the process of developing legislation which seeks to improve and strengthen the clinical trials regulatory regime in the UK. The extent to which the regulation of clinical trials in the UK will mirror the CTR is unknown at present.</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Accelerated Assessment Pathways</w:t>
      </w:r>
    </w:p>
    <w:p>
      <w:pPr>
        <w:spacing w:after="0" w:line="11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EU’s Priority Medicines (“PRIME”) scheme is intended to encourage drug development in areas of unmet medical need and facilitates accelerated assessment of medicinal products representing substantial innovation reviewed under the centralized procedure. Eligible products must target conditions for which there is an unmet medical need (there is no satisfactory method of diagnosis, prevention or treatment in the EEA or, if there is, the new medicine will bring a major therapeutic advantage) and they must demonstrate the potential to address the unmet medical need by, for example, introducing new methods of therapy or improving existing ones. Products from small- and medium-sized enterprises may qualify for earlier entry into the PRIME scheme. Many benefits accrue to sponsors of therapeutic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emergency medical assistance (“EMA”) contact and rapporteur from the Committee for Human Medicinal Products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0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UK’s Innovative Licensing and Access Pathway (“ILAP”) aims to accelerate the time to market of innovative medicinal products. It is open to both commercial and non-commercial applicants, who are based in the UK or global, and who are developing medicinal products which include products containing new chemical entities, biological medicinal products, new indications and repurposed medicinal products. It comprises of an Innovation Passport designation and a Target Development Profile, and provides applicants with access to a toolkit to support all stages of the design, development and approvals process. The major benefit of the ILAP scheme is that it provides applicants with opportunities for enhanced regulatory and stakeholder input during the development of their medicinal products.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Marketing Authorization</w:t>
      </w:r>
    </w:p>
    <w:p>
      <w:pPr>
        <w:spacing w:after="0" w:line="12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To obtain a marketing authorization for a medicinal product under the EU regulatory system,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Regulation (EC) No 1901/2006 provides that prior to obtaining a marketing authorization in the EU, an applicant must demonstrate compliance with all measures included in an EMA-approved Pediatric</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9" w:name="page150"/>
    <w:bookmarkEnd w:id="14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The respective requirements for all marketing authorization procedures are laid down in Regulation (EC) No 1901/2006, the so -called Paediatric Regulation. This requirement also applies when a company wants to add a new indication, pharmaceutical form or route of administration for a medicine that is already authorized. Products that are granted a marketing authorization with the results of the pediatric clinical trials conducted in accordance with the PIP (even where such results are negative) are eligible for a six months extension of their supplementary protection certificate. In the case of orphan medicinal products, a two-year extension of the orphan market exclusivity may be available. This pediatric reward is not automatically available and is subject to the EMA or the relevant national competent authorities confirming compliance with the agreed PIP.</w:t>
      </w:r>
    </w:p>
    <w:p>
      <w:pPr>
        <w:spacing w:after="0" w:line="23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centralized procedure provides for the grant of a single marketing authorization by the European Commission that is valid for all EU member states, as well as the additional member states of the EEA (Norway, Iceland and Liechtenstein). Pursuant to Regulation (EC) No 726/2004, the centralized procedure is compulsory for specific products, including for medicines developed by means of certain biotechnological processes (including, recombinant DNA technology, controlled expression of genes coding for biologically active proteins in prokaryotes and eukaryotes including transformed mammalian cells, and hybridoma and monoclonal antibody methods), products designated as orphan medicinal products, advanced therapy medicinal products (gene-therapy, somatic cell-therapy or tissue-engineered medicines) and products containing a new active substance indicated for the treatment of certain diseases, including products for the treatment of cancer, HIV / AIDS, neurodegenerative disorders, diabetes, auto-immune diseases and other immune dysfunctions, and viral diseases. The centralized procedure is optional for products containing a new active substance which was not authorized in the EU on May 20, 2004, or for products that constitute a significant therapeutic, scientific or technical innovation or which are in the interest of public health in the EU. An applicant for the centralized MA must demonstrate the quality, safety and efficacy of their products to the EMA for an opinion to be adopted regarding the approvability of the MAA. The European Commission grants or refuses marketing authorization in light of the opinion delivered by the EMA.</w:t>
      </w:r>
    </w:p>
    <w:p>
      <w:pPr>
        <w:spacing w:after="0" w:line="99"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Under the centralized procedure, the CHMP established within the EMA is responsible for conducting an initial assessment of a medicinal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the EMA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(excluding clock stops), but it is possible that the CHMP may revert to the standard time limit for the centralized procedure if it determines that it is no longer appropriate to conduct an accelerated assessment.</w:t>
      </w:r>
    </w:p>
    <w:p>
      <w:pPr>
        <w:spacing w:after="0" w:line="273"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National marketing authorizations, which are issued by the national competent authorities of the member states of the EEA and only cover their respective territory, are available for products not falling within the mandatory scope of the centralized procedure. Where a medicinal product has already been authorized for marketing in a member state of the EEA, this national authorization can be recognized in other member states through the mutual recognition procedure. If the product has not received a national authorization in any member state at the time of application, it can be approved simultaneously in various member states through the decentralized procedure.</w:t>
      </w:r>
    </w:p>
    <w:p>
      <w:pPr>
        <w:spacing w:after="0" w:line="10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For the time being, under the Northern Ireland Protocol, centralized marketing authorizations continue to provide a valid basis for commercializing medicinal products in Northern Ireland. However, centralized marketing authorizations no longer provide a valid basis for the commercialization of medicinal products in</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0" w:name="page151"/>
    <w:bookmarkEnd w:id="15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Great Britain. Pursuant to the Windsor Framework, from January 1, 2025, all new medicinal products for the UK market will be authorized by the MHRA. In this regard, the MHRA will grant a single UK-wide marketing authorization for all medicinal products intended for sale in the UK, enabling medicinal products to be sold in a single pack and under a single authorization throughout the UK.</w:t>
      </w:r>
    </w:p>
    <w:p>
      <w:pPr>
        <w:spacing w:after="0" w:line="9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Following its departure from the EU, the UK has introduced changes to its national licensing procedures, including procedures to prioritize access to new medicines that will benefit patients, ILAP (described above) and new routes of evaluation for novel products and biotechnological products. Notwithstanding that there is no wholesale recognition of EU pharmaceutical legislation under the TCA, and that EU marketing authorizations do not automatically provide a valid basis for the commercialization of medicinal products in Great Britain from January 1, 2024, applicants will be able to request the MHRA to recognize marketing authorizations granted in foreign jurisdictions (including the EU) under a new International Recognition Procedure.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Regulatory Data Protection in Europe</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the EU and the UK, new chemical entities (including both small molecules and biological medicinal products) and new biological substances approved on the basis of a complete independent data package consisting of quality, preclinical testing results and clinical trial data qualify for eight years of RDP upon grant of a marketing authorization and two years of marketing protection. Data protection prevents generic or biosimilar applicants from referencing the innovator’s preclinical and clinical trial data contained in the MAA dossier of the reference medicinal product when applying for a generic or biosimilar marketing authorization, for a period of eight years from the date on which the reference product was first authorized in the EU. During the two-year period of marketing protection, a generic or biosimilar MAA can be submitted, and the innovator’s data may be referenced. Even if a generic or biosimilar medicinal product is approved, it cannot be marketed until the expiration of the marketing protection. The ten-year protection period can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or a new biological entity so that the innovator gains the prescribed period of data protection, another company may market another version of the medicinal product if such company obtained marketing authorization based on an MAA with a complete and independent data package consisting of pharmaceutical and preclinical testing results and clinical trial data.</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Patent Term Extensions in the EU and Other Jurisdictions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EU also provides for patent term extension through SPCs which aim to offset the loss of patent protection for pharmaceutical products arising from the lengthy testing and clinical trials required to obtain an MA. The rules and requirements for obtaining a SPC are similar to those in the United States. An SPC may extend the term of a basic patent for up to five years after its originally scheduled expiration date in order to provide up to a maximum of fifteen years of exclusivity from the time the medicinal product in question first obtains an MA for it to be placed on the market. As mentioned above, in certain circumstances, these periods may be extended for six additional months if pediatric exclusivity is obtained; and in the case of orphan medicinal products, a two-year extension of the orphan market exclusivity may be available. Although SPCs are available throughout the EU, holders must apply the patent term extension on</w:t>
      </w:r>
    </w:p>
    <w:p>
      <w:pPr>
        <w:spacing w:after="0" w:line="6" w:lineRule="exact"/>
        <w:rPr>
          <w:sz w:val="20"/>
          <w:szCs w:val="20"/>
          <w:color w:val="auto"/>
        </w:rPr>
      </w:pPr>
    </w:p>
    <w:p>
      <w:pPr>
        <w:ind w:left="1160" w:right="1179" w:firstLine="4"/>
        <w:spacing w:after="0" w:line="249" w:lineRule="auto"/>
        <w:tabs>
          <w:tab w:leader="none" w:pos="1279"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country-by-country basis. Similar patent term extension rights exist in certain other foreign jurisdictions outside the EU.</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Orphan Drug Designation and Exclusivity</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Regulation (EC) No 141/2000 and Regulation (EC) No. 847/2000 provide that a medicinal product can be designated as an orphan medicinal product by the European Commission, upon satisfactory scientific assessment by the EMA’s Committee for Orphan Medicinal Products (“COMP”), if the sponsor can establish: (1) that the product is intended for the diagnosis, prevention or treatment of a life-threatening or chronically debilitating condition, where either (i) such condition affects not more than five in ten thousand persons in the EU when the application is made, or (ii) without incentives it is unlikely that the marketing of the drug in the EU would generate sufficient return to justify the necessary investment in its development, and (2) that there</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1" w:name="page152"/>
    <w:bookmarkEnd w:id="15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exists no satisfactory method of diagnosis, prevention or treatment of the condition in question that has been authorized in the EU or, if such method exists, the drug will be of significant benefit to those affected by that condition. In the UK, the MHRA conducts an equivalent assessment, against criteria which have been tailored for the UK population.</w:t>
      </w:r>
    </w:p>
    <w:p>
      <w:pPr>
        <w:spacing w:after="0" w:line="9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COMP is required to re-assess the granted orphan designation at the time of marketing authorization grant to ensure that it continues to meet the criteria for the designation to be maintained. Otherwise, the orphan designation can be revoked. In relation to the UK, the MHRA does not grant orphan designations during the development of the medicinal product. Instead, the MHRA will decide whether the criteria are satisfied at the point of marketing authorization grant. An orphan drug designation provides a number of benefits, including fee reductions, fee waivers, protocol assistance (as a type of scientific advice specific for orphan medicinal products) and the possibility to apply for a centralized EU marketing authorization. Marketing authorization for an orphan medicinal product benefits from a ten-year period of market exclusivity. During this period of market exclusivity, the European Commission, national competent authorities of the EU member states may only grant marketing authorization to a “similar medicinal product” for the same therapeutic indication if: (i) a second applicant can establish that its medicinal product, although similar to the authorized product, is safer, more effective or otherwise clinically superior;</w:t>
      </w:r>
    </w:p>
    <w:p>
      <w:pPr>
        <w:spacing w:after="0" w:line="2" w:lineRule="exact"/>
        <w:rPr>
          <w:sz w:val="20"/>
          <w:szCs w:val="20"/>
          <w:color w:val="auto"/>
        </w:rPr>
      </w:pPr>
    </w:p>
    <w:p>
      <w:pPr>
        <w:jc w:val="both"/>
        <w:ind w:left="1160" w:right="1179" w:firstLine="4"/>
        <w:spacing w:after="0"/>
        <w:tabs>
          <w:tab w:leader="none" w:pos="141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period of marketing protection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 Orphan medicinal product designation does not convey any advantage in, or shorten the duration of, the regulatory review and approval process. Following the UK’s exit from the EU, the MHRA continues to apply the same orphan market exclusivity framework as the EU.</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Periods of Authorization and Renewals</w:t>
      </w:r>
    </w:p>
    <w:p>
      <w:pPr>
        <w:spacing w:after="0" w:line="11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 marketing authorization is valid for five years, in principle, and it may be renewed indefinitely after five years on the basis of a reevaluation of the risk-benefit balance by the EMA, the competent authority of the authorizing member state, or the MHRA. To that end, the marketing authorization holder must provide the EMA, the relevant national competent authority, or the MHRA with a consolidated version of the file in respect of quality, safety and efficacy, including all variations introduced since the marketing authorization was granted, at least six months before the marketing authorization expiry date. Once renewed, the marketing authorization is valid for an unlimited period, unless the European Commission, the relevant national competent authority, or the MHRA decides, on justified grounds relating to pharmacovigilance, to proceed with one additional five-year renewal period. Any marketing authorization ceases to be valid if it is not followed by the placement of the medicinal product on the EU market (in the case of the centralized procedure), on the market of the authorizing member state (in the case of a national procedure), or the UK market (as applicable), within three years after grant of such an authorization.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Regulatory Requirements After Marketing Authorization</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These include compliance with stringent pharmacovigilance rules, pursuant to which post-authorization studies and additional monitoring obligations can be imposed. In addition, manufacture and control must also be conducted in strict compliance with cGMP requirements and comparable requirements of other regulatory bodies in the EU and UK. cGMP requirements apply to the methods, facilities and controls used in manufacturing, processing and packing of drugs against the quality standards appropriate to the intended use of a medicinal product and as required by the marketing authorization, clinical trial authorization or product specification.</w:t>
      </w:r>
    </w:p>
    <w:p>
      <w:pPr>
        <w:spacing w:after="0" w:line="9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Much like the federal healthcare program anti-kickback law in the United States, the provision of benefits or advantages to physicians to induce or encourage the prescription, recommendation, endorsement, purchase,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2" w:name="page153"/>
    <w:bookmarkEnd w:id="15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supply, order or use of medicinal products is also prohibited in the EU and the UK. The provision of benefits or advantages to induce or reward improper performance generally is governed by the national anti-bribery laws of EU member states and the Bribery Act 2010 in the UK. Infringement of these laws could result in substantial fines and imprisonment. Applicable law in Europe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Pursuant to national laws, industry codes or professional codes of conduct payments made to physicians in certain EU member states and the UK must be publicly disclosed. Moreover, agreements with physicians often must be the subject of prior notification and approval by the physician’s employer, his or her competent professional organization and/or the regulatory authorities of the individual EU member states, or the UK (as applicable). Failure to comply with these requirements could result in reputational risk, public reprimands, administrative penalties, fines or imprisonment.</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and the UK. Although general requirements for advertising and promotion of medicinal products are established under Directive 2001/83/EC, which was transposed into national law in the UK via the Human Medicines Regulations 2012, the details are governed by regulations in each European jurisdiction and can differ from one country to another.</w:t>
      </w:r>
    </w:p>
    <w:p>
      <w:pPr>
        <w:spacing w:after="0" w:line="30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General Data Protection Regulation</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processing of personal data regarding individuals in the EU, including personal health data, is regulated by Regulation (EU) 2016/679, which took effect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us to change our business practices to ensure full compliance.</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 compliance with the UK GDPR may result in monetary penalties of up to £17.5 million or 4% of worldwide revenue, whichever is higher.</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Coverage and Reimbursement</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Significant uncertainty exists as to the coverage and reimbursement status of any product candidates for which we may seek regulatory approval by the FDA or other government authorities. 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authorities or programs, private health insurers and other organizations. Even if coverage</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3" w:name="page154"/>
    <w:bookmarkEnd w:id="15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is provided, the approved reimbursement amount may not be high enough to allow us to establish or maintain pricing sufficient to realize a sufficient return on our investment.</w:t>
      </w:r>
    </w:p>
    <w:p>
      <w:pPr>
        <w:spacing w:after="0" w:line="7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Government authorities and other third-party payors, such as private health insurers and health maintenance organizations, decide which medications they will pay for and establish reimbursement levels.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 Additionally, if a companion diagnostic test is developed for use with a drug product, any coverage and reimbursement for that test would be separate and apart from the coverage and reimbursement sought for such product. A lack of coverage or adequate reimbursement for such a test could adversely affect access to a drug product.</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Within the U.S., third-party payors are increasingly seeking to control drug costs by examining the cost-effectiveness of new products and services in addition to their safety and efficacy; managing drug utilization and challenging the price of drugs. To obtain or maintain coverage and reimbursement for any future product, we may need to conduct expensive pharmacoeconomic studies to demonstrate the medical necessity and cost -effectiveness of our product. These studies will be in addition to the studies required to obtain regulatory approvals. Third-party payors may limit coverage of product by, for example, only covering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or otherwise restricting coverage of a product even if used consistent with its approved indication. Manufacturers of marketed drugs may be required to provide discounts or rebates under government healthcare programs or to certain government and private purchasers in order to obtain coverage under federal healthcare programs such as Medicaid. More generally, price concessions may need to be offered to third party payors to obtain favorable coverage or to purchasers to achieve sales. Arrangements with third party payors or purchasers may include value -based arrangements under which the amount paid for products depends on the performance of the product. Net prices for drugs may be further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9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medicinal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Healthcare Reform</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Payors, whether domestic or foreign, or governmental or private, are developing increasingly sophisticated methods of controlling healthcare costs and those methods are not always specifically adapted for therapies addressing rare diseases such as those we are developing. In both the United States and certain foreign jurisdictions, there have been a number of legislative and regulatory changes to the healthcare system that could impact our ability to sell our product candidates profitably if and when approved for marketing. In particular, in 2010, the ACA was enacted, which, among other things, subjected biologic products to potential</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4" w:name="page155"/>
    <w:bookmarkEnd w:id="1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More generally, the ACA expanded healthcare coverage through Medicaid expansion and the implementation of the “individual mandate” for health insurance coverage.</w:t>
      </w:r>
    </w:p>
    <w:p>
      <w:pPr>
        <w:spacing w:after="0" w:line="9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Beyond the ACA, there have been ongoing healthcare reform efforts. Drug pricing and payment reform was a focus of the Trump administration and has been a focus of the Biden administration. For example, federal legislation enacted in 2021 eliminates the statutory cap on Medicaid drug rebate program rebates (currently set at 100% of a drug’s “average manufacturer price”), effective January 1, 2024. As another example, the IRA,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ACA Medicare Part D coverage gap discount program) and a drug price negotiation program for certain high spend Medicare Part B and D drugs (with the first list of drugs announced in 2023). The IRA changes have varying implementation dates that start in 2022. On August 29, 2023, HHS announced the list of the first ten drugs that will be subject to price negotiations. The focus on healthcare reform, including reform of drug pricing and payment, has continued in the wake of the IRA. For example, in 2022, subsequent to the enactment of the IRA, the Biden administration released an executive order directing the HHS to report on how the Center for Medicare and Medicaid Innovation (“CMMI”) could be leveraged to test new models for lowering drug costs for Medicare and Medicaid beneficiaries. The report was issued in 2023 and proposed various models that CMMI is currently developing which seek to lower the cost of drugs, promote accessibility and improve quality of care. Further, in December 2023, the Biden administration announced an initiative to control the price of prescription drugs through the use of march-in rights under the Bayh-Dole Act (which allow the government, in specified circumstances, to grant or require a patent-holder of technology funded by the federal government to grant a license to certain third parties). The announcement was followed by publication of Draft Interagency Guidance Framework for Considering the Exercise of March-In Rights which for the first time includes the price of a product as one factor an agency can use when deciding to exercise march-in rights. While march-in rights have not previously been exercised, given these actions, there can be no certainty that such rights will not be exercised in the future.</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There have also been efforts by federal and state government officials or legislators to implement measures to regulate prices or payment for pharmaceutical products, including legislation on drug importation.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Section 804 Importation Program (“SIP”) proposals that are pending review by the FDA. Any such approved importation plans, when implemented, may result in lower drug prices for products covered by those programs. Recently, there has been considerable public and government scrutiny of pharmaceutical pricing and proposals to address the perceived high cost of</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5" w:name="page156"/>
    <w:bookmarkEnd w:id="15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pharmaceuticals. There have also been recent state legislative efforts to address drug costs, which generally have focused on increasing transparency around drug costs or limiting drug prices.</w:t>
      </w:r>
    </w:p>
    <w:p>
      <w:pPr>
        <w:spacing w:after="0" w:line="7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Adoption of new legislation at the federal or state level could affect demand for, or pricing of, any future products if approved for sale. We cannot, however, predict the ultimate content, timing or effect of any federal and state reform efforts. There is no assurance that federal or state healthcare reform will not adversely affect our future business and financial results.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Healthcare Laws</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Pharmaceutical companies are subject to additional healthcare regulation and enforcement by the federal government and by authorities in the states and foreign jurisdictions in which they conduct their business that may constrain how we conduct our business, including the financial arrangements and relationships through which we research, as well as sell, market and distribute any products for which we obtain marketing authorization. Restrictions under applicable federal and state healthcare laws and regulations, some of which will apply only if and when we receive marketing approval for a product candidate, include the following:</w:t>
      </w:r>
    </w:p>
    <w:p>
      <w:pPr>
        <w:spacing w:after="0" w:line="229" w:lineRule="exact"/>
        <w:rPr>
          <w:sz w:val="20"/>
          <w:szCs w:val="20"/>
          <w:color w:val="auto"/>
        </w:rPr>
      </w:pPr>
    </w:p>
    <w:p>
      <w:pPr>
        <w:jc w:val="both"/>
        <w:ind w:left="1600" w:right="1179" w:hanging="143"/>
        <w:spacing w:after="0" w:line="252"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55"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anti-kickback statute;</w:t>
      </w:r>
    </w:p>
    <w:p>
      <w:pPr>
        <w:spacing w:after="0" w:line="57"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HIPAA, which, in addition to privacy protections applicable to healthcare providers and other entities, prohibits executing a scheme to defraud any healthcare benefit program or making false statements relating to healthcare matters;</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FDCA, which among other things, strictly regulates drug marketing, prohibits manufacturers from marketing such products for off-label use and regulates the distribution of samples;</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so-called “federal sunshine” law, which requires pharmaceutical and medical device companies to monitor and report certain financial interactions with physicians, certain non-physician practitioners and teaching hospitals to the federal government for re-disclosure to the public;</w:t>
      </w:r>
    </w:p>
    <w:p>
      <w:pPr>
        <w:spacing w:after="0" w:line="39"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57"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9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Some state laws require pharmaceutical companies to comply with specific compliance standards, restrict financial interactions between pharmaceutical companies and healthcare providers or require pharmaceutical</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6" w:name="page157"/>
    <w:bookmarkEnd w:id="1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72" w:lineRule="auto"/>
        <w:rPr>
          <w:sz w:val="20"/>
          <w:szCs w:val="20"/>
          <w:color w:val="auto"/>
        </w:rPr>
      </w:pPr>
      <w:r>
        <w:rPr>
          <w:rFonts w:ascii="Times New Roman" w:cs="Times New Roman" w:eastAsia="Times New Roman" w:hAnsi="Times New Roman"/>
          <w:sz w:val="15"/>
          <w:szCs w:val="15"/>
          <w:color w:val="auto"/>
        </w:rPr>
        <w:t>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8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3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Facilities</w:t>
      </w:r>
    </w:p>
    <w:p>
      <w:pPr>
        <w:spacing w:after="0" w:line="115"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Our corporate headquarters is located in Waltham, Massachusetts, where we lease and occupy 11,971 square feet of office space. Our Waltham lease has a lease term of 3.3 years with total fixed payments of approximately $1.8 million over that period. The current term of our Waltham lease expires on June 30, 2025. We will seek to find new office space to occupy upon the expiration of our Waltham lease.</w:t>
      </w:r>
    </w:p>
    <w:p>
      <w:pPr>
        <w:spacing w:after="0" w:line="90"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On June 28, 2022, we also entered into a lease agreement for 5,127 square feet of office space in Shanghai, PRC. Our Shanghai lease has a term of 3.0 years with total fixed payments of $0.8 million over that period. The current term of our Shanghai lease expires on September 9, 2025. Our Shanghai lease also includes an option to extend the term with at least six months’ notice and rent set at an agreed upon market rate.</w:t>
      </w:r>
    </w:p>
    <w:p>
      <w:pPr>
        <w:spacing w:after="0" w:line="91" w:lineRule="exact"/>
        <w:rPr>
          <w:sz w:val="20"/>
          <w:szCs w:val="20"/>
          <w:color w:val="auto"/>
        </w:rPr>
      </w:pPr>
    </w:p>
    <w:p>
      <w:pPr>
        <w:jc w:val="both"/>
        <w:ind w:left="1160" w:right="1179" w:firstLine="293"/>
        <w:spacing w:after="0" w:line="284" w:lineRule="auto"/>
        <w:rPr>
          <w:sz w:val="20"/>
          <w:szCs w:val="20"/>
          <w:color w:val="auto"/>
        </w:rPr>
      </w:pPr>
      <w:r>
        <w:rPr>
          <w:rFonts w:ascii="Times New Roman" w:cs="Times New Roman" w:eastAsia="Times New Roman" w:hAnsi="Times New Roman"/>
          <w:sz w:val="15"/>
          <w:szCs w:val="15"/>
          <w:color w:val="auto"/>
        </w:rPr>
        <w:t>To meet the future needs of our business, we may lease additional or alternate space, and we believe suitable additional or alternative space will be available in the future on commercially reasonable terms.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Employees and Human Capital Resources</w:t>
      </w:r>
    </w:p>
    <w:p>
      <w:pPr>
        <w:spacing w:after="0" w:line="115"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As of May 15, 2024, we had 107 full-time employees, consisting of clinical, scientific, development, technical operations, regulatory, finance, legal and operational personnel. None of our employees is represented by labor unions or subject to a collective bargaining agreement. Our employees in China are subject to employment contracts which contain customary notice periods. We consider our relationship with our employees to be good.</w:t>
      </w:r>
    </w:p>
    <w:p>
      <w:pPr>
        <w:spacing w:after="0" w:line="91"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Of our 107 full-time employees as of May 15, 2024, 14 were located in China and consisted of clinical, technical operations, regulatory, finance and human resources personnel. Our China-based employees support clinical operations and regulatory matters related to ZB001 and obexelimab in China and technical operations, with all functions in China reporting to management in the U.S. 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spacing w:after="0" w:line="84" w:lineRule="exact"/>
        <w:rPr>
          <w:sz w:val="20"/>
          <w:szCs w:val="20"/>
          <w:color w:val="auto"/>
        </w:rPr>
      </w:pPr>
    </w:p>
    <w:p>
      <w:pPr>
        <w:jc w:val="both"/>
        <w:ind w:left="1600" w:right="1179" w:hanging="143"/>
        <w:spacing w:after="0" w:line="251" w:lineRule="auto"/>
        <w:tabs>
          <w:tab w:leader="none" w:pos="1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Talent development, compensation, and retention</w:t>
      </w:r>
      <w:r>
        <w:rPr>
          <w:rFonts w:ascii="Times New Roman" w:cs="Times New Roman" w:eastAsia="Times New Roman" w:hAnsi="Times New Roman"/>
          <w:sz w:val="15"/>
          <w:szCs w:val="15"/>
          <w:color w:val="auto"/>
        </w:rPr>
        <w:t>: Our human capital resources objectives include,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applicable, identifying, recruiting, retaining, incentivizing and integrating our existing and future employees. Our compensation program is designed to retain, motivate and attract highly qualified employees. Accordingly, we use a mix of competitive base salary, cash-based annual incentive compensation, performance-based equity compensation awards and other employee benefits.</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Health and safety</w:t>
      </w:r>
      <w:r>
        <w:rPr>
          <w:rFonts w:ascii="Times New Roman" w:cs="Times New Roman" w:eastAsia="Times New Roman" w:hAnsi="Times New Roman"/>
          <w:sz w:val="15"/>
          <w:szCs w:val="15"/>
          <w:color w:val="auto"/>
        </w:rPr>
        <w:t>: We value the health and safety of our employees and provide comprehensive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insurance benefits, an employee assistance program, paid holidays, a personal time-off program, and other benefits which are intended to assist employees to manage their well-being.</w:t>
      </w:r>
    </w:p>
    <w:p>
      <w:pPr>
        <w:spacing w:after="0" w:line="69"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Inclusion and diversity</w:t>
      </w:r>
      <w:r>
        <w:rPr>
          <w:rFonts w:ascii="Times New Roman" w:cs="Times New Roman" w:eastAsia="Times New Roman" w:hAnsi="Times New Roman"/>
          <w:sz w:val="15"/>
          <w:szCs w:val="15"/>
          <w:color w:val="auto"/>
        </w:rPr>
        <w:t>: We are committed to efforts to increase diversity and foster an inclusive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professional environment that supports our workforce.</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7" w:name="page158"/>
    <w:bookmarkEnd w:id="15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2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From time to time, we may become involved in litigation or other legal proceedings incidental to our business. We are not currently a party to any litigation or legal proceedings. Regardless of outcome, litigation can have an adverse impact on our reputation, financial condition and business, including by utilizing our resources and potentially diverting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8" w:name="page159"/>
    <w:bookmarkEnd w:id="15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Executive Officers and Directors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information regarding our executive officers and directors as of May 10, 2024:</w:t>
      </w:r>
    </w:p>
    <w:tbl>
      <w:tblPr>
        <w:tblLayout w:type="fixed"/>
        <w:tblInd w:w="1160" w:type="dxa"/>
        <w:tblCellMar>
          <w:top w:w="0" w:type="dxa"/>
          <w:left w:w="0" w:type="dxa"/>
          <w:bottom w:w="0" w:type="dxa"/>
          <w:right w:w="0" w:type="dxa"/>
        </w:tblCellMar>
      </w:tblPr>
      <w:tr>
        <w:trPr>
          <w:trHeight w:val="254"/>
        </w:trPr>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240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gridSpan w:val="3"/>
          </w:tcPr>
          <w:p>
            <w:pPr>
              <w:spacing w:after="0" w:line="234"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perscript"/>
              </w:rPr>
              <w:t>Age</w:t>
            </w:r>
            <w:r>
              <w:rPr>
                <w:rFonts w:ascii="Times New Roman" w:cs="Times New Roman" w:eastAsia="Times New Roman" w:hAnsi="Times New Roman"/>
                <w:sz w:val="12"/>
                <w:szCs w:val="12"/>
                <w:b w:val="1"/>
                <w:bCs w:val="1"/>
                <w:color w:val="auto"/>
              </w:rPr>
              <w:t xml:space="preserve"> ​ ​</w:t>
            </w:r>
          </w:p>
        </w:tc>
        <w:tc>
          <w:tcPr>
            <w:tcW w:w="20" w:type="dxa"/>
            <w:vAlign w:val="bottom"/>
          </w:tcPr>
          <w:p>
            <w:pPr>
              <w:spacing w:after="0"/>
              <w:rPr>
                <w:sz w:val="22"/>
                <w:szCs w:val="22"/>
                <w:color w:val="auto"/>
              </w:rPr>
            </w:pPr>
          </w:p>
        </w:tc>
        <w:tc>
          <w:tcPr>
            <w:tcW w:w="3320" w:type="dxa"/>
            <w:vAlign w:val="bottom"/>
          </w:tcPr>
          <w:p>
            <w:pPr>
              <w:jc w:val="right"/>
              <w:ind w:right="1361"/>
              <w:spacing w:after="0"/>
              <w:rPr>
                <w:sz w:val="20"/>
                <w:szCs w:val="20"/>
                <w:color w:val="auto"/>
              </w:rPr>
            </w:pPr>
            <w:r>
              <w:rPr>
                <w:rFonts w:ascii="Times New Roman" w:cs="Times New Roman" w:eastAsia="Times New Roman" w:hAnsi="Times New Roman"/>
                <w:sz w:val="12"/>
                <w:szCs w:val="12"/>
                <w:b w:val="1"/>
                <w:bCs w:val="1"/>
                <w:color w:val="auto"/>
              </w:rPr>
              <w:t>Position(s)</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6"/>
        </w:trPr>
        <w:tc>
          <w:tcPr>
            <w:tcW w:w="30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215"/>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Executive Officers and Employee Directors:</w:t>
            </w:r>
          </w:p>
        </w:tc>
        <w:tc>
          <w:tcPr>
            <w:tcW w:w="2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3520" w:type="dxa"/>
            <w:vAlign w:val="bottom"/>
            <w:gridSpan w:val="3"/>
            <w:shd w:val="clear" w:color="auto" w:fill="CCEEFF"/>
          </w:tcPr>
          <w:p>
            <w:pPr>
              <w:jc w:val="right"/>
              <w:ind w:right="3241"/>
              <w:spacing w:after="0"/>
              <w:rPr>
                <w:sz w:val="20"/>
                <w:szCs w:val="20"/>
                <w:color w:val="auto"/>
              </w:rPr>
            </w:pPr>
            <w:r>
              <w:rPr>
                <w:rFonts w:ascii="Times New Roman" w:cs="Times New Roman" w:eastAsia="Times New Roman" w:hAnsi="Times New Roman"/>
                <w:sz w:val="15"/>
                <w:szCs w:val="15"/>
                <w:b w:val="1"/>
                <w:bCs w:val="1"/>
                <w:color w:val="auto"/>
              </w:rPr>
              <w:t>​ ​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Leon O. Moulder, Jr.</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5"/>
                <w:szCs w:val="15"/>
                <w:color w:val="auto"/>
              </w:rPr>
            </w:pPr>
          </w:p>
        </w:tc>
        <w:tc>
          <w:tcPr>
            <w:tcW w:w="372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​​66 ​ ​ Chief Executive Officer and Chairman of the Board</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 Directors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Joseph Farmer</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6"/>
                <w:szCs w:val="16"/>
                <w:color w:val="auto"/>
              </w:rPr>
            </w:pPr>
          </w:p>
        </w:tc>
        <w:tc>
          <w:tcPr>
            <w:tcW w:w="3720" w:type="dxa"/>
            <w:vAlign w:val="bottom"/>
            <w:tcBorders>
              <w:bottom w:val="single" w:sz="8" w:color="CCEE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 President and Chief Operating Officer</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Jennifer Fox</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9"/>
                <w:szCs w:val="19"/>
                <w:color w:val="auto"/>
              </w:rPr>
            </w:pPr>
          </w:p>
        </w:tc>
        <w:tc>
          <w:tcPr>
            <w:tcW w:w="372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Chief Business Officer and Chief Financial Officer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Tanya Z. Fischer, M.D., Ph.D.</w:t>
            </w:r>
          </w:p>
        </w:tc>
        <w:tc>
          <w:tcPr>
            <w:tcW w:w="2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​​51 ​ ​ Head of Research and Development and Chief</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30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Medical Officer</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2"/>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Non-Employee Directors:</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3340" w:type="dxa"/>
            <w:vAlign w:val="bottom"/>
            <w:gridSpan w:val="2"/>
          </w:tcPr>
          <w:p>
            <w:pPr>
              <w:jc w:val="right"/>
              <w:ind w:right="3241"/>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Patricia Allen</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Director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Boylan</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37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0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Patrick Enright</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Tomas Kiselak</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37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​37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0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Hongbo Lu, Ph.D.</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Jake Nunn</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37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0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John Orloff, M.D.</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​66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Tim Xiao</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4"/>
                <w:szCs w:val="24"/>
                <w:color w:val="auto"/>
              </w:rPr>
            </w:pPr>
          </w:p>
        </w:tc>
        <w:tc>
          <w:tcPr>
            <w:tcW w:w="3720" w:type="dxa"/>
            <w:vAlign w:val="bottom"/>
            <w:gridSpan w:val="4"/>
          </w:tcPr>
          <w:p>
            <w:pPr>
              <w:ind w:left="2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​37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Director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Executive Officers and Employee Director</w:t>
      </w:r>
    </w:p>
    <w:p>
      <w:pPr>
        <w:spacing w:after="0" w:line="10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Leon O. Moulder, Jr., </w:t>
      </w:r>
      <w:r>
        <w:rPr>
          <w:rFonts w:ascii="Times New Roman" w:cs="Times New Roman" w:eastAsia="Times New Roman" w:hAnsi="Times New Roman"/>
          <w:sz w:val="15"/>
          <w:szCs w:val="15"/>
          <w:color w:val="auto"/>
        </w:rPr>
        <w:t>is our Founder, has served as our Chief Executive Officer since August 2023,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our Chairman and a member of our board of directors since 2020. He has also been the Managing Member of Tellus BioVentures, LLC (“Tellus”), an early -stage life sciences investment fund, since March 2019. Prior to establishing Tellus, he cofounded TESARO, a fully-integrated Boston-based oncology-focused biopharmaceutical company (“TESARO”), and served as Chief Executive Officer and director from March 2010 until its acquisition by GlaxoSmithKline in January 2019. Mr. Moulder previously served as President, Chief Executive Officer and Vice Chairman of Abraxis BioScience Inc. (“Abraxis”) from 2009 to 2010. Prior to Abraxis, he served as Vice Chairman of Eisai Corporation of North America following Eisai’s acquisition of MGI PHARMA, where he served as President and Chief Executive Officer. This followed him serving as a member of the founding management team of Eligix Inc., a venture-stage biotech company. Mr. Moulder began his career as a clinical pharmacist followed by a 17-year career at predecessor companies of Sanofi S.A. (Nasdaq: SNY), beginning with Marion Laboratories Inc. Mr. Moulder is a Temple University Trustee and Chair of Temple University Japan. He is a Council Member for both the University of Chicago Booth School of Business and the Polsky Center for Entrepreneurship and Innovation. Mr. Moulder serves on the board of directors of Zai Lab Ltd. (Nasdaq: ZLAB) (“Zai Lab”), Helsinn Group and Trevena Inc. (Nasdaq: TRVN) and for several Tellus portfolio companies, including Dianthus (Nasdaq: DNTH). Mr. Moulder received a Pharmacy degree from Temple University and an M.B.A. from The University of Chicago Booth School of Business. We believe Mr. Moulder is qualified to serve as a director of the Company because of his extensive experience serving on other public company boards, investing in life sciences companies, and management experience at public biopharmaceutical companies.</w:t>
      </w:r>
    </w:p>
    <w:p>
      <w:pPr>
        <w:spacing w:after="0" w:line="20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Joseph Farmer, </w:t>
      </w:r>
      <w:r>
        <w:rPr>
          <w:rFonts w:ascii="Times New Roman" w:cs="Times New Roman" w:eastAsia="Times New Roman" w:hAnsi="Times New Roman"/>
          <w:sz w:val="15"/>
          <w:szCs w:val="15"/>
          <w:color w:val="auto"/>
        </w:rPr>
        <w:t>has served as our President and Chief Operating Officer since February 2022,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served as our Chief Business and Administrative Officer from April 2021 to February 2022. Mr. Farmer is an experienced biopharma executive with over 25 years of transactional and operational experience working with emerging biotechnology companies at all stages of development, from discovery through commercialization. Prior to joining Zenas, he served as Chief Operating Officer at Xilio Therapeutics, Inc.</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9" w:name="page160"/>
    <w:bookmarkEnd w:id="1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(Nasdaq: XLO), an immuno-oncology company, where he led the general and administrative, business development, and business operations functions from May 2019 until March 2021. Prior to Xilio Therapeutics, he was the General Counsel and Corporate Secretary at TESARO, where he led the global legal, compliance and government affairs functions and was a key member of the leadership team from 2015 through its acquisition by GlaxoSmithKline in January 2019. He previously served as Chief Corporate Counsel at Cubist Pharmaceuticals Inc., from 2012 through its acquisition by Merck &amp; Co. in 2015 and as General Counsel at two publicly traded companies, including AMAG Pharmaceuticals Inc., where he was also the Chief Administrative Officer. He began his career as a corporate attorney at Testa Hurwitz &amp; Thibeault LLP. Mr. Farmer received his J.D. from Boston College Law School and his B.A. in economics from Boston University.</w:t>
      </w:r>
    </w:p>
    <w:p>
      <w:pPr>
        <w:spacing w:after="0" w:line="24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Jennifer Fox, </w:t>
      </w:r>
      <w:r>
        <w:rPr>
          <w:rFonts w:ascii="Times New Roman" w:cs="Times New Roman" w:eastAsia="Times New Roman" w:hAnsi="Times New Roman"/>
          <w:sz w:val="15"/>
          <w:szCs w:val="15"/>
          <w:color w:val="auto"/>
        </w:rPr>
        <w:t>has served as our Chief Business Officer and Chief Financial Officer since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December 2023. Previously, Ms. Fox served as Chief Financial Officer at Nuvation Bio, Inc. (NYSE: NUVB), an oncology -focused biopharmaceutical company, from October 2020 until December 2023. Prior to this role, Ms. Fox served as Managing Director, Co-Head of North America Healthcare Corporate and Investment Banking Group at Citigroup from June 2015 to October 2020. From February 2006 to June 2015, Ms. Fox served as Managing Director at Deutsche Bank, and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 Ms. Fox serves on the board of directors for Apogee Therapeutics (Nasdaq: APGE), ProKidney Corp. (Nasdaq: PROK) and Life Science Cares. She has more than 25 years of experience in healthcare investment banking and has been a lead adviser to life science companies on over 125 financing and strategic transactions. Ms. Fox received B.S. degrees in Finance and Marketing from Manhattan College.</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b w:val="1"/>
          <w:bCs w:val="1"/>
          <w:i w:val="1"/>
          <w:iCs w:val="1"/>
          <w:color w:val="auto"/>
        </w:rPr>
        <w:t xml:space="preserve">Tanya Z. Fischer, M.D., Ph.D., </w:t>
      </w:r>
      <w:r>
        <w:rPr>
          <w:rFonts w:ascii="Times New Roman" w:cs="Times New Roman" w:eastAsia="Times New Roman" w:hAnsi="Times New Roman"/>
          <w:sz w:val="15"/>
          <w:szCs w:val="15"/>
          <w:color w:val="auto"/>
        </w:rPr>
        <w:t>has served as our Head of Research and Development and Chief Medical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Officer since October 2023. Prior to joining Zenas, Dr. Fischer served as Chief Development Officer and Head of Translational Medicine at Biohaven Ltd. (NYSE: BHVN) (“Biohaven”), a clinical stage pharmaceutical company, from September 2022 until October 2023. Prior to Biohaven, Dr. Fischer served as the Vice President, CNS Clinical Development at Alnylam Pharmaceuticals Inc. (Nasdaq: ALNY) (“Alnylam”) from January 2020 until October 2022. Prior to Alnylam, Dr. Fischer served as the Associate Vice President, Global Project Head, Parkinson’s Disease and Rare Neurology at Sanofi. Dr. Fischer also served in numerous teaching roles at the Yale University School of Medicine from August 2006 until August 2019, including as Assistant Clinical Professor in the Department of Neurology. Dr. Fischer currently serves on several scientific advisory boards/councils, including Vesalius Therapeutics and National Tay Sachs &amp; Allied Diseases Association. Dr. Fischer received her M.D. and Ph.D. from University of Medicine and Dentistry of New Jersey/Robert Wood Johnson Medical School and Rutgers University, respectively, and her bachelor’s in biology and chemistry from Seton Hall University.</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Non-Employee Directors</w:t>
      </w:r>
    </w:p>
    <w:p>
      <w:pPr>
        <w:spacing w:after="0" w:line="11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Patricia Allen, </w:t>
      </w:r>
      <w:r>
        <w:rPr>
          <w:rFonts w:ascii="Times New Roman" w:cs="Times New Roman" w:eastAsia="Times New Roman" w:hAnsi="Times New Roman"/>
          <w:sz w:val="15"/>
          <w:szCs w:val="15"/>
          <w:color w:val="auto"/>
        </w:rPr>
        <w:t>has been a member of our board of directors since February 2024 and serves as the chair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our Audit Committee. Ms. Allen served as the Chief Financial Officer of Vividion Therapeutics, Inc., a wholly-owned and independently operated subsidiary of Bayer, from March 2021 until January 2024. From January 2013 to May 2020, Ms. Allen served as Chief Financial Officer of Zafgen, Inc., now Larimar Therapeutics Inc. Previously, from 2004 to 2011, Ms. Allen served as the Vice President of Finance, Treasurer, and Principal Financial Officer of Alnylam Pharmaceuticals, Inc., a publicly traded biotechnology company. Prior to Alnylam, Ms. Allen was at Alkermes, Inc., a publicly traded biotechnology company, most recently as the Director of Finance. She serves on the board of directors of Deciphera Pharmaceuticals, Inc. (Nasdaq: DCPH) since September 2016, and Yumanity Therapeutics, Inc., a publicly traded biotechnology company, from August 2019 until the completion of its merger in December 2022. Ms. Allen began her career as an auditor at Deloitte &amp; Touche, LLP. Ms. Allen graduated summa cum laude from Bryant College with a B.S. in business administration. We believe that Ms. Allen is qualified to serve on our Board of Directors based on her experience in the biopharmaceutical industry, as well as her expertise in finance and accounting.</w:t>
      </w:r>
    </w:p>
    <w:p>
      <w:pPr>
        <w:spacing w:after="0" w:line="241"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James Boylan</w:t>
      </w:r>
      <w:r>
        <w:rPr>
          <w:rFonts w:ascii="Times New Roman" w:cs="Times New Roman" w:eastAsia="Times New Roman" w:hAnsi="Times New Roman"/>
          <w:sz w:val="15"/>
          <w:szCs w:val="15"/>
          <w:color w:val="auto"/>
        </w:rPr>
        <w:t>, has served as a member of our board of directors since November 2022. Mr. Boylan has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served as Chief Executive Officer of Enavate Sciences Inc., a portfolio company of Patient Square Capital,</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0" w:name="page161"/>
    <w:bookmarkEnd w:id="16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since May 2022. Previously, Mr. Boylan served as President and Head of Investment Banking of SVB Leerink, where he architected and led the transformation of Leerink Swann into an industry- leading healthcare investment bank that was acquired by SVB Financial Group in 2019. Across his 12 years at SVB Leerink and prior 12 years as a Managing Director at Merrill Lynch, Mr. Boylan has worked with hundreds of life sciences and biotechnology companies to develop strategy and complete transactions in capital markets and mergers &amp; acquisitions. Mr. Boylan also serves on the board of directors of CAMP4 Therapeutics Corp., Compass Therapeutics, Inc., and Immunome, Inc. Mr. Boylan earned an M.B.A. in finance from the Columbia Business School and a B.S. in finance from Lehigh University. We believe Mr. Boylan is qualified to serve as a director of the Company because of his extensive experience in the financial industry and in the life science and biotechnology space.</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Patrick Enright</w:t>
      </w:r>
      <w:r>
        <w:rPr>
          <w:rFonts w:ascii="Times New Roman" w:cs="Times New Roman" w:eastAsia="Times New Roman" w:hAnsi="Times New Roman"/>
          <w:sz w:val="15"/>
          <w:szCs w:val="15"/>
          <w:color w:val="auto"/>
        </w:rPr>
        <w:t>, has served as a member of our board of directors since November 2022. Mr. Enright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co-founded Longitude Capital Management Co., LLC (“Longitude Capital”), a healthcare venture capital firm, where he has served as Managing Director since 2006. Mr. Enright also has significant life sciences operations experience including serving on various senior executive positions at Valentis Inc., Boehringer Mannheim Pharmaceuticals Corp. (acquired by Roche) and Sandoz Inc. (now known as Novartis). Mr. Enright currently serves on the board of directors of Jazz Pharmaceuticals plc (Nasdaq: JAZZ), Vera Therapeutics, Inc. (Nasdaq: VERA), and numerous privately held healthcare companies. Previously, Mr. Enright was a Managing Director of Pequot Ventures, where he co-led the life sciences investment practice. Mr. Enright previously served on the boards of directors of over twenty companies, including Aimmune Therapeutics, Inc. from 2013 until its acquisition by Nestlé in 2020, Corcept Therapeutics Inc. from 2008 to 2017 and Vaxcyte, Inc. from 2015 to 2020. Mr. Enright received a B.S. in Biological Sciences from Stanford University and an M.B.A. from the Wharton School of the University of Pennsylvania. We believe Mr. Enright is qualified to serve as a director of the Company because of his experience serving on the board of directors of numerous biotechnology companies and his investment experience in the life sciences industry.</w:t>
      </w:r>
    </w:p>
    <w:p>
      <w:pPr>
        <w:spacing w:after="0" w:line="233"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Tomas Kiselak, </w:t>
      </w:r>
      <w:r>
        <w:rPr>
          <w:rFonts w:ascii="Times New Roman" w:cs="Times New Roman" w:eastAsia="Times New Roman" w:hAnsi="Times New Roman"/>
          <w:sz w:val="15"/>
          <w:szCs w:val="15"/>
          <w:color w:val="auto"/>
        </w:rPr>
        <w:t>has served as a member of our board of directors since September 2020. He is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Managing Member at Fairmount Funds Management LLC, a healthcare investment firm he co-founded in April 2016. Prior to Fairmount, Mr. Kiselak was a managing director at RA Capital Management, LLC. Mr. Kiselak currently serves as the chairman of the board of directors of Viridian Therapeutics, Inc., and is a director for Apogee Therapeutics, Inc., Dianthus Therapeutics, Inc., Spyre Therapeutics, Inc., and several private companies. He received a B.S. in neuroscience and economics from Amherst College. We believe Mr. Kiselak is qualified to serve as a director of the Company because of his extensive healthcare and life sciences investment experience and his experience serving on the board of directors of numerous biotechnology companies.</w:t>
      </w:r>
    </w:p>
    <w:p>
      <w:pPr>
        <w:spacing w:after="0" w:line="9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Hongbo Lu, Ph.D., </w:t>
      </w:r>
      <w:r>
        <w:rPr>
          <w:rFonts w:ascii="Times New Roman" w:cs="Times New Roman" w:eastAsia="Times New Roman" w:hAnsi="Times New Roman"/>
          <w:sz w:val="15"/>
          <w:szCs w:val="15"/>
          <w:color w:val="auto"/>
        </w:rPr>
        <w:t>has served as a member of our board of directors since November 2022. Dr. Lu is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Managing Member of NEXTBio Capital, a newly launched biotech investment firm. Dr. Lu. has also served as a Senior Advisor of Vivo Capital LLC (“Vivo Capital”), a Palo Alto-based investment firm, since February 2024. Dr. Lu was previously a Managing Partner from December 2020 until February 2024. Prior to joining Vivo Capital, Dr. Lu served as a Managing Partner at Lilly Asia Ventures from January 2017 until December 2020 (“LAV”). Prior to her role at LAV, she was affiliated with OrbiMed Advisors from June 2011 until October 2016, lastly as its Managing Director. Dr. Lu previously served on the boards of public companies including Turning Point Therapeutics, Inc. (TPTX, acquired by Bristol-Myers Squibb), Crown Bioscience Inc. (6554.TT, acquired by JSR), Avedro Inc. (AVDR, acquired by Glaukos). She currently serves on the boards of Arrowhead Pharmaceuticals (Nasdaq: ARWR, since March 2024) and Terns Pharmaceuticals Inc. (Nasdaq: TERN, since April 2020). Dr. Lu started her Wall Street career as a biotech analyst at Piper Jaffray &amp; Co. and was involved in biotech start-up Zyomyx in the San Francisco Bay Area previously. Dr. Lu earned a Ph.D. in Bioengineering from the University of Washington, an M.B.A. from the Haas School of Business at the University of California, Berkeley, and graduated with honors from Tsinghua University. We believe Dr. Lu is qualified to serve as a director of the Company because of her experience serving on the board of directors of public and private biopharmaceutical companies and her experience in venture capital and the life sciences industry.</w:t>
      </w:r>
    </w:p>
    <w:p>
      <w:pPr>
        <w:spacing w:after="0" w:line="104"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Jake Nunn, </w:t>
      </w:r>
      <w:r>
        <w:rPr>
          <w:rFonts w:ascii="Times New Roman" w:cs="Times New Roman" w:eastAsia="Times New Roman" w:hAnsi="Times New Roman"/>
          <w:sz w:val="15"/>
          <w:szCs w:val="15"/>
          <w:color w:val="auto"/>
        </w:rPr>
        <w:t>has served as a member of our board of directors since May 2024. Mr. Nunn has served as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venture partner at SR One Capital Management (“SR One”) since October 2022. Prior to joining SR One, Mr. Nunn was a venture advisor at New Enterprise Associates, Inc., where he served as a partner from June</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1" w:name="page162"/>
    <w:bookmarkEnd w:id="16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2006 until January 2019. Before this, he served as a partner and an analyst for the MPM BioEquities Fund, a life sciences fund at MPM Capital, L.P., a private equity firm from January 2001 to June 2006. Previously, he was a healthcare research analyst and portfolio manager at Franklin Templeton Investments and an investment banker with Alex. Brown &amp; Sons. Mr. Nunn currently serves on the board of directors of several public companies, including Regulus Therapeutics Inc., (Nasdaq: RGLS, since June 2019), Addex Therapeutics Ltd. (Nasdaq: ADXN, since June 2018) and Trevena, Inc. (Nasdaq: TRVN, since July 2013). Previously, Mr. Nunn served on the board of directors of Dermira, Inc., from May 2011 until its acquisition by Eli Lilly and Company in February 2020, Hyperion Therapeutics, Inc. until its acquisition by Horizon Pharma plc, Hexima Limited (ASX: HXL), and Oventus Medical Ltd. (ASX: OVN). Mr. Nunn received his A.B. in economics from Dartmouth College and his MBA from the Stanford Graduate School of Business. He also holds the Chartered Financial Analyst designation and is a member of the CFA Society of San Francisco. We believe Mr. Nunn is qualified to serve as a director of the Company because of his experience serving on the board of directors of numerous biotechnology companies and his investment experience in the life sciences industry.</w:t>
      </w:r>
    </w:p>
    <w:p>
      <w:pPr>
        <w:spacing w:after="0" w:line="27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John Orloff, M.D., </w:t>
      </w:r>
      <w:r>
        <w:rPr>
          <w:rFonts w:ascii="Times New Roman" w:cs="Times New Roman" w:eastAsia="Times New Roman" w:hAnsi="Times New Roman"/>
          <w:sz w:val="15"/>
          <w:szCs w:val="15"/>
          <w:color w:val="auto"/>
        </w:rPr>
        <w:t>has served as a member of our board of directors since January 2022. Dr. Orloff has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been a Venture Partner at Agent Capital LLC (“Agent Capital”), a healthcare venture capital firm, since October 2021. Prior to Agent Capital, Dr. Orloff served as Executive Vice President and Global Head of Research and Development for Alexion Pharmaceuticals Inc. from June 2017 until July 2021. Dr. Orloff also served as Global Head of Research and Development and Chief Scientific Officer at Baxalta Inc. from July 2015 until July 2016, and has held executive leadership roles with Novelion Therapeutics Inc., Baxter BioScience, Merck Serono, Novartis AG and Merck Research Laboratories. Dr. Orloff currently serves on the board of directors of publicly-traded BenevolentAI Ltd. (AMS: BAI). Prior to his work in the pharmaceutical industry, Dr. Orloff was a faculty member at the Yale University School of Medicine from 1990 until 1997. Dr. Orloff holds an undergraduate degree in chemistry from Dartmouth College and earned his M.D. from the University of Vermont, College of Medicine. Dr. Orloff also completed a fellowship in endocrinology and metabolism at Yale University School of Medicine. We believe Dr. Orloff is qualified to serve as a director of the Company because of his extensive experience in the pharmaceutical industry.</w:t>
      </w:r>
    </w:p>
    <w:p>
      <w:pPr>
        <w:spacing w:after="0" w:line="9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Tim Xiao, </w:t>
      </w:r>
      <w:r>
        <w:rPr>
          <w:rFonts w:ascii="Times New Roman" w:cs="Times New Roman" w:eastAsia="Times New Roman" w:hAnsi="Times New Roman"/>
          <w:sz w:val="15"/>
          <w:szCs w:val="15"/>
          <w:color w:val="auto"/>
        </w:rPr>
        <w:t>has served as a member of our board of directors since May 2024. Mr. Xiao is currently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partner and founding team member at Delos Capital since its inception in 2015. Prior to Delos, Mr. Xiao was in Senior Associate in the Investment Banking Division of Goldman Sachs from December 2010 until December 2014. Mr. Xiao began his career as an investment banker at China International Capital from July 2008 until December 2010. Mr. Xiao serves as a board member for Eccogene, Curatia Medical, STRM.Bio, OncoMyx Therapeutics Inc. and as a board observer for Allecra Therapeutics and Rgenta Therapeutics. Mr. Xiao was previously a board member for Luqa Pharmaceuticals (acquired by China Medical System and Clover Biopharmaceuticals (HKEx:2197)). Mr. Xiao holds a Bachelor’s degree in International Business from Shanghai Jiao Tong University and is a chartered financial analyst charterholder. We believe Mr. Xiao is qualified to serve as a director of the Company because of his investment experience in the life sciences industry.</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Family Relationships</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There are no family relationships among any of our executive officers or directors.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Composition of Our Board of Directors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business and affairs are organized under the direction of our board of directors, which currently consists of seven members with no vacancies. The primary responsibilities of our board of directors are to provide oversight, strategic guidance, counseling and direction to our management. Our board of directors meets on a regular basis and additionally as required.</w:t>
      </w:r>
    </w:p>
    <w:p>
      <w:pPr>
        <w:spacing w:after="0" w:line="10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Upon the consummation of this offering, our board of directors will consist of             members, of whom             were elected as directors pursuant to the board composition provisions of our Fourth Amended and Restated Shareholders Agreement (the “Shareholders Agreement”) among us and our stockholders. The Shareholders Agreement will terminate upon the completion of this offering, at which point no stockholder will have any special rights regarding the election or designation of the members of our board of directors.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2" w:name="page163"/>
    <w:bookmarkEnd w:id="16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Our current directors elected to our board of directors pursuant to the Shareholders Agreement will continue to serve as directors until a successor is duly elected and qualified, or until his or her earlier resignation or removal.</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board of directors may establish the authorized number of directors from time to time by resolution. In accordance with our Restated Charter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69" w:lineRule="exact"/>
        <w:rPr>
          <w:sz w:val="20"/>
          <w:szCs w:val="20"/>
          <w:color w:val="auto"/>
        </w:rPr>
      </w:pPr>
    </w:p>
    <w:p>
      <w:pPr>
        <w:ind w:left="1600" w:right="1179" w:hanging="143"/>
        <w:spacing w:after="0" w:line="269" w:lineRule="auto"/>
        <w:tabs>
          <w:tab w:leader="none" w:pos="16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 directors will be                 , and their terms will expire at the annual meeting of stockholders to be held in 2025;</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 directors will be                 , and their terms will expire at the annual meeting of stockholders to be held in 2026;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III directors will be                 , and their terms will expire at the annual meeting of stockholders to be held in 2027.</w:t>
      </w:r>
    </w:p>
    <w:p>
      <w:pPr>
        <w:spacing w:after="0" w:line="7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division of our board of directors into three classes with staggered three-year terms may delay or prevent a change of our management or a change in control.</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Under the rules of the Nasdaq Stock Market, independent directors must comprise a majority of a listed company’s board of directors within one year of the completion of its initial public offering. In addition, the rules of the Nasdaq Stock Market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the rules of the Nasdaq Stock Market,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the rules of the Nasdaq Stock Market and the rules under the Securities Exchange Act of 1934, as amended (the “Exchange Act”).</w:t>
      </w:r>
    </w:p>
    <w:p>
      <w:pPr>
        <w:spacing w:after="0" w:line="10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9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Based upon information requested from and provided by each director concerning his or her background, employment and affiliations, including family relationships, our board of directors has determined that each of our directors, with the exception of Leon O. Moulder, Jr., is an “independent director” as defined under applicable rules of the Nasdaq Stock Market, including, in the case of all the members of our audit committee, the independence criteria set forth in Rule 10A-3 under the Exchange Act, and in the case of all the members of our compensation committee, the independence criteria set forth in Rule 10C-1 under the Exchange Act and are “non-employee directors” as defined in Section 16b-3 of the Exchange Act. Our board of directors has determined that Mr. Moulder, by virtue of his position as our chief executive officer, is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3" w:name="page164"/>
    <w:bookmarkEnd w:id="16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Committees of Our Board of Directors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board of directors will establish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www.zenasbio.com upon the completion of this offering. Our board of directors may establish other committees as it deems necessary or appropriate from time to time. Information contained on, or accessible through, our website is not a part of this prospectus, and the inclusion of our website address in this prospectus is only an inactive textual reference.</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2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audit committee will operate under a written charter, to be effective prior to the completion of this offering, that satisfies the applicable Nasdaq Listing Rules.</w:t>
      </w:r>
    </w:p>
    <w:p>
      <w:pPr>
        <w:spacing w:after="0" w:line="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audit committee’s responsibilities upon completion of this offering will include:</w:t>
      </w:r>
    </w:p>
    <w:p>
      <w:pPr>
        <w:spacing w:after="0" w:line="91" w:lineRule="exact"/>
        <w:rPr>
          <w:sz w:val="20"/>
          <w:szCs w:val="20"/>
          <w:color w:val="auto"/>
        </w:rPr>
      </w:pPr>
    </w:p>
    <w:p>
      <w:pPr>
        <w:ind w:left="1600" w:right="1179" w:hanging="143"/>
        <w:spacing w:after="0" w:line="269"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approving the compensation of, and evaluating the qualifications, performance, procedures and independence of, our independent registered public accounting firm;</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work of our independent registered public accounting firm, including through the receipt and consideration of written periodic reports from such firm;</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pre-approving all audit and permitted non-audit services to be performed by our independent registered public accounting firm;</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our annual and quarterly financial statements and related disclosures, including earnings releases;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and periodically reviewing with our independent registered public accounting firm our compliance with all applicable requirements of the Public Company Accounting Oversight Board;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any material issues regarding accounting principles and financial statement presentations and the steps taken to deal with such issues;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disclosures about any significant deficiencies or material weaknesses in our internal control structures and procedures, including disclosures in our annual and quarterly reports;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coordinating our board of directors’ oversight of our internal control over financial reporting, disclosure controls and procedures, code of business conduct and ethics, procedures for complaints and legal and regulatory matters;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any material issues regarding cybersecurity risks and processes for assessing, identifying and managing material risks from cybersecurity threats;</w:t>
      </w:r>
    </w:p>
    <w:p>
      <w:pPr>
        <w:spacing w:after="0" w:line="7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our risk management policies with management;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policies regarding hiring employees from our independent registered public accounting firm and procedures for the receipt and retention of accounting related complaints and concerns;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meeting independently with our independent registered public accounting firm and management;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any related person transactions;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our guidelines and policies governing risk assessment and risk management;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and periodically reviewing the integrity of our information technology systems, process and data;</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the audit committee report required by SEC rules;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4" w:name="page165"/>
    <w:bookmarkEnd w:id="16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assessing, at least annually, the adequacy of the audit committee’s charter;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at least annually, an evaluation of the performance of the audit committee.</w:t>
      </w:r>
    </w:p>
    <w:p>
      <w:pPr>
        <w:spacing w:after="0" w:line="12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All audit services and all non-audit services, other than de minimis non-audit services, to be provided to us by our independent registered public accounting firm must be approved in advance by our audit committee.</w:t>
      </w:r>
    </w:p>
    <w:p>
      <w:pPr>
        <w:spacing w:after="0" w:line="26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members of our audit committee are                      .                      chairs the audit committee. Our board of directors has determined that each member of our audit committee has sufficient knowledge in financial and auditing matters to serve on the audit committee. Our board of directors has also determined that               is an “audit committee financial expert,” as defined under Item 407 of Regulation S-K.</w:t>
      </w:r>
    </w:p>
    <w:p>
      <w:pPr>
        <w:spacing w:after="0" w:line="9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expect to satisfy the member independence requirements for the audit committee prior to the end of the transition period provided under the rules of the Nasdaq Stock Market and SEC rules and regulations for companies completing their initial public offering.</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compensation committee will operate under a written charter, to be effective prior to the completion of this offering, that satisfies the applicable Nasdaq Listing Rules.</w:t>
      </w:r>
    </w:p>
    <w:p>
      <w:pPr>
        <w:spacing w:after="0" w:line="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Our compensation committee’s responsibilities upon completion of this offering will include:</w:t>
      </w:r>
    </w:p>
    <w:p>
      <w:pPr>
        <w:spacing w:after="0" w:line="91" w:lineRule="exact"/>
        <w:rPr>
          <w:sz w:val="20"/>
          <w:szCs w:val="20"/>
          <w:color w:val="auto"/>
        </w:rPr>
      </w:pPr>
    </w:p>
    <w:p>
      <w:pPr>
        <w:ind w:left="1600" w:right="1179" w:hanging="143"/>
        <w:spacing w:after="0" w:line="269"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establishing our overall management compensation strategy and benefits philosophy and policies, including base salary, incentive compensation and equity-based grants;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performance goals and objectives relevant to compensation of our chief executive officer and other executive officers;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the performance of the chief executive officer and executive officers in light of their performance goals and objectives, including during executive sessions of non-employee directors, and recommending to our board of directors the compensation of our chief executive officer and other executive officers;</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the board of directors with respect to non-employee director compensation;</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overseeing and administering our equity incentive plans, granting awards under such plan and making recommendations to the board of directors about the adoption of any new or modifying existing equity-based, cash-based, management incentive and deferred compensation plans;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and reviewing “clawback” policies that allow the recouping of incentive compensation;</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considering and selecting, to the extent determined to be advisable, a peer group of appropriate companies for purposing of benchmarking and analysis of compensation for our executive officers and non-employee directors;</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our board of directors any stock ownership guidelines for our executive officers and non-employee directors, periodically assessing these guidelines and recommending revisions as appropriate, and monitoring individual compliance with these guidelines;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retaining, appointing or obtaining advice of a compensation consultant, legal counsel or other advisor and determining the compensation and independence of such consultant or advisor;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if required, the compensation committee report on executive compensation for inclusion in our annual report on Form 10-K and our proxy statement in accordance with SEC rules;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monitoring our compliance with the requirements of Sarbanes-Oxley relating to loans to directors and officers;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all employment contract and other compensation, severance and change-in-control arrangements for our executive officers;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and periodically reviewing policies and procedures with respect to perquisites as they relate to our executive officers;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5" w:name="page166"/>
    <w:bookmarkEnd w:id="16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risks associated with our compensation policies and practices;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maintenance and presentation to our board of directors of management’s plans for succession to senior management positions based on guidelines developed and recommended to the compensation committee to the full board of directors;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our strategies, initiatives and programs with respect to our culture, talent recruitment, development, and retention, employee engagement and diversity and inclusion;</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minutes of the compensation committee and reporting its actions and any recommendations to the board of directors on a periodic basis;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assessing, at least annually, the adequacy of the compensation committee’s charter; and</w:t>
      </w:r>
    </w:p>
    <w:p>
      <w:pPr>
        <w:spacing w:after="0" w:line="256"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on an annual basis, an evaluation of the performance of the compensation committee.</w:t>
      </w:r>
    </w:p>
    <w:p>
      <w:pPr>
        <w:spacing w:after="0" w:line="11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members of our compensation committee are                 .                 chairs the compensation committee.</w:t>
      </w:r>
    </w:p>
    <w:p>
      <w:pPr>
        <w:spacing w:after="0" w:line="7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expect to satisfy the member independence requirements for the compensation committee prior to the end of the transition period provided under the rules of the Nasdaq Stock Market and SEC rules and regulations for companies completing their initial public offering.</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nominating and corporate governance committee will operate under a written charter, to be effective prior to the completion of this offering, that satisfies the applicable Nasdaq Listing Rules.</w:t>
      </w:r>
    </w:p>
    <w:p>
      <w:pPr>
        <w:spacing w:after="0" w:line="7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nominating and corporate governance committee’s responsibilities upon completion of this offering will include:</w:t>
      </w:r>
    </w:p>
    <w:p>
      <w:pPr>
        <w:spacing w:after="0" w:line="52" w:lineRule="exact"/>
        <w:rPr>
          <w:sz w:val="20"/>
          <w:szCs w:val="20"/>
          <w:color w:val="auto"/>
        </w:rPr>
      </w:pPr>
    </w:p>
    <w:p>
      <w:pPr>
        <w:jc w:val="both"/>
        <w:ind w:left="1600" w:right="1179" w:hanging="143"/>
        <w:spacing w:after="0" w:line="262"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actively seeking and identifying individuals qualified to become members of our board of directors consistent with criteria approved by the board and receiving nominations for such qualified individuals;</w:t>
      </w:r>
    </w:p>
    <w:p>
      <w:pPr>
        <w:spacing w:after="0" w:line="23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our board of directors the persons to be nominated for election as directors and to each committee of the board;</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 policy under which our stockholders may recommend a candidate to the nominating and corporate governance committee for consideration for nomination as a director;</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committee slates on an annual basis;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our board of directors qualified candidates to fill vacancies on our board of directors;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recommending to our board of directors a set of corporate governance principles applicable to us and reviewing the principles on at least an annual basis;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our board with respect to our board size, composition, leadership structure and board committee structure;</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in concert with our board of directors, our policies with respect to significant issues of corporate public responsibility, including but not limited to sustainability, diversity and inclusion and environmental, social and governance initiatives;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recommendations to our board of directors of processes for annual evaluations of the performance of our board of directors and committees of our board of directors;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process for annual evaluations of our board of directors and committees of our board of directors;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considering and reporting to our board of directors any questions of possible conflicts of interest of members of our board of directors;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management the company’s social corporate responsibility activities, policies, and program;</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6" w:name="page167"/>
    <w:bookmarkEnd w:id="16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54"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new director orientation and continuing education for existing directors on a periodic basis;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maintenance and presentation to our board of directors of management’s plans for succession to senior management positions in the Company;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assessing, at least annually, the adequacy of the nominating and corporate governance committee’s charter;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on an annual basis, an evaluation of the performance of the nominating and corporate governance committee.</w:t>
      </w:r>
    </w:p>
    <w:p>
      <w:pPr>
        <w:spacing w:after="0" w:line="8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members of our nominating and corporate governance committee are                 .                 chairs the nominating and corporate governance committee. Our board of directors has determined that each member of the nominating and corporate governance committee satisfies the independence standards of the applicable rules of the Nasdaq Stock Market.</w:t>
      </w:r>
    </w:p>
    <w:p>
      <w:pPr>
        <w:spacing w:after="0" w:line="1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Our board of directors may establish other committees from time to time.</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Role of the Board of Directors in Risk Oversight</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board of directors has, and, upon the completion of this offering, its committees will also have, an active role in overseeing the management of our risks. Our board of directors is responsible for general oversight of risks and regular review of information regarding our risks, including credit risks, liquidity risks and operational risks. The compensation committee will be responsible for overseeing the management of risks relating to our executive compensation plans and arrangements. The audit committee will be responsible for overseeing the management of risks relating to accounting matters and financial reporting. The nominating and governance committee will be responsible for overseeing the management of risks associated with the independence of our board of directors and potential conflicts of interest. Although each committee will be responsible for evaluating certain risks and overseeing the management of such risks, the entire board of directors will be regularly informed through discussions from committee members about such risks.</w:t>
      </w:r>
    </w:p>
    <w:p>
      <w:pPr>
        <w:spacing w:after="0" w:line="3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Code of Business Conduct and Ethics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www.zenasbio.com upon the completion of this offering.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12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None of the members of the compensation committee is currently, or has been at any time,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7" w:name="page168"/>
    <w:bookmarkEnd w:id="16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AND DIRECTOR COMPENSATION</w:t>
      </w:r>
    </w:p>
    <w:p>
      <w:pPr>
        <w:spacing w:after="0" w:line="124"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i w:val="1"/>
          <w:iCs w:val="1"/>
          <w:color w:val="auto"/>
        </w:rPr>
        <w:t>The following discussion of compensation arrangements should be read with the compensation tables and related disclosures set forth below. 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0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Our named executive officers for the year ended December 31, 2023, which consist of all individuals serving as our principal executive officers during 2023 and our three most highly compensated executive officers other than individuals who served as the principal executive officer during 2023, were:</w:t>
      </w:r>
    </w:p>
    <w:p>
      <w:pPr>
        <w:spacing w:after="0" w:line="61" w:lineRule="exact"/>
        <w:rPr>
          <w:sz w:val="20"/>
          <w:szCs w:val="20"/>
          <w:color w:val="auto"/>
        </w:rPr>
      </w:pPr>
    </w:p>
    <w:p>
      <w:pPr>
        <w:ind w:left="1600" w:hanging="143"/>
        <w:spacing w:after="0"/>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Leon O. Moulder, Jr., Founder, Chief Executive Officer and Chairman;</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Hua Mu, M.D., Ph.D., former Chief Executive Officer and former Interim Chief Medical Officer and former Head of China;</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Joseph Farmer, President and Chief Operating Officer;</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Jennifer Fox, Chief Business Officer and Chief Financial Officer;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Tanya Z. Fischer, M.D., Ph.D., Head of Research and Development and Chief Medical Officer.</w:t>
      </w:r>
    </w:p>
    <w:p>
      <w:pPr>
        <w:spacing w:after="0" w:line="11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Effective June 29, 2023, Dr. Mu transitioned from the role of Chief Executive Officer to Head of China and Interim Chief Medical Officer, and Mr. Moulder became the Chief Executive Officer. Effective October 30, 2023, Dr. Fischer became the Head of Research and Development and took over for Dr. Mu as Chief Medical Officer. Although Mr. Farmer is not a named executive officer for 2023, we are including his compensation information, as he is one of our key executive officers and this prospectus is the first disclosure of the compensation of our executive officers. We anticipate disclosing only the two most highly compensated executive officers, along with the principal executive officer, for future proxy disclosures of executive compensation as required under Item 402 of Regulation S-K under the Securities Act, so long as we remain an “emerging growth company” or “smaller reporting company.”</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presents the compensation awarded to or earned by or paid to our named executive officers and Mr. Farmer during the year ended December 31, 2023.</w:t>
      </w:r>
    </w:p>
    <w:p>
      <w:pPr>
        <w:spacing w:after="0" w:line="107" w:lineRule="exact"/>
        <w:rPr>
          <w:sz w:val="20"/>
          <w:szCs w:val="20"/>
          <w:color w:val="auto"/>
        </w:rPr>
      </w:pPr>
    </w:p>
    <w:tbl>
      <w:tblPr>
        <w:tblLayout w:type="fixed"/>
        <w:tblInd w:w="1160" w:type="dxa"/>
        <w:tblCellMar>
          <w:top w:w="0" w:type="dxa"/>
          <w:left w:w="0" w:type="dxa"/>
          <w:bottom w:w="0" w:type="dxa"/>
          <w:right w:w="0" w:type="dxa"/>
        </w:tblCellMar>
      </w:tblPr>
      <w:tr>
        <w:trPr>
          <w:trHeight w:val="121"/>
        </w:trPr>
        <w:tc>
          <w:tcPr>
            <w:tcW w:w="1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7"/>
              </w:rPr>
              <w:t>Incentive Plan</w:t>
            </w:r>
          </w:p>
        </w:tc>
        <w:tc>
          <w:tcPr>
            <w:tcW w:w="160" w:type="dxa"/>
            <w:vAlign w:val="bottom"/>
          </w:tcPr>
          <w:p>
            <w:pPr>
              <w:spacing w:after="0"/>
              <w:rPr>
                <w:sz w:val="9"/>
                <w:szCs w:val="9"/>
                <w:color w:val="auto"/>
              </w:rPr>
            </w:pPr>
          </w:p>
        </w:tc>
        <w:tc>
          <w:tcPr>
            <w:tcW w:w="580" w:type="dxa"/>
            <w:vAlign w:val="bottom"/>
            <w:gridSpan w:val="3"/>
          </w:tcPr>
          <w:p>
            <w:pPr>
              <w:ind w:left="40"/>
              <w:spacing w:after="0" w:line="110" w:lineRule="exact"/>
              <w:rPr>
                <w:sz w:val="20"/>
                <w:szCs w:val="20"/>
                <w:color w:val="auto"/>
              </w:rPr>
            </w:pPr>
            <w:r>
              <w:rPr>
                <w:rFonts w:ascii="Times New Roman" w:cs="Times New Roman" w:eastAsia="Times New Roman" w:hAnsi="Times New Roman"/>
                <w:sz w:val="10"/>
                <w:szCs w:val="10"/>
                <w:b w:val="1"/>
                <w:bCs w:val="1"/>
                <w:color w:val="auto"/>
              </w:rPr>
              <w:t>All Other</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5"/>
              </w:rPr>
              <w:t>Fiscal</w:t>
            </w:r>
          </w:p>
        </w:tc>
        <w:tc>
          <w:tcPr>
            <w:tcW w:w="80" w:type="dxa"/>
            <w:vAlign w:val="bottom"/>
          </w:tcPr>
          <w:p>
            <w:pPr>
              <w:spacing w:after="0"/>
              <w:rPr>
                <w:sz w:val="9"/>
                <w:szCs w:val="9"/>
                <w:color w:val="auto"/>
              </w:rPr>
            </w:pPr>
          </w:p>
        </w:tc>
        <w:tc>
          <w:tcPr>
            <w:tcW w:w="600" w:type="dxa"/>
            <w:vAlign w:val="bottom"/>
            <w:gridSpan w:val="3"/>
          </w:tcPr>
          <w:p>
            <w:pPr>
              <w:jc w:val="center"/>
              <w:ind w:right="237"/>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500" w:type="dxa"/>
            <w:vAlign w:val="bottom"/>
            <w:gridSpan w:val="3"/>
          </w:tcPr>
          <w:p>
            <w:pPr>
              <w:jc w:val="center"/>
              <w:ind w:right="206"/>
              <w:spacing w:after="0"/>
              <w:rPr>
                <w:sz w:val="20"/>
                <w:szCs w:val="20"/>
                <w:color w:val="auto"/>
              </w:rPr>
            </w:pPr>
            <w:r>
              <w:rPr>
                <w:rFonts w:ascii="Times New Roman" w:cs="Times New Roman" w:eastAsia="Times New Roman" w:hAnsi="Times New Roman"/>
                <w:sz w:val="10"/>
                <w:szCs w:val="10"/>
                <w:b w:val="1"/>
                <w:bCs w:val="1"/>
                <w:color w:val="auto"/>
                <w:w w:val="97"/>
              </w:rPr>
              <w:t>Bonus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Option Awards</w:t>
            </w:r>
          </w:p>
        </w:tc>
        <w:tc>
          <w:tcPr>
            <w:tcW w:w="100" w:type="dxa"/>
            <w:vAlign w:val="bottom"/>
          </w:tcPr>
          <w:p>
            <w:pPr>
              <w:spacing w:after="0"/>
              <w:rPr>
                <w:sz w:val="9"/>
                <w:szCs w:val="9"/>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60" w:type="dxa"/>
            <w:vAlign w:val="bottom"/>
          </w:tcPr>
          <w:p>
            <w:pPr>
              <w:spacing w:after="0"/>
              <w:rPr>
                <w:sz w:val="9"/>
                <w:szCs w:val="9"/>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87"/>
              </w:rPr>
              <w:t>Compensation</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320" w:type="dxa"/>
            <w:vAlign w:val="bottom"/>
            <w:gridSpan w:val="2"/>
          </w:tcPr>
          <w:p>
            <w:pPr>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Year</w:t>
            </w:r>
          </w:p>
        </w:tc>
        <w:tc>
          <w:tcPr>
            <w:tcW w:w="680" w:type="dxa"/>
            <w:vAlign w:val="bottom"/>
            <w:gridSpan w:val="4"/>
          </w:tcPr>
          <w:p>
            <w:pPr>
              <w:jc w:val="right"/>
              <w:ind w:right="57"/>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1"/>
                <w:szCs w:val="11"/>
                <w:b w:val="1"/>
                <w:bCs w:val="1"/>
                <w:color w:val="auto"/>
                <w:vertAlign w:val="superscript"/>
              </w:rPr>
              <w:t>(1)</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7"/>
                <w:szCs w:val="17"/>
                <w:b w:val="1"/>
                <w:bCs w:val="1"/>
                <w:color w:val="auto"/>
                <w:vertAlign w:val="subscript"/>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rPr>
                <w:sz w:val="12"/>
                <w:szCs w:val="12"/>
                <w:color w:val="auto"/>
              </w:rPr>
            </w:pPr>
          </w:p>
        </w:tc>
        <w:tc>
          <w:tcPr>
            <w:tcW w:w="520" w:type="dxa"/>
            <w:vAlign w:val="bottom"/>
          </w:tcPr>
          <w:p>
            <w:pPr>
              <w:jc w:val="right"/>
              <w:ind w:right="199"/>
              <w:spacing w:after="0" w:line="147"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180" w:type="dxa"/>
            <w:vAlign w:val="bottom"/>
          </w:tcPr>
          <w:p>
            <w:pPr>
              <w:spacing w:after="0"/>
              <w:rPr>
                <w:sz w:val="12"/>
                <w:szCs w:val="12"/>
                <w:color w:val="auto"/>
              </w:rPr>
            </w:pPr>
          </w:p>
        </w:tc>
        <w:tc>
          <w:tcPr>
            <w:tcW w:w="440" w:type="dxa"/>
            <w:vAlign w:val="bottom"/>
          </w:tcPr>
          <w:p>
            <w:pPr>
              <w:jc w:val="center"/>
              <w:ind w:right="152"/>
              <w:spacing w:after="0" w:line="147" w:lineRule="exact"/>
              <w:rPr>
                <w:sz w:val="20"/>
                <w:szCs w:val="20"/>
                <w:color w:val="auto"/>
              </w:rPr>
            </w:pPr>
            <w:r>
              <w:rPr>
                <w:rFonts w:ascii="Times New Roman" w:cs="Times New Roman" w:eastAsia="Times New Roman" w:hAnsi="Times New Roman"/>
                <w:sz w:val="10"/>
                <w:szCs w:val="10"/>
                <w:b w:val="1"/>
                <w:bCs w:val="1"/>
                <w:color w:val="auto"/>
                <w:w w:val="82"/>
              </w:rPr>
              <w:t>($)</w:t>
            </w:r>
            <w:r>
              <w:rPr>
                <w:rFonts w:ascii="Times New Roman" w:cs="Times New Roman" w:eastAsia="Times New Roman" w:hAnsi="Times New Roman"/>
                <w:sz w:val="13"/>
                <w:szCs w:val="13"/>
                <w:b w:val="1"/>
                <w:bCs w:val="1"/>
                <w:color w:val="auto"/>
                <w:w w:val="82"/>
                <w:vertAlign w:val="superscript"/>
              </w:rPr>
              <w:t>(3)</w:t>
            </w:r>
          </w:p>
        </w:tc>
        <w:tc>
          <w:tcPr>
            <w:tcW w:w="16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rPr>
                <w:sz w:val="12"/>
                <w:szCs w:val="12"/>
                <w:color w:val="auto"/>
              </w:rPr>
            </w:pPr>
          </w:p>
        </w:tc>
        <w:tc>
          <w:tcPr>
            <w:tcW w:w="300" w:type="dxa"/>
            <w:vAlign w:val="bottom"/>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 ​</w:t>
            </w:r>
            <w:r>
              <w:rPr>
                <w:rFonts w:ascii="Times New Roman" w:cs="Times New Roman" w:eastAsia="Times New Roman" w:hAnsi="Times New Roman"/>
                <w:sz w:val="9"/>
                <w:szCs w:val="9"/>
                <w:b w:val="1"/>
                <w:bCs w:val="1"/>
                <w:color w:val="auto"/>
              </w:rPr>
              <w:t xml:space="preserve"> Total ($) </w:t>
            </w:r>
            <w:r>
              <w:rPr>
                <w:rFonts w:ascii="Times New Roman" w:cs="Times New Roman" w:eastAsia="Times New Roman" w:hAnsi="Times New Roman"/>
                <w:sz w:val="17"/>
                <w:szCs w:val="17"/>
                <w:b w:val="1"/>
                <w:bCs w:val="1"/>
                <w:color w:val="auto"/>
                <w:vertAlign w:val="subscript"/>
              </w:rPr>
              <w:t>​</w:t>
            </w:r>
          </w:p>
        </w:tc>
        <w:tc>
          <w:tcPr>
            <w:tcW w:w="0" w:type="dxa"/>
            <w:vAlign w:val="bottom"/>
          </w:tcPr>
          <w:p>
            <w:pPr>
              <w:spacing w:after="0"/>
              <w:rPr>
                <w:sz w:val="1"/>
                <w:szCs w:val="1"/>
                <w:color w:val="auto"/>
              </w:rPr>
            </w:pPr>
          </w:p>
        </w:tc>
      </w:tr>
      <w:tr>
        <w:trPr>
          <w:trHeight w:val="28"/>
        </w:trPr>
        <w:tc>
          <w:tcPr>
            <w:tcW w:w="1220" w:type="dxa"/>
            <w:vAlign w:val="bottom"/>
            <w:shd w:val="clear" w:color="auto" w:fill="CCEEFF"/>
          </w:tcPr>
          <w:p>
            <w:pPr>
              <w:spacing w:after="0"/>
              <w:rPr>
                <w:sz w:val="2"/>
                <w:szCs w:val="2"/>
                <w:color w:val="auto"/>
              </w:rPr>
            </w:pPr>
          </w:p>
        </w:tc>
        <w:tc>
          <w:tcPr>
            <w:tcW w:w="1280" w:type="dxa"/>
            <w:vAlign w:val="bottom"/>
            <w:vMerge w:val="restart"/>
            <w:shd w:val="clear" w:color="auto" w:fill="CCEEFF"/>
          </w:tcPr>
          <w:p>
            <w:pPr>
              <w:spacing w:after="0"/>
              <w:rPr>
                <w:sz w:val="2"/>
                <w:szCs w:val="2"/>
                <w:color w:val="auto"/>
              </w:rPr>
            </w:pPr>
          </w:p>
        </w:tc>
        <w:tc>
          <w:tcPr>
            <w:tcW w:w="60" w:type="dxa"/>
            <w:vAlign w:val="bottom"/>
            <w:vMerge w:val="restart"/>
            <w:shd w:val="clear" w:color="auto" w:fill="CCEEFF"/>
          </w:tcPr>
          <w:p>
            <w:pPr>
              <w:spacing w:after="0" w:line="41" w:lineRule="exact"/>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line="41" w:lineRule="exact"/>
              <w:rPr>
                <w:sz w:val="20"/>
                <w:szCs w:val="20"/>
                <w:color w:val="auto"/>
              </w:rPr>
            </w:pPr>
            <w:r>
              <w:rPr>
                <w:rFonts w:ascii="Times New Roman" w:cs="Times New Roman" w:eastAsia="Times New Roman" w:hAnsi="Times New Roman"/>
                <w:sz w:val="4"/>
                <w:szCs w:val="4"/>
                <w:color w:val="auto"/>
              </w:rPr>
              <w:t>​​​</w:t>
            </w:r>
          </w:p>
        </w:tc>
        <w:tc>
          <w:tcPr>
            <w:tcW w:w="3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line="41" w:lineRule="exact"/>
              <w:rPr>
                <w:sz w:val="20"/>
                <w:szCs w:val="20"/>
                <w:color w:val="auto"/>
              </w:rPr>
            </w:pPr>
            <w:r>
              <w:rPr>
                <w:rFonts w:ascii="Times New Roman" w:cs="Times New Roman" w:eastAsia="Times New Roman" w:hAnsi="Times New Roman"/>
                <w:sz w:val="4"/>
                <w:szCs w:val="4"/>
                <w:color w:val="auto"/>
              </w:rPr>
              <w:t>​​ ​</w:t>
            </w: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line="41" w:lineRule="exact"/>
              <w:rPr>
                <w:sz w:val="20"/>
                <w:szCs w:val="20"/>
                <w:color w:val="auto"/>
              </w:rPr>
            </w:pPr>
            <w:r>
              <w:rPr>
                <w:rFonts w:ascii="Times New Roman" w:cs="Times New Roman" w:eastAsia="Times New Roman" w:hAnsi="Times New Roman"/>
                <w:sz w:val="4"/>
                <w:szCs w:val="4"/>
                <w:color w:val="auto"/>
              </w:rPr>
              <w:t>​​ ​</w:t>
            </w:r>
          </w:p>
        </w:tc>
        <w:tc>
          <w:tcPr>
            <w:tcW w:w="660" w:type="dxa"/>
            <w:vAlign w:val="bottom"/>
            <w:tcBorders>
              <w:right w:val="single" w:sz="8" w:color="auto"/>
            </w:tcBorders>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vMerge w:val="restart"/>
          </w:tcPr>
          <w:p>
            <w:pPr>
              <w:jc w:val="right"/>
              <w:spacing w:after="0" w:line="41"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4294967289"/>
        </w:trPr>
        <w:tc>
          <w:tcPr>
            <w:tcW w:w="1220" w:type="dxa"/>
            <w:vAlign w:val="bottom"/>
            <w:tcBorders>
              <w:top w:val="single" w:sz="8" w:color="auto"/>
            </w:tcBorders>
            <w:shd w:val="clear" w:color="auto" w:fill="CCEEFF"/>
          </w:tcPr>
          <w:p>
            <w:pPr>
              <w:spacing w:after="0" w:line="9" w:lineRule="exact"/>
              <w:rPr>
                <w:sz w:val="20"/>
                <w:szCs w:val="20"/>
                <w:color w:val="auto"/>
              </w:rPr>
            </w:pPr>
            <w:r>
              <w:rPr>
                <w:rFonts w:ascii="Times New Roman" w:cs="Times New Roman" w:eastAsia="Times New Roman" w:hAnsi="Times New Roman"/>
                <w:sz w:val="1"/>
                <w:szCs w:val="1"/>
                <w:color w:val="auto"/>
              </w:rPr>
              <w:t>Leon O. Moulder, Jr.</w:t>
            </w:r>
          </w:p>
        </w:tc>
        <w:tc>
          <w:tcPr>
            <w:tcW w:w="1280" w:type="dxa"/>
            <w:vAlign w:val="bottom"/>
            <w:tcBorders>
              <w:top w:val="single" w:sz="8" w:color="CCEEFF"/>
            </w:tcBorders>
            <w:vMerge w:val="continue"/>
            <w:shd w:val="clear" w:color="auto" w:fill="CCEEFF"/>
          </w:tcPr>
          <w:p>
            <w:pPr>
              <w:spacing w:after="0" w:line="20" w:lineRule="exact"/>
              <w:rPr>
                <w:sz w:val="1"/>
                <w:szCs w:val="1"/>
                <w:color w:val="auto"/>
              </w:rPr>
            </w:pPr>
          </w:p>
        </w:tc>
        <w:tc>
          <w:tcPr>
            <w:tcW w:w="60" w:type="dxa"/>
            <w:vAlign w:val="bottom"/>
            <w:tcBorders>
              <w:top w:val="single" w:sz="8" w:color="CCEEFF"/>
            </w:tcBorders>
            <w:vMerge w:val="continue"/>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9" w:lineRule="exact"/>
              <w:rPr>
                <w:sz w:val="20"/>
                <w:szCs w:val="20"/>
                <w:color w:val="auto"/>
              </w:rPr>
            </w:pPr>
            <w:r>
              <w:rPr>
                <w:rFonts w:ascii="Times New Roman" w:cs="Times New Roman" w:eastAsia="Times New Roman" w:hAnsi="Times New Roman"/>
                <w:sz w:val="1"/>
                <w:szCs w:val="1"/>
                <w:b w:val="1"/>
                <w:bCs w:val="1"/>
                <w:color w:val="auto"/>
              </w:rPr>
              <w:t>​</w:t>
            </w:r>
            <w:r>
              <w:rPr>
                <w:rFonts w:ascii="Times New Roman" w:cs="Times New Roman" w:eastAsia="Times New Roman" w:hAnsi="Times New Roman"/>
                <w:sz w:val="1"/>
                <w:szCs w:val="1"/>
                <w:color w:val="auto"/>
              </w:rPr>
              <w:t>2023</w:t>
            </w:r>
          </w:p>
        </w:tc>
        <w:tc>
          <w:tcPr>
            <w:tcW w:w="80" w:type="dxa"/>
            <w:vAlign w:val="bottom"/>
            <w:tcBorders>
              <w:top w:val="single" w:sz="8" w:color="CCEEFF"/>
            </w:tcBorders>
            <w:vMerge w:val="continue"/>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jc w:val="center"/>
              <w:spacing w:after="0" w:line="9" w:lineRule="exact"/>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​126,923</w:t>
            </w:r>
          </w:p>
        </w:tc>
        <w:tc>
          <w:tcPr>
            <w:tcW w:w="160" w:type="dxa"/>
            <w:vAlign w:val="bottom"/>
            <w:tcBorders>
              <w:top w:val="single" w:sz="8" w:color="CCEEFF"/>
            </w:tcBorders>
            <w:vMerge w:val="continue"/>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jc w:val="right"/>
              <w:ind w:right="17"/>
              <w:spacing w:after="0" w:line="9"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1"/>
                <w:szCs w:val="1"/>
                <w:color w:val="auto"/>
                <w:vertAlign w:val="subscript"/>
              </w:rPr>
              <w:t>​</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9"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top w:val="single" w:sz="8" w:color="CCEEFF"/>
            </w:tcBorders>
            <w:vMerge w:val="continue"/>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gridSpan w:val="2"/>
            <w:shd w:val="clear" w:color="auto" w:fill="CCEEFF"/>
          </w:tcPr>
          <w:p>
            <w:pPr>
              <w:jc w:val="right"/>
              <w:ind w:right="59"/>
              <w:spacing w:after="0" w:line="9" w:lineRule="exact"/>
              <w:rPr>
                <w:sz w:val="20"/>
                <w:szCs w:val="20"/>
                <w:color w:val="auto"/>
              </w:rPr>
            </w:pPr>
            <w:r>
              <w:rPr>
                <w:rFonts w:ascii="Times New Roman" w:cs="Times New Roman" w:eastAsia="Times New Roman" w:hAnsi="Times New Roman"/>
                <w:sz w:val="1"/>
                <w:szCs w:val="1"/>
                <w:color w:val="auto"/>
              </w:rPr>
              <w:t>​2,474,587</w:t>
            </w:r>
          </w:p>
        </w:tc>
        <w:tc>
          <w:tcPr>
            <w:tcW w:w="100" w:type="dxa"/>
            <w:vAlign w:val="bottom"/>
            <w:tcBorders>
              <w:top w:val="single" w:sz="8" w:color="CCEEFF"/>
            </w:tcBorders>
            <w:shd w:val="clear" w:color="auto" w:fill="CCEEFF"/>
          </w:tcPr>
          <w:p>
            <w:pPr>
              <w:jc w:val="right"/>
              <w:spacing w:after="0" w:line="9"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top w:val="single" w:sz="8" w:color="CCEEFF"/>
            </w:tcBorders>
            <w:shd w:val="clear" w:color="auto" w:fill="CCEEFF"/>
          </w:tcPr>
          <w:p>
            <w:pPr>
              <w:ind w:left="100"/>
              <w:spacing w:after="0" w:line="9"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tcBorders>
              <w:top w:val="single" w:sz="8" w:color="CCEEFF"/>
            </w:tcBorders>
            <w:shd w:val="clear" w:color="auto" w:fill="CCEEFF"/>
          </w:tcPr>
          <w:p>
            <w:pPr>
              <w:jc w:val="right"/>
              <w:ind w:right="92"/>
              <w:spacing w:after="0" w:line="9"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top w:val="single" w:sz="8" w:color="CCEEFF"/>
              <w:right w:val="single" w:sz="8" w:color="CCEEFF"/>
            </w:tcBorders>
            <w:shd w:val="clear" w:color="auto" w:fill="CCEEFF"/>
          </w:tcPr>
          <w:p>
            <w:pPr>
              <w:jc w:val="right"/>
              <w:ind w:right="27"/>
              <w:spacing w:after="0" w:line="9"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top w:val="single" w:sz="8" w:color="CCEEFF"/>
            </w:tcBorders>
            <w:shd w:val="clear" w:color="auto" w:fill="CCEEFF"/>
          </w:tcPr>
          <w:p>
            <w:pPr>
              <w:ind w:left="60"/>
              <w:spacing w:after="0" w:line="9" w:lineRule="exact"/>
              <w:rPr>
                <w:sz w:val="20"/>
                <w:szCs w:val="20"/>
                <w:color w:val="auto"/>
              </w:rPr>
            </w:pPr>
            <w:r>
              <w:rPr>
                <w:rFonts w:ascii="Times New Roman" w:cs="Times New Roman" w:eastAsia="Times New Roman" w:hAnsi="Times New Roman"/>
                <w:sz w:val="1"/>
                <w:szCs w:val="1"/>
                <w:color w:val="auto"/>
              </w:rPr>
              <w:t>​</w:t>
            </w:r>
          </w:p>
        </w:tc>
        <w:tc>
          <w:tcPr>
            <w:tcW w:w="300" w:type="dxa"/>
            <w:vAlign w:val="bottom"/>
            <w:tcBorders>
              <w:top w:val="single" w:sz="8" w:color="CCEEFF"/>
            </w:tcBorders>
            <w:shd w:val="clear" w:color="auto" w:fill="CCEEFF"/>
          </w:tcPr>
          <w:p>
            <w:pPr>
              <w:jc w:val="right"/>
              <w:spacing w:after="0" w:line="9"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9"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top w:val="single" w:sz="8" w:color="CCEEFF"/>
            </w:tcBorders>
            <w:shd w:val="clear" w:color="auto" w:fill="CCEEFF"/>
          </w:tcPr>
          <w:p>
            <w:pPr>
              <w:jc w:val="right"/>
              <w:spacing w:after="0" w:line="9" w:lineRule="exact"/>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​2,601,510</w:t>
            </w: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7"/>
                <w:szCs w:val="7"/>
                <w:color w:val="auto"/>
              </w:rPr>
              <w:t>(4)</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Founder, Chief Executive Officer and Chairman</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2"/>
                <w:szCs w:val="2"/>
                <w:color w:val="auto"/>
              </w:rPr>
              <w:t>Hua Mu, M.D., Ph.D.</w:t>
            </w:r>
          </w:p>
        </w:tc>
        <w:tc>
          <w:tcPr>
            <w:tcW w:w="3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​2023</w:t>
            </w:r>
          </w:p>
        </w:tc>
        <w:tc>
          <w:tcPr>
            <w:tcW w:w="680" w:type="dxa"/>
            <w:vAlign w:val="bottom"/>
            <w:tcBorders>
              <w:top w:val="single" w:sz="8" w:color="CCEEFF"/>
            </w:tcBorders>
            <w:gridSpan w:val="4"/>
          </w:tcPr>
          <w:p>
            <w:pPr>
              <w:jc w:val="right"/>
              <w:ind w:right="17"/>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​589,950</w:t>
            </w: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w:t>
            </w: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2"/>
                <w:szCs w:val="2"/>
                <w:color w:val="auto"/>
                <w:vertAlign w:val="subscript"/>
              </w:rPr>
              <w:t>—</w:t>
            </w:r>
            <w:r>
              <w:rPr>
                <w:rFonts w:ascii="Times New Roman" w:cs="Times New Roman" w:eastAsia="Times New Roman" w:hAnsi="Times New Roman"/>
                <w:sz w:val="1"/>
                <w:szCs w:val="1"/>
                <w:color w:val="auto"/>
              </w:rPr>
              <w:t>​​ ​</w:t>
            </w:r>
          </w:p>
        </w:tc>
        <w:tc>
          <w:tcPr>
            <w:tcW w:w="14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2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8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tcBorders>
              <w:top w:val="single" w:sz="8" w:color="CCEEFF"/>
            </w:tcBorders>
          </w:tcPr>
          <w:p>
            <w:pPr>
              <w:jc w:val="right"/>
              <w:ind w:right="27"/>
              <w:spacing w:after="0"/>
              <w:rPr>
                <w:sz w:val="20"/>
                <w:szCs w:val="20"/>
                <w:color w:val="auto"/>
              </w:rPr>
            </w:pPr>
            <w:r>
              <w:rPr>
                <w:rFonts w:ascii="Times New Roman" w:cs="Times New Roman" w:eastAsia="Times New Roman" w:hAnsi="Times New Roman"/>
                <w:sz w:val="2"/>
                <w:szCs w:val="2"/>
                <w:color w:val="auto"/>
              </w:rPr>
              <w:t>​​​</w:t>
            </w:r>
          </w:p>
        </w:tc>
        <w:tc>
          <w:tcPr>
            <w:tcW w:w="4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​667,097</w:t>
            </w: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7"/>
                <w:szCs w:val="7"/>
                <w:color w:val="auto"/>
                <w:w w:val="85"/>
              </w:rPr>
              <w:t>(10)</w:t>
            </w:r>
          </w:p>
        </w:tc>
        <w:tc>
          <w:tcPr>
            <w:tcW w:w="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​1,257,047</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95"/>
        </w:trPr>
        <w:tc>
          <w:tcPr>
            <w:tcW w:w="1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gridSpan w:val="3"/>
          </w:tcPr>
          <w:p>
            <w:pPr>
              <w:ind w:left="460"/>
              <w:spacing w:after="0"/>
              <w:rPr>
                <w:sz w:val="20"/>
                <w:szCs w:val="20"/>
                <w:color w:val="auto"/>
              </w:rPr>
            </w:pPr>
            <w:r>
              <w:rPr>
                <w:rFonts w:ascii="Times New Roman" w:cs="Times New Roman" w:eastAsia="Times New Roman" w:hAnsi="Times New Roman"/>
                <w:sz w:val="7"/>
                <w:szCs w:val="7"/>
                <w:color w:val="auto"/>
              </w:rPr>
              <w:t>(5)</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2"/>
                <w:szCs w:val="12"/>
                <w:i w:val="1"/>
                <w:iCs w:val="1"/>
                <w:color w:val="auto"/>
              </w:rPr>
              <w:t>Former Chief Executive Officer</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15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Farmer</w:t>
            </w:r>
          </w:p>
        </w:tc>
        <w:tc>
          <w:tcPr>
            <w:tcW w:w="1000" w:type="dxa"/>
            <w:vAlign w:val="bottom"/>
            <w:gridSpan w:val="6"/>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 xml:space="preserve">​2023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​471,458</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w:t>
            </w:r>
          </w:p>
        </w:tc>
        <w:tc>
          <w:tcPr>
            <w:tcW w:w="140" w:type="dxa"/>
            <w:vAlign w:val="bottom"/>
            <w:shd w:val="clear" w:color="auto" w:fill="CCEEFF"/>
          </w:tcPr>
          <w:p>
            <w:pPr>
              <w:ind w:left="80"/>
              <w:spacing w:after="0" w:line="15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bscript"/>
              </w:rPr>
              <w:t>​</w:t>
            </w:r>
          </w:p>
        </w:tc>
        <w:tc>
          <w:tcPr>
            <w:tcW w:w="52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625,017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92"/>
              <w:spacing w:after="0" w:line="157"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​197,508</w:t>
            </w:r>
          </w:p>
        </w:tc>
        <w:tc>
          <w:tcPr>
            <w:tcW w:w="16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ind w:left="60"/>
              <w:spacing w:after="0" w:line="15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bscript"/>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​1,293,983</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President and Chief Operating Officer</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5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2"/>
                <w:szCs w:val="2"/>
                <w:color w:val="auto"/>
              </w:rPr>
              <w:t>Jennifer Fox</w:t>
            </w:r>
          </w:p>
        </w:tc>
        <w:tc>
          <w:tcPr>
            <w:tcW w:w="3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​2023</w:t>
            </w:r>
          </w:p>
        </w:tc>
        <w:tc>
          <w:tcPr>
            <w:tcW w:w="1180" w:type="dxa"/>
            <w:vAlign w:val="bottom"/>
            <w:tcBorders>
              <w:top w:val="single" w:sz="8" w:color="CCEEFF"/>
            </w:tcBorders>
            <w:gridSpan w:val="7"/>
          </w:tcPr>
          <w:p>
            <w:pPr>
              <w:jc w:val="right"/>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40,064</w:t>
            </w: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​450,000</w:t>
            </w:r>
            <w:r>
              <w:rPr>
                <w:rFonts w:ascii="Times New Roman" w:cs="Times New Roman" w:eastAsia="Times New Roman" w:hAnsi="Times New Roman"/>
                <w:sz w:val="2"/>
                <w:szCs w:val="2"/>
                <w:color w:val="auto"/>
                <w:vertAlign w:val="superscript"/>
              </w:rPr>
              <w:t>​​ ​</w:t>
            </w:r>
          </w:p>
        </w:tc>
        <w:tc>
          <w:tcPr>
            <w:tcW w:w="660" w:type="dxa"/>
            <w:vAlign w:val="bottom"/>
            <w:tcBorders>
              <w:top w:val="single" w:sz="8" w:color="CCEEFF"/>
            </w:tcBorders>
            <w:gridSpan w:val="2"/>
          </w:tcPr>
          <w:p>
            <w:pPr>
              <w:jc w:val="right"/>
              <w:ind w:right="59"/>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​2,076,544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8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tcBorders>
              <w:top w:val="single" w:sz="8" w:color="CCEEFF"/>
            </w:tcBorders>
          </w:tcPr>
          <w:p>
            <w:pPr>
              <w:jc w:val="right"/>
              <w:ind w:right="27"/>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​2,566,608</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95"/>
        </w:trPr>
        <w:tc>
          <w:tcPr>
            <w:tcW w:w="1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gridSpan w:val="3"/>
          </w:tcPr>
          <w:p>
            <w:pPr>
              <w:ind w:left="460"/>
              <w:spacing w:after="0"/>
              <w:rPr>
                <w:sz w:val="20"/>
                <w:szCs w:val="20"/>
                <w:color w:val="auto"/>
              </w:rPr>
            </w:pPr>
            <w:r>
              <w:rPr>
                <w:rFonts w:ascii="Times New Roman" w:cs="Times New Roman" w:eastAsia="Times New Roman" w:hAnsi="Times New Roman"/>
                <w:sz w:val="7"/>
                <w:szCs w:val="7"/>
                <w:color w:val="auto"/>
              </w:rPr>
              <w:t>(6)</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46"/>
              <w:spacing w:after="0"/>
              <w:rPr>
                <w:sz w:val="20"/>
                <w:szCs w:val="20"/>
                <w:color w:val="auto"/>
              </w:rPr>
            </w:pPr>
            <w:r>
              <w:rPr>
                <w:rFonts w:ascii="Times New Roman" w:cs="Times New Roman" w:eastAsia="Times New Roman" w:hAnsi="Times New Roman"/>
                <w:sz w:val="7"/>
                <w:szCs w:val="7"/>
                <w:color w:val="auto"/>
              </w:rPr>
              <w:t>(8)</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2"/>
                <w:szCs w:val="12"/>
                <w:i w:val="1"/>
                <w:iCs w:val="1"/>
                <w:color w:val="auto"/>
              </w:rPr>
              <w:t>Chief Business Officer and Chief</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2"/>
                <w:szCs w:val="12"/>
                <w:i w:val="1"/>
                <w:iCs w:val="1"/>
                <w:color w:val="auto"/>
              </w:rPr>
              <w:t>Financial Officer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Tanya Z. Fischer, M.D., Ph.D.</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3"/>
          </w:tcPr>
          <w:p>
            <w:pPr>
              <w:ind w:left="460"/>
              <w:spacing w:after="0"/>
              <w:rPr>
                <w:sz w:val="20"/>
                <w:szCs w:val="20"/>
                <w:color w:val="auto"/>
              </w:rPr>
            </w:pPr>
            <w:r>
              <w:rPr>
                <w:rFonts w:ascii="Times New Roman" w:cs="Times New Roman" w:eastAsia="Times New Roman" w:hAnsi="Times New Roman"/>
                <w:sz w:val="7"/>
                <w:szCs w:val="7"/>
                <w:color w:val="auto"/>
              </w:rPr>
              <w:t>(7)</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gridSpan w:val="2"/>
          </w:tcPr>
          <w:p>
            <w:pPr>
              <w:jc w:val="right"/>
              <w:ind w:right="46"/>
              <w:spacing w:after="0"/>
              <w:rPr>
                <w:sz w:val="20"/>
                <w:szCs w:val="20"/>
                <w:color w:val="auto"/>
              </w:rPr>
            </w:pPr>
            <w:r>
              <w:rPr>
                <w:rFonts w:ascii="Times New Roman" w:cs="Times New Roman" w:eastAsia="Times New Roman" w:hAnsi="Times New Roman"/>
                <w:sz w:val="7"/>
                <w:szCs w:val="7"/>
                <w:color w:val="auto"/>
              </w:rPr>
              <w:t>(9)</w:t>
            </w:r>
          </w:p>
        </w:tc>
        <w:tc>
          <w:tcPr>
            <w:tcW w:w="660" w:type="dxa"/>
            <w:vAlign w:val="bottom"/>
            <w:gridSpan w:val="2"/>
            <w:vMerge w:val="restart"/>
          </w:tcPr>
          <w:p>
            <w:pPr>
              <w:jc w:val="right"/>
              <w:ind w:right="59"/>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​1,389,262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bscript"/>
              </w:rPr>
              <w:t>​</w:t>
            </w:r>
          </w:p>
        </w:tc>
        <w:tc>
          <w:tcPr>
            <w:tcW w:w="440" w:type="dxa"/>
            <w:vAlign w:val="bottom"/>
            <w:vMerge w:val="restart"/>
          </w:tcPr>
          <w:p>
            <w:pPr>
              <w:jc w:val="right"/>
              <w:ind w:right="9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jc w:val="right"/>
              <w:ind w:right="27"/>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60"/>
              <w:spacing w:after="0" w:line="191"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bscript"/>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00" w:type="dxa"/>
            <w:vAlign w:val="bottom"/>
            <w:gridSpan w:val="3"/>
            <w:vMerge w:val="restart"/>
          </w:tcPr>
          <w:p>
            <w:pPr>
              <w:jc w:val="right"/>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​1,721,804</w:t>
            </w:r>
            <w:r>
              <w:rPr>
                <w:rFonts w:ascii="Times New Roman" w:cs="Times New Roman" w:eastAsia="Times New Roman" w:hAnsi="Times New Roman"/>
                <w:sz w:val="22"/>
                <w:szCs w:val="22"/>
                <w:color w:val="auto"/>
                <w:vertAlign w:val="superscript"/>
              </w:rPr>
              <w:t>​</w:t>
            </w:r>
          </w:p>
        </w:tc>
        <w:tc>
          <w:tcPr>
            <w:tcW w:w="0" w:type="dxa"/>
            <w:vAlign w:val="bottom"/>
          </w:tcPr>
          <w:p>
            <w:pPr>
              <w:spacing w:after="0"/>
              <w:rPr>
                <w:sz w:val="1"/>
                <w:szCs w:val="1"/>
                <w:color w:val="auto"/>
              </w:rPr>
            </w:pPr>
          </w:p>
        </w:tc>
      </w:tr>
      <w:tr>
        <w:trPr>
          <w:trHeight w:val="82"/>
        </w:trPr>
        <w:tc>
          <w:tcPr>
            <w:tcW w:w="2500" w:type="dxa"/>
            <w:vAlign w:val="bottom"/>
            <w:gridSpan w:val="2"/>
            <w:vMerge w:val="continue"/>
          </w:tcPr>
          <w:p>
            <w:pPr>
              <w:spacing w:after="0"/>
              <w:rPr>
                <w:sz w:val="7"/>
                <w:szCs w:val="7"/>
                <w:color w:val="auto"/>
              </w:rPr>
            </w:pPr>
          </w:p>
        </w:tc>
        <w:tc>
          <w:tcPr>
            <w:tcW w:w="1500" w:type="dxa"/>
            <w:vAlign w:val="bottom"/>
            <w:gridSpan w:val="9"/>
          </w:tcPr>
          <w:p>
            <w:pPr>
              <w:jc w:val="right"/>
              <w:spacing w:after="0" w:line="83"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6"/>
                <w:szCs w:val="6"/>
                <w:color w:val="auto"/>
              </w:rPr>
              <w:t xml:space="preserve">​2023 </w:t>
            </w: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6"/>
                <w:szCs w:val="6"/>
                <w:color w:val="auto"/>
              </w:rPr>
              <w:t>​ 78,462</w:t>
            </w:r>
            <w:r>
              <w:rPr>
                <w:rFonts w:ascii="Times New Roman" w:cs="Times New Roman" w:eastAsia="Times New Roman" w:hAnsi="Times New Roman"/>
                <w:sz w:val="9"/>
                <w:szCs w:val="9"/>
                <w:color w:val="auto"/>
                <w:vertAlign w:val="superscript"/>
              </w:rPr>
              <w:t>​​ ​​</w:t>
            </w:r>
            <w:r>
              <w:rPr>
                <w:rFonts w:ascii="Times New Roman" w:cs="Times New Roman" w:eastAsia="Times New Roman" w:hAnsi="Times New Roman"/>
                <w:sz w:val="6"/>
                <w:szCs w:val="6"/>
                <w:color w:val="auto"/>
              </w:rPr>
              <w:t>​254,080</w:t>
            </w:r>
            <w:r>
              <w:rPr>
                <w:rFonts w:ascii="Times New Roman" w:cs="Times New Roman" w:eastAsia="Times New Roman" w:hAnsi="Times New Roman"/>
                <w:sz w:val="9"/>
                <w:szCs w:val="9"/>
                <w:color w:val="auto"/>
                <w:vertAlign w:val="superscript"/>
              </w:rPr>
              <w:t>​​ ​</w:t>
            </w:r>
          </w:p>
        </w:tc>
        <w:tc>
          <w:tcPr>
            <w:tcW w:w="66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-107315</wp:posOffset>
            </wp:positionV>
            <wp:extent cx="4241800" cy="2997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41800" cy="29972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2"/>
          <w:szCs w:val="12"/>
          <w:i w:val="1"/>
          <w:iCs w:val="1"/>
          <w:color w:val="auto"/>
        </w:rPr>
        <w:t>Head of Research and Development and</w:t>
      </w:r>
    </w:p>
    <w:p>
      <w:pPr>
        <w:ind w:left="1280"/>
        <w:spacing w:after="0"/>
        <w:rPr>
          <w:sz w:val="20"/>
          <w:szCs w:val="20"/>
          <w:color w:val="auto"/>
        </w:rPr>
      </w:pPr>
      <w:r>
        <w:rPr>
          <w:rFonts w:ascii="Times New Roman" w:cs="Times New Roman" w:eastAsia="Times New Roman" w:hAnsi="Times New Roman"/>
          <w:sz w:val="12"/>
          <w:szCs w:val="12"/>
          <w:i w:val="1"/>
          <w:iCs w:val="1"/>
          <w:color w:val="auto"/>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121285</wp:posOffset>
            </wp:positionV>
            <wp:extent cx="44640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74" w:lineRule="exact"/>
        <w:rPr>
          <w:sz w:val="20"/>
          <w:szCs w:val="20"/>
          <w:color w:val="auto"/>
        </w:rPr>
      </w:pPr>
    </w:p>
    <w:p>
      <w:pPr>
        <w:ind w:left="1460" w:right="1179" w:hanging="296"/>
        <w:spacing w:after="0" w:line="250" w:lineRule="auto"/>
        <w:tabs>
          <w:tab w:leader="none" w:pos="146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include amounts that our named executive officers and Mr. Farmer earned and deferred into our retirement plan, described below under “Retirement Plans and Separation Arrangements.”</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line="236" w:lineRule="auto"/>
        <w:tabs>
          <w:tab w:leader="none" w:pos="146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in this column represent the grant date fair value of options to purchase our common stock granted to Mr. Moulder, Mr. Farmer, Ms. Fox and Dr. Fischer in fiscal year 2023, computed in accordance with FASB ASC Topic 718, excluding the effect of estimated forfeitures. The assumptions used to value the options for this purpose are set forth in Note</w:t>
      </w:r>
    </w:p>
    <w:p>
      <w:pPr>
        <w:ind w:left="1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to our consolidated financial statements included elsewhere in this prospectus.</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8" w:name="page169"/>
    <w:bookmarkEnd w:id="16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460" w:right="1179" w:hanging="296"/>
        <w:spacing w:after="0" w:line="235" w:lineRule="auto"/>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shown in this column is the full annual bonus amount payable in respect of fiscal year 2023 to Mr. Farmer. Our board of directors has the discretion to determine Mr. Moulder’s earned bonus for each fiscal year in which he remains eligible to participate in the Annual Bonus Plan. For fiscal year 2023, Mr. Moulder waived his bonus in advance of a meeting of the board of directors in which his annual bonus would have been discussed and determined. Our annual bonus program is described below under “Annual Performance Bonus Opportunity.”</w:t>
      </w:r>
    </w:p>
    <w:p>
      <w:pPr>
        <w:spacing w:after="0" w:line="38"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Moulder commenced employment with the Company on June 29, 2023 with an annual base salary of $250,000. The reported amount reflects his prorated base salary for fiscal year 2023.</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paid Dr. Mu at a rate based on his annual base salary of $589,950 through June 28, 2023, and then from his transition date of June 29, 2023 we paid him a base salary of $49,163 per month through his separation date of December 31, 2023.</w:t>
      </w:r>
    </w:p>
    <w:p>
      <w:pPr>
        <w:spacing w:after="0" w:line="185"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Fox commenced employment with the Company on December 4, 2023 with an annual base salary of $500,000. The reported amount reflects her prorated base salary for fiscal year 2023.</w:t>
      </w:r>
    </w:p>
    <w:p>
      <w:pPr>
        <w:spacing w:after="0" w:line="31"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Fischer commenced employment with the Company on October 30, 2023 with an annual base salary of $450,000. The reported amount reflects her prorated base salary for fiscal year 2023.</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line="233" w:lineRule="auto"/>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in this column represent the $200,000 signing bonus paid to Ms. Fox in fiscal year 2023 in connection with the commencement of her employment in December 2023, and the $250,000 annual bonus payable to Ms. Fox in respect of fiscal year 2023, the full target bonus amount for the year, as was negotiated as part of Ms. Fox’s employment agreement. If Ms. Fox voluntarily leaves the Company within 12 months following December 4, 2023, she must repay to the Company the $200,000 signing bonus. Additionally, Ms. Fox is eligible to receive an additional $100,000 bonus in December 2024 if she is employed with the Company at that time; however, if Ms. Fox leaves the Company between 12 months and 24 months following December 4, 2023, she must repay to the Company the additional $100,000 bonus. Our annual bonus program is described below under “Annual Performance Bonus Opportunity.”</w:t>
      </w:r>
    </w:p>
    <w:p>
      <w:pPr>
        <w:spacing w:after="0" w:line="37"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in this column represent the $100,000 signing bonus paid to Dr. Fischer in fiscal year 2023 in connection with the commencement of her employment in October 2023, and the $154,080 annual bonus payable to Dr. Fischer in respect of fiscal year 2023, with the annual bonus calculated as though she was employed for the full fiscal year, as was negotiated as part of Dr. Fischer’s employment agreement. If Dr. Fischer voluntarily leaves the Company without Good Reason (as defined in her employment agreement) within 24 months following October 30, 2023, she must repay to the Company the $100,000 signing bonus subtracted by 1/24 of the value of such signing bonus for each month that she was an employee of the Company prior to the date her employment terminates. Our annual bonus program is described below under “Annual Performance Bonus Opportunity.”</w:t>
      </w:r>
    </w:p>
    <w:p>
      <w:pPr>
        <w:spacing w:after="0" w:line="143"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reported in this column represents the severance earned by Dr. Mu in fiscal year 2023, which consists of salary continuation, an amount equal to his full annual target bonus, and his accrued but unused vacation, and is described in detail below under “Retirement Plans and Separation Arrangements.”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Narrative to the Summary Compensation Table</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Historically, our board of directors was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26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Our board of directors has determined our executive officers’ compensation and has typically reviewed and discussed management’s proposed compensation with our chief executive officer for all executives other than our chief executive officer. Based on those discussions and its discretion, our board of directors then approved the compensation of each executive officer.</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Annual Base Salary</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board of directors approves the base salaries for our executive officers, which the board of directors initially establishes through arm’s-length negotiations at the time of the executive officer’s hiring, taking into account such executive officer’s qualifications, experience, the scope of such executive officer’s responsibilities and competitive market compensation paid by other companies for similar positions within the industry and geography. Our board of directors periodically reviews our executive officers’ base salaries, and adjusts the base salaries from time to time to realign salaries with market levels after taking into account individual responsibilities, performance and experience.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Annual Performance Bonus Opportunity</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executive officers are eligible to earn an annual cash incentive bonus (the “Annual Bonus”) under our Short-Term Incentive Plan, effective January 1, 2023 (the “Short-Term Incentive Plan”) based on the achievement of pre-established performance objectives that our board of directors determines at the beginning of the fiscal year. The Annual Bonuses are based on both our performance and the executive officer’s individual performance when determining the amount of the Annual Bonus paid to the executive officer. In addition,</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9" w:name="page170"/>
    <w:bookmarkEnd w:id="16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our board of directors may reduce the Annual Bonus, including to zero, if the executive officer is not in compliance with our policies, guidelines and applicable laws. The Annual Bonus target amount is based on a percentage of the executive officer’s annual base salary. If the minimum Company performance objectives are not met, then no Annual Bonus payments will be made. The Annual Bonus is capped at 150% of the executive officer’s target bonus, in the event that our performance objectives exceed the targeted goals. Furthermore, an executive officer must be employed at the time of the payment of the Annual Bonus in order to be eligible for and to earn the Annual Bonus.</w:t>
      </w:r>
    </w:p>
    <w:p>
      <w:pPr>
        <w:spacing w:after="0" w:line="10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For 2023, each of Dr. Mu, Mr. Farmer, Ms. Fox and Dr. Fischer, had a target bonus equal to 60%, 50%, 50% and 40% of their base salary, respectively. Mr. Moulder is eligible to participate in the Short-Term Incentive Plan; however, he and the Company agreed that his bonus would not be subject to the target bonus percentage in the Short-Term Incentive Plan. Instead, our board of directors has the discretion to determine his earned bonus for each fiscal year in which he remains eligible to participate in the Annual Bonus Plan. For fiscal year 2023, Mr. Moulder waived his bonus in advance of a meeting of the board of directors in which his annual bonus would have been discussed and determined. Because Dr. Mu’s employment terminated before the Company payment, he is ineligible to receive the Annual Bonus for 2023; however, pursuant to Dr. Mu’s Separation Agreement, described in more detail below under “Retirement Plans and Separation Arrangements,” he is entitled to receive a payment equal to the amount of his target bonus for 2023. The terms of Ms. Fox’s and Dr. Fischer’s Annual Bonus were in each of their employment agreements, which were negotiated prior to their hire date. Ms. Fox’s employment agreement provides that she will receive her full target bonus amount for the 2023 fiscal year. Dr. Fischer’s employment agreement provides that her Annual Bonus for 2023 will be calculated as though she was employed for the full fiscal year.</w:t>
      </w:r>
    </w:p>
    <w:p>
      <w:pPr>
        <w:spacing w:after="0" w:line="28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corporate performance goals the board of directors established for fiscal year 2023 related to regulatory, clinical and development goals, as well as operational objectives. In February 2024, our board of directors determined that the fiscal year 2023 corporate goals were achieved at 82% overall, and as a result, approved Annual Bonuses for Mr. Farmer and Dr. Fischer, as reflected, respectively, in the “Non-Equity Incentive Plan Compensation” column of the Summary Compensation Table and the “Bonus” column of the Summary Compensation Table above. Our board of directors also approved the Annual Bonus for Ms. Fox, as reflected in the “Bonus” column of the Summary Compensation Table above.</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Equity-Based Incentive Awards</w:t>
      </w:r>
    </w:p>
    <w:p>
      <w:pPr>
        <w:spacing w:after="0" w:line="11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equity award program is the primary vehicle for offering long-term incentives to our executive officers. We believe that equity awards provide our executives with a strong link to our long-term performance, create an ownership culture and help to align the interests of our executives and our stockholders. To date, we have used stock option grants and restricted stock awards for this purpose because we believe they are an effective means by which to align the long-term interests of our executive officers with those of our stockholders. We believe that our equity awards are an important retention tool for our executive officers, as well as for our other employees. Grants to our executive officers and other employees are made at the discretion of our board of directors and are not made at any specific time period during a year.</w:t>
      </w:r>
    </w:p>
    <w:p>
      <w:pPr>
        <w:spacing w:after="0" w:line="2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July 2023, in connection with his commencement of employment, we granted Mr. Moulder an option to purchase 2,675,000 shares of our common stock. The option has an exercise price of $1.07 per share and is subject to a four-year vesting schedule, with 25% of the shares vesting in June 2024 on the first anniversary of the vesting commencement date and the balance vesting monthly in substantially equal installments over the following 36 months, subject to Mr. Moulder’s continued service with us through each vesting date.</w:t>
      </w:r>
    </w:p>
    <w:p>
      <w:pPr>
        <w:spacing w:after="0" w:line="28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July 2023, we granted Mr. Farmer an option to purchase 675,000 shares of our common stock. The option has an exercise price of $1.07 per share and is subject to a four-year vesting schedule, with 25% of the shares vesting in July 2024 on the first anniversary of the vesting commencement date and the balance vesting monthly in substantially equal instalments over the following 36 months, subject to Mr. Farmer’s continued service with us through each vesting date.</w:t>
      </w:r>
    </w:p>
    <w:p>
      <w:pPr>
        <w:spacing w:after="0" w:line="90"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October 2023, in connection with her commencement of employment, we granted Dr. Fischer an option to purchase 1,500,000 shares of our common stock. The option has an exercise price of $1.21 per share and is subject to a four-year vesting schedule, with 25% of the shares vesting in October 2024 on the first</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0" w:name="page171"/>
    <w:bookmarkEnd w:id="17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anniversary of the vesting commencement date and the balance vesting monthly in substantially equal installments over the following 36 months, subject to Ms. Fischer’s continued service with us through each vesting date.</w:t>
      </w:r>
    </w:p>
    <w:p>
      <w:pPr>
        <w:spacing w:after="0" w:line="8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December 2023, in connection with her commencement of employment, we granted Ms. Fox an option to purchase 2,000,000 shares of our common stock. The option has an exercise price of $1.37 per share and is subject to a four-year vesting schedule, with 25% of the shares vesting in December 2024 on the first anniversary of the vesting commencement date and the balance vesting monthly in substantially equal installments over the following 36 months, subject to Ms. Fox’s continued service with us through each vesting date. Additionally, upon any equity financing event through December 31, 2024 (including an initial public offering), Ms. Fox is entitled to receive an additional grant of an option to purchase a certain number of shares of our common stock such that Ms. Fox maintains at least 1.5% ownership of our outstanding shares on an as-converted basis.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Outstanding Equity Awards as of December 31, 2023</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presents the outstanding equity awards held by each named executive officer and Mr. Farmer as of December 31, 2023.</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0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4"/>
          </w:tcPr>
          <w:p>
            <w:pPr>
              <w:ind w:left="24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2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1"/>
              <w:spacing w:after="0" w:line="137" w:lineRule="exact"/>
              <w:rPr>
                <w:sz w:val="20"/>
                <w:szCs w:val="20"/>
                <w:color w:val="auto"/>
              </w:rPr>
            </w:pPr>
            <w:r>
              <w:rPr>
                <w:rFonts w:ascii="Times New Roman" w:cs="Times New Roman" w:eastAsia="Times New Roman" w:hAnsi="Times New Roman"/>
                <w:sz w:val="12"/>
                <w:szCs w:val="12"/>
                <w:b w:val="1"/>
                <w:bCs w:val="1"/>
                <w:color w:val="auto"/>
                <w:w w:val="93"/>
              </w:rPr>
              <w:t>Market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8"/>
              </w:rPr>
              <w:t>Value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130"/>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40" w:type="dxa"/>
            <w:vAlign w:val="bottom"/>
          </w:tcPr>
          <w:p>
            <w:pPr>
              <w:spacing w:after="0"/>
              <w:rPr>
                <w:sz w:val="11"/>
                <w:szCs w:val="11"/>
                <w:color w:val="auto"/>
              </w:rPr>
            </w:pPr>
          </w:p>
        </w:tc>
        <w:tc>
          <w:tcPr>
            <w:tcW w:w="840" w:type="dxa"/>
            <w:vAlign w:val="bottom"/>
            <w:gridSpan w:val="3"/>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center"/>
              <w:ind w:right="74"/>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50"/>
              <w:spacing w:after="0" w:line="132" w:lineRule="exact"/>
              <w:rPr>
                <w:sz w:val="20"/>
                <w:szCs w:val="20"/>
                <w:color w:val="auto"/>
              </w:rPr>
            </w:pPr>
            <w:r>
              <w:rPr>
                <w:rFonts w:ascii="Times New Roman" w:cs="Times New Roman" w:eastAsia="Times New Roman" w:hAnsi="Times New Roman"/>
                <w:sz w:val="12"/>
                <w:szCs w:val="12"/>
                <w:b w:val="1"/>
                <w:bCs w:val="1"/>
                <w:color w:val="auto"/>
                <w:w w:val="91"/>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2"/>
                <w:szCs w:val="12"/>
                <w:b w:val="1"/>
                <w:bCs w:val="1"/>
                <w:color w:val="auto"/>
                <w:w w:val="91"/>
              </w:rPr>
              <w:t>Securities</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9"/>
              </w:rPr>
              <w:t>Shares 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Units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110"/>
              <w:spacing w:after="0" w:line="132" w:lineRule="exact"/>
              <w:rPr>
                <w:sz w:val="20"/>
                <w:szCs w:val="20"/>
                <w:color w:val="auto"/>
              </w:rPr>
            </w:pPr>
            <w:r>
              <w:rPr>
                <w:rFonts w:ascii="Times New Roman" w:cs="Times New Roman" w:eastAsia="Times New Roman" w:hAnsi="Times New Roman"/>
                <w:sz w:val="12"/>
                <w:szCs w:val="12"/>
                <w:b w:val="1"/>
                <w:bCs w:val="1"/>
                <w:color w:val="auto"/>
                <w:w w:val="93"/>
              </w:rPr>
              <w:t>Underlying</w:t>
            </w:r>
          </w:p>
        </w:tc>
        <w:tc>
          <w:tcPr>
            <w:tcW w:w="40" w:type="dxa"/>
            <w:vAlign w:val="bottom"/>
          </w:tcPr>
          <w:p>
            <w:pPr>
              <w:spacing w:after="0"/>
              <w:rPr>
                <w:sz w:val="11"/>
                <w:szCs w:val="11"/>
                <w:color w:val="auto"/>
              </w:rPr>
            </w:pPr>
          </w:p>
        </w:tc>
        <w:tc>
          <w:tcPr>
            <w:tcW w:w="84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Underlying</w:t>
            </w:r>
          </w:p>
        </w:tc>
        <w:tc>
          <w:tcPr>
            <w:tcW w:w="4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7"/>
              <w:spacing w:after="0" w:line="132" w:lineRule="exact"/>
              <w:rPr>
                <w:sz w:val="20"/>
                <w:szCs w:val="20"/>
                <w:color w:val="auto"/>
              </w:rPr>
            </w:pPr>
            <w:r>
              <w:rPr>
                <w:rFonts w:ascii="Times New Roman" w:cs="Times New Roman" w:eastAsia="Times New Roman" w:hAnsi="Times New Roman"/>
                <w:sz w:val="12"/>
                <w:szCs w:val="12"/>
                <w:b w:val="1"/>
                <w:bCs w:val="1"/>
                <w:color w:val="auto"/>
                <w:w w:val="89"/>
              </w:rPr>
              <w:t>Units 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Stock That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jc w:val="center"/>
              <w:ind w:right="90"/>
              <w:spacing w:after="0" w:line="132" w:lineRule="exact"/>
              <w:rPr>
                <w:sz w:val="20"/>
                <w:szCs w:val="20"/>
                <w:color w:val="auto"/>
              </w:rPr>
            </w:pPr>
            <w:r>
              <w:rPr>
                <w:rFonts w:ascii="Times New Roman" w:cs="Times New Roman" w:eastAsia="Times New Roman" w:hAnsi="Times New Roman"/>
                <w:sz w:val="12"/>
                <w:szCs w:val="12"/>
                <w:b w:val="1"/>
                <w:bCs w:val="1"/>
                <w:color w:val="auto"/>
                <w:w w:val="92"/>
              </w:rPr>
              <w:t>Unexercised</w:t>
            </w:r>
          </w:p>
        </w:tc>
        <w:tc>
          <w:tcPr>
            <w:tcW w:w="40" w:type="dxa"/>
            <w:vAlign w:val="bottom"/>
          </w:tcPr>
          <w:p>
            <w:pPr>
              <w:spacing w:after="0"/>
              <w:rPr>
                <w:sz w:val="11"/>
                <w:szCs w:val="11"/>
                <w:color w:val="auto"/>
              </w:rPr>
            </w:pPr>
          </w:p>
        </w:tc>
        <w:tc>
          <w:tcPr>
            <w:tcW w:w="84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2"/>
              </w:rPr>
              <w:t>Unexercised</w:t>
            </w:r>
          </w:p>
        </w:tc>
        <w:tc>
          <w:tcPr>
            <w:tcW w:w="440" w:type="dxa"/>
            <w:vAlign w:val="bottom"/>
            <w:gridSpan w:val="2"/>
          </w:tcPr>
          <w:p>
            <w:pPr>
              <w:jc w:val="center"/>
              <w:ind w:right="14"/>
              <w:spacing w:after="0" w:line="132"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35"/>
              <w:spacing w:after="0" w:line="132"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center"/>
              <w:ind w:right="74"/>
              <w:spacing w:after="0" w:line="132" w:lineRule="exact"/>
              <w:rPr>
                <w:sz w:val="20"/>
                <w:szCs w:val="20"/>
                <w:color w:val="auto"/>
              </w:rPr>
            </w:pPr>
            <w:r>
              <w:rPr>
                <w:rFonts w:ascii="Times New Roman" w:cs="Times New Roman" w:eastAsia="Times New Roman" w:hAnsi="Times New Roman"/>
                <w:sz w:val="12"/>
                <w:szCs w:val="12"/>
                <w:b w:val="1"/>
                <w:bCs w:val="1"/>
                <w:color w:val="auto"/>
                <w:w w:val="92"/>
              </w:rPr>
              <w:t>Stock That</w:t>
            </w: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Have Not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center"/>
              <w:ind w:right="110"/>
              <w:spacing w:after="0" w:line="122" w:lineRule="exact"/>
              <w:rPr>
                <w:sz w:val="20"/>
                <w:szCs w:val="20"/>
                <w:color w:val="auto"/>
              </w:rPr>
            </w:pPr>
            <w:r>
              <w:rPr>
                <w:rFonts w:ascii="Times New Roman" w:cs="Times New Roman" w:eastAsia="Times New Roman" w:hAnsi="Times New Roman"/>
                <w:sz w:val="12"/>
                <w:szCs w:val="12"/>
                <w:b w:val="1"/>
                <w:bCs w:val="1"/>
                <w:color w:val="auto"/>
                <w:w w:val="93"/>
              </w:rPr>
              <w:t>Options (#)</w:t>
            </w:r>
          </w:p>
        </w:tc>
        <w:tc>
          <w:tcPr>
            <w:tcW w:w="40" w:type="dxa"/>
            <w:vAlign w:val="bottom"/>
          </w:tcPr>
          <w:p>
            <w:pPr>
              <w:spacing w:after="0"/>
              <w:rPr>
                <w:sz w:val="10"/>
                <w:szCs w:val="10"/>
                <w:color w:val="auto"/>
              </w:rPr>
            </w:pPr>
          </w:p>
        </w:tc>
        <w:tc>
          <w:tcPr>
            <w:tcW w:w="84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3"/>
              </w:rPr>
              <w:t>Options (#)</w:t>
            </w:r>
          </w:p>
        </w:tc>
        <w:tc>
          <w:tcPr>
            <w:tcW w:w="440" w:type="dxa"/>
            <w:vAlign w:val="bottom"/>
            <w:gridSpan w:val="2"/>
          </w:tcPr>
          <w:p>
            <w:pPr>
              <w:jc w:val="center"/>
              <w:ind w:right="14"/>
              <w:spacing w:after="0" w:line="122" w:lineRule="exact"/>
              <w:rPr>
                <w:sz w:val="20"/>
                <w:szCs w:val="20"/>
                <w:color w:val="auto"/>
              </w:rPr>
            </w:pPr>
            <w:r>
              <w:rPr>
                <w:rFonts w:ascii="Times New Roman" w:cs="Times New Roman" w:eastAsia="Times New Roman" w:hAnsi="Times New Roman"/>
                <w:sz w:val="12"/>
                <w:szCs w:val="12"/>
                <w:b w:val="1"/>
                <w:bCs w:val="1"/>
                <w:color w:val="auto"/>
                <w:w w:val="89"/>
              </w:rPr>
              <w:t>Price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15"/>
              <w:spacing w:after="0" w:line="122" w:lineRule="exact"/>
              <w:rPr>
                <w:sz w:val="20"/>
                <w:szCs w:val="20"/>
                <w:color w:val="auto"/>
              </w:rPr>
            </w:pPr>
            <w:r>
              <w:rPr>
                <w:rFonts w:ascii="Times New Roman" w:cs="Times New Roman" w:eastAsia="Times New Roman" w:hAnsi="Times New Roman"/>
                <w:sz w:val="12"/>
                <w:szCs w:val="12"/>
                <w:b w:val="1"/>
                <w:bCs w:val="1"/>
                <w:color w:val="auto"/>
                <w:w w:val="93"/>
              </w:rPr>
              <w:t>Expiration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0"/>
              </w:rPr>
              <w:t>Have Not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1"/>
              <w:spacing w:after="0" w:line="122"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1720" w:type="dxa"/>
            <w:vAlign w:val="bottom"/>
            <w:gridSpan w:val="2"/>
          </w:tcPr>
          <w:p>
            <w:pPr>
              <w:spacing w:after="0"/>
              <w:rPr>
                <w:sz w:val="14"/>
                <w:szCs w:val="14"/>
                <w:color w:val="auto"/>
              </w:rPr>
            </w:pPr>
          </w:p>
        </w:tc>
        <w:tc>
          <w:tcPr>
            <w:tcW w:w="1000" w:type="dxa"/>
            <w:vAlign w:val="bottom"/>
            <w:gridSpan w:val="6"/>
          </w:tcPr>
          <w:p>
            <w:pPr>
              <w:jc w:val="center"/>
              <w:ind w:left="58"/>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Exercisable </w:t>
            </w:r>
            <w:r>
              <w:rPr>
                <w:rFonts w:ascii="Times New Roman" w:cs="Times New Roman" w:eastAsia="Times New Roman" w:hAnsi="Times New Roman"/>
                <w:sz w:val="19"/>
                <w:szCs w:val="19"/>
                <w:b w:val="1"/>
                <w:bCs w:val="1"/>
                <w:color w:val="auto"/>
                <w:vertAlign w:val="subscript"/>
              </w:rPr>
              <w:t>​</w:t>
            </w:r>
          </w:p>
        </w:tc>
        <w:tc>
          <w:tcPr>
            <w:tcW w:w="880" w:type="dxa"/>
            <w:vAlign w:val="bottom"/>
            <w:gridSpan w:val="4"/>
          </w:tcPr>
          <w:p>
            <w:pPr>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Unexercisable </w:t>
            </w:r>
            <w:r>
              <w:rPr>
                <w:rFonts w:ascii="Times New Roman" w:cs="Times New Roman" w:eastAsia="Times New Roman" w:hAnsi="Times New Roman"/>
                <w:sz w:val="19"/>
                <w:szCs w:val="19"/>
                <w:b w:val="1"/>
                <w:bCs w:val="1"/>
                <w:color w:val="auto"/>
                <w:vertAlign w:val="subscript"/>
              </w:rPr>
              <w:t>​ ​</w:t>
            </w:r>
          </w:p>
        </w:tc>
        <w:tc>
          <w:tcPr>
            <w:tcW w:w="120" w:type="dxa"/>
            <w:vAlign w:val="bottom"/>
          </w:tcPr>
          <w:p>
            <w:pPr>
              <w:spacing w:after="0"/>
              <w:rPr>
                <w:sz w:val="14"/>
                <w:szCs w:val="14"/>
                <w:color w:val="auto"/>
              </w:rPr>
            </w:pPr>
          </w:p>
        </w:tc>
        <w:tc>
          <w:tcPr>
            <w:tcW w:w="32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Vested</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9"/>
                <w:szCs w:val="19"/>
                <w:b w:val="1"/>
                <w:bCs w:val="1"/>
                <w:color w:val="auto"/>
                <w:w w:val="86"/>
                <w:vertAlign w:val="subscript"/>
              </w:rPr>
              <w:t>($)</w:t>
            </w:r>
            <w:r>
              <w:rPr>
                <w:rFonts w:ascii="Times New Roman" w:cs="Times New Roman" w:eastAsia="Times New Roman" w:hAnsi="Times New Roman"/>
                <w:sz w:val="7"/>
                <w:szCs w:val="7"/>
                <w:b w:val="1"/>
                <w:bCs w:val="1"/>
                <w:color w:val="auto"/>
                <w:w w:val="86"/>
              </w:rPr>
              <w:t>(1)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2"/>
        </w:trPr>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222"/>
        </w:trPr>
        <w:tc>
          <w:tcPr>
            <w:tcW w:w="20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Leon O. Moulder, Jr.</w:t>
            </w:r>
          </w:p>
        </w:tc>
        <w:tc>
          <w:tcPr>
            <w:tcW w:w="200" w:type="dxa"/>
            <w:vAlign w:val="bottom"/>
            <w:vMerge w:val="continue"/>
          </w:tcPr>
          <w:p>
            <w:pPr>
              <w:spacing w:after="0"/>
              <w:rPr>
                <w:sz w:val="19"/>
                <w:szCs w:val="19"/>
                <w:color w:val="auto"/>
              </w:rPr>
            </w:pPr>
          </w:p>
        </w:tc>
        <w:tc>
          <w:tcPr>
            <w:tcW w:w="60" w:type="dxa"/>
            <w:vAlign w:val="bottom"/>
            <w:vMerge w:val="continue"/>
            <w:shd w:val="clear" w:color="auto" w:fill="CCEEFF"/>
          </w:tcPr>
          <w:p>
            <w:pPr>
              <w:spacing w:after="0"/>
              <w:rPr>
                <w:sz w:val="19"/>
                <w:szCs w:val="19"/>
                <w:color w:val="auto"/>
              </w:rPr>
            </w:pPr>
          </w:p>
        </w:tc>
        <w:tc>
          <w:tcPr>
            <w:tcW w:w="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p>
        </w:tc>
        <w:tc>
          <w:tcPr>
            <w:tcW w:w="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vMerge w:val="continue"/>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​2,675,000</w:t>
            </w:r>
            <w:r>
              <w:rPr>
                <w:rFonts w:ascii="Times New Roman" w:cs="Times New Roman" w:eastAsia="Times New Roman" w:hAnsi="Times New Roman"/>
                <w:sz w:val="17"/>
                <w:szCs w:val="17"/>
                <w:color w:val="auto"/>
                <w:vertAlign w:val="superscript"/>
              </w:rPr>
              <w:t>(6)</w:t>
            </w:r>
            <w:r>
              <w:rPr>
                <w:rFonts w:ascii="Times New Roman" w:cs="Times New Roman" w:eastAsia="Times New Roman" w:hAnsi="Times New Roman"/>
                <w:sz w:val="25"/>
                <w:szCs w:val="25"/>
                <w:color w:val="auto"/>
                <w:vertAlign w:val="superscript"/>
              </w:rPr>
              <w:t>​​ ​</w:t>
            </w:r>
          </w:p>
        </w:tc>
        <w:tc>
          <w:tcPr>
            <w:tcW w:w="440" w:type="dxa"/>
            <w:vAlign w:val="bottom"/>
            <w:tcBorders>
              <w:right w:val="single" w:sz="8" w:color="CCEEFF"/>
            </w:tcBorders>
            <w:gridSpan w:val="2"/>
            <w:shd w:val="clear" w:color="auto" w:fill="CCEEFF"/>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​1.07</w:t>
            </w:r>
          </w:p>
        </w:tc>
        <w:tc>
          <w:tcPr>
            <w:tcW w:w="160" w:type="dxa"/>
            <w:vAlign w:val="bottom"/>
            <w:vMerge w:val="continue"/>
            <w:shd w:val="clear" w:color="auto" w:fill="CCEEFF"/>
          </w:tcPr>
          <w:p>
            <w:pPr>
              <w:spacing w:after="0"/>
              <w:rPr>
                <w:sz w:val="19"/>
                <w:szCs w:val="19"/>
                <w:color w:val="auto"/>
              </w:rPr>
            </w:pPr>
          </w:p>
        </w:tc>
        <w:tc>
          <w:tcPr>
            <w:tcW w:w="680" w:type="dxa"/>
            <w:vAlign w:val="bottom"/>
            <w:gridSpan w:val="2"/>
            <w:shd w:val="clear" w:color="auto" w:fill="CCEEFF"/>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7/17/2033</w:t>
            </w:r>
          </w:p>
        </w:tc>
        <w:tc>
          <w:tcPr>
            <w:tcW w:w="1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continue"/>
            <w:shd w:val="clear" w:color="auto" w:fill="CCEEFF"/>
          </w:tcPr>
          <w:p>
            <w:pPr>
              <w:spacing w:after="0"/>
              <w:rPr>
                <w:sz w:val="19"/>
                <w:szCs w:val="19"/>
                <w:color w:val="auto"/>
              </w:rPr>
            </w:pPr>
          </w:p>
        </w:tc>
        <w:tc>
          <w:tcPr>
            <w:tcW w:w="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
        </w:trPr>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CCEEFF"/>
            </w:tcBorders>
            <w:gridSpan w:val="3"/>
          </w:tcPr>
          <w:p>
            <w:pPr>
              <w:jc w:val="right"/>
              <w:spacing w:after="0" w:line="4"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1"/>
                <w:szCs w:val="1"/>
                <w:color w:val="auto"/>
                <w:vertAlign w:val="subscript"/>
              </w:rPr>
              <w:t>​</w:t>
            </w:r>
          </w:p>
        </w:tc>
        <w:tc>
          <w:tcPr>
            <w:tcW w:w="800" w:type="dxa"/>
            <w:vAlign w:val="bottom"/>
            <w:tcBorders>
              <w:top w:val="single" w:sz="8" w:color="CCEEFF"/>
            </w:tcBorders>
            <w:gridSpan w:val="4"/>
          </w:tcPr>
          <w:p>
            <w:pPr>
              <w:jc w:val="right"/>
              <w:spacing w:after="0" w:line="4" w:lineRule="exact"/>
              <w:rPr>
                <w:sz w:val="20"/>
                <w:szCs w:val="20"/>
                <w:color w:val="auto"/>
              </w:rPr>
            </w:pPr>
            <w:r>
              <w:rPr>
                <w:rFonts w:ascii="Times New Roman" w:cs="Times New Roman" w:eastAsia="Times New Roman" w:hAnsi="Times New Roman"/>
                <w:sz w:val="1"/>
                <w:szCs w:val="1"/>
                <w:color w:val="auto"/>
                <w:vertAlign w:val="subscript"/>
              </w:rPr>
              <w:t>—</w:t>
            </w:r>
            <w:r>
              <w:rPr>
                <w:rFonts w:ascii="Times New Roman" w:cs="Times New Roman" w:eastAsia="Times New Roman" w:hAnsi="Times New Roman"/>
                <w:sz w:val="1"/>
                <w:szCs w:val="1"/>
                <w:color w:val="auto"/>
              </w:rPr>
              <w:t>​​ ​ ​</w:t>
            </w:r>
            <w:r>
              <w:rPr>
                <w:rFonts w:ascii="Times New Roman" w:cs="Times New Roman" w:eastAsia="Times New Roman" w:hAnsi="Times New Roman"/>
                <w:sz w:val="1"/>
                <w:szCs w:val="1"/>
                <w:color w:val="auto"/>
                <w:vertAlign w:val="subscript"/>
              </w:rPr>
              <w:t>​</w:t>
            </w:r>
          </w:p>
        </w:tc>
        <w:tc>
          <w:tcPr>
            <w:tcW w:w="760" w:type="dxa"/>
            <w:vAlign w:val="bottom"/>
            <w:tcBorders>
              <w:top w:val="single" w:sz="8" w:color="CCEEFF"/>
            </w:tcBorders>
            <w:gridSpan w:val="2"/>
          </w:tcPr>
          <w:p>
            <w:pPr>
              <w:jc w:val="right"/>
              <w:spacing w:after="0" w:line="4" w:lineRule="exact"/>
              <w:rPr>
                <w:sz w:val="20"/>
                <w:szCs w:val="20"/>
                <w:color w:val="auto"/>
              </w:rPr>
            </w:pPr>
            <w:r>
              <w:rPr>
                <w:rFonts w:ascii="Times New Roman" w:cs="Times New Roman" w:eastAsia="Times New Roman" w:hAnsi="Times New Roman"/>
                <w:sz w:val="1"/>
                <w:szCs w:val="1"/>
                <w:color w:val="auto"/>
                <w:vertAlign w:val="subscript"/>
              </w:rPr>
              <w:t>—</w:t>
            </w:r>
            <w:r>
              <w:rPr>
                <w:rFonts w:ascii="Times New Roman" w:cs="Times New Roman" w:eastAsia="Times New Roman" w:hAnsi="Times New Roman"/>
                <w:sz w:val="1"/>
                <w:szCs w:val="1"/>
                <w:color w:val="auto"/>
              </w:rPr>
              <w:t xml:space="preserve"> ​​ ​</w:t>
            </w:r>
          </w:p>
        </w:tc>
        <w:tc>
          <w:tcPr>
            <w:tcW w:w="120" w:type="dxa"/>
            <w:vAlign w:val="bottom"/>
            <w:tcBorders>
              <w:top w:val="single" w:sz="8" w:color="CCEEFF"/>
            </w:tcBorders>
          </w:tcPr>
          <w:p>
            <w:pPr>
              <w:ind w:left="80"/>
              <w:spacing w:after="0" w:line="4" w:lineRule="exact"/>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w:t>
            </w:r>
          </w:p>
        </w:tc>
        <w:tc>
          <w:tcPr>
            <w:tcW w:w="320" w:type="dxa"/>
            <w:vAlign w:val="bottom"/>
            <w:tcBorders>
              <w:top w:val="single" w:sz="8" w:color="CCEEFF"/>
            </w:tcBorders>
          </w:tcPr>
          <w:p>
            <w:pPr>
              <w:ind w:left="80"/>
              <w:spacing w:after="0" w:line="4"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Borders>
              <w:top w:val="single" w:sz="8" w:color="CCEEFF"/>
            </w:tcBorders>
            <w:gridSpan w:val="2"/>
          </w:tcPr>
          <w:p>
            <w:pPr>
              <w:jc w:val="right"/>
              <w:spacing w:after="0" w:line="4"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color w:val="auto"/>
                <w:vertAlign w:val="subscript"/>
              </w:rPr>
              <w:t>​</w:t>
            </w:r>
          </w:p>
        </w:tc>
        <w:tc>
          <w:tcPr>
            <w:tcW w:w="880" w:type="dxa"/>
            <w:vAlign w:val="bottom"/>
            <w:tcBorders>
              <w:top w:val="single" w:sz="8" w:color="CCEEFF"/>
            </w:tcBorders>
            <w:gridSpan w:val="4"/>
          </w:tcPr>
          <w:p>
            <w:pPr>
              <w:jc w:val="right"/>
              <w:spacing w:after="0" w:line="4" w:lineRule="exact"/>
              <w:rPr>
                <w:sz w:val="20"/>
                <w:szCs w:val="20"/>
                <w:color w:val="auto"/>
              </w:rPr>
            </w:pPr>
            <w:r>
              <w:rPr>
                <w:rFonts w:ascii="Times New Roman" w:cs="Times New Roman" w:eastAsia="Times New Roman" w:hAnsi="Times New Roman"/>
                <w:sz w:val="1"/>
                <w:szCs w:val="1"/>
                <w:color w:val="auto"/>
                <w:vertAlign w:val="subscript"/>
              </w:rPr>
              <w:t>—</w:t>
            </w:r>
            <w:r>
              <w:rPr>
                <w:rFonts w:ascii="Times New Roman" w:cs="Times New Roman" w:eastAsia="Times New Roman" w:hAnsi="Times New Roman"/>
                <w:sz w:val="1"/>
                <w:szCs w:val="1"/>
                <w:color w:val="auto"/>
              </w:rPr>
              <w:t>​​ ​ ​</w:t>
            </w:r>
            <w:r>
              <w:rPr>
                <w:rFonts w:ascii="Times New Roman" w:cs="Times New Roman" w:eastAsia="Times New Roman" w:hAnsi="Times New Roman"/>
                <w:sz w:val="1"/>
                <w:szCs w:val="1"/>
                <w:color w:val="auto"/>
                <w:vertAlign w:val="subscript"/>
              </w:rPr>
              <w:t>​</w:t>
            </w:r>
          </w:p>
        </w:tc>
        <w:tc>
          <w:tcPr>
            <w:tcW w:w="460" w:type="dxa"/>
            <w:vAlign w:val="bottom"/>
            <w:tcBorders>
              <w:top w:val="single" w:sz="8" w:color="CCEEFF"/>
            </w:tcBorders>
          </w:tcPr>
          <w:p>
            <w:pPr>
              <w:jc w:val="right"/>
              <w:spacing w:after="0" w:line="4" w:lineRule="exact"/>
              <w:rPr>
                <w:sz w:val="20"/>
                <w:szCs w:val="20"/>
                <w:color w:val="auto"/>
              </w:rPr>
            </w:pPr>
            <w:r>
              <w:rPr>
                <w:rFonts w:ascii="Times New Roman" w:cs="Times New Roman" w:eastAsia="Times New Roman" w:hAnsi="Times New Roman"/>
                <w:sz w:val="1"/>
                <w:szCs w:val="1"/>
                <w:color w:val="auto"/>
              </w:rPr>
              <w:t>6,542</w:t>
            </w:r>
          </w:p>
        </w:tc>
        <w:tc>
          <w:tcPr>
            <w:tcW w:w="220" w:type="dxa"/>
            <w:vAlign w:val="bottom"/>
            <w:tcBorders>
              <w:top w:val="single" w:sz="8" w:color="CCEEFF"/>
            </w:tcBorders>
            <w:gridSpan w:val="3"/>
          </w:tcPr>
          <w:p>
            <w:pPr>
              <w:jc w:val="right"/>
              <w:spacing w:after="0" w:line="4" w:lineRule="exact"/>
              <w:rPr>
                <w:sz w:val="20"/>
                <w:szCs w:val="20"/>
                <w:color w:val="auto"/>
              </w:rPr>
            </w:pPr>
            <w:r>
              <w:rPr>
                <w:rFonts w:ascii="Times New Roman" w:cs="Times New Roman" w:eastAsia="Times New Roman" w:hAnsi="Times New Roman"/>
                <w:sz w:val="1"/>
                <w:szCs w:val="1"/>
                <w:color w:val="auto"/>
              </w:rPr>
              <w:t>​​ ​</w:t>
            </w:r>
          </w:p>
        </w:tc>
        <w:tc>
          <w:tcPr>
            <w:tcW w:w="360" w:type="dxa"/>
            <w:vAlign w:val="bottom"/>
            <w:tcBorders>
              <w:top w:val="single" w:sz="8" w:color="CCEEFF"/>
            </w:tcBorders>
          </w:tcPr>
          <w:p>
            <w:pPr>
              <w:ind w:left="200"/>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200" w:type="dxa"/>
            <w:vAlign w:val="bottom"/>
            <w:tcBorders>
              <w:top w:val="single" w:sz="8" w:color="CCEEFF"/>
            </w:tcBorders>
          </w:tcPr>
          <w:p>
            <w:pPr>
              <w:spacing w:after="0" w:line="4"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0" w:type="dxa"/>
            <w:vAlign w:val="bottom"/>
          </w:tcPr>
          <w:p>
            <w:pPr>
              <w:spacing w:after="0" w:line="20" w:lineRule="exact"/>
              <w:rPr>
                <w:sz w:val="1"/>
                <w:szCs w:val="1"/>
                <w:color w:val="auto"/>
              </w:rPr>
            </w:pPr>
          </w:p>
        </w:tc>
      </w:tr>
      <w:tr>
        <w:trPr>
          <w:trHeight w:val="123"/>
        </w:trPr>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83"/>
              </w:rPr>
              <w:t>(10)</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2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Hua Mu, M.D., Ph.D.</w:t>
            </w:r>
          </w:p>
        </w:tc>
        <w:tc>
          <w:tcPr>
            <w:tcW w:w="1120" w:type="dxa"/>
            <w:vAlign w:val="bottom"/>
            <w:gridSpan w:val="8"/>
          </w:tcPr>
          <w:p>
            <w:pPr>
              <w:jc w:val="right"/>
              <w:spacing w:after="0" w:line="119"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9"/>
                <w:szCs w:val="9"/>
                <w:color w:val="auto"/>
              </w:rPr>
              <w:t>​1,011,121</w:t>
            </w: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9"/>
                <w:szCs w:val="9"/>
                <w:color w:val="auto"/>
              </w:rPr>
              <w:t>​</w:t>
            </w:r>
          </w:p>
        </w:tc>
        <w:tc>
          <w:tcPr>
            <w:tcW w:w="7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9"/>
                <w:szCs w:val="9"/>
                <w:color w:val="auto"/>
              </w:rPr>
              <w:t xml:space="preserve"> ​​ ​</w:t>
            </w:r>
          </w:p>
        </w:tc>
        <w:tc>
          <w:tcPr>
            <w:tcW w:w="44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9"/>
                <w:szCs w:val="9"/>
                <w:color w:val="auto"/>
              </w:rPr>
              <w:t>​0.40</w:t>
            </w:r>
          </w:p>
        </w:tc>
        <w:tc>
          <w:tcPr>
            <w:tcW w:w="1100" w:type="dxa"/>
            <w:vAlign w:val="bottom"/>
            <w:gridSpan w:val="6"/>
          </w:tcPr>
          <w:p>
            <w:pPr>
              <w:jc w:val="right"/>
              <w:spacing w:after="0" w:line="119"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9"/>
                <w:szCs w:val="9"/>
                <w:color w:val="auto"/>
              </w:rPr>
              <w:t>​ 5/19/2031</w:t>
            </w: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9"/>
                <w:szCs w:val="9"/>
                <w:color w:val="auto"/>
              </w:rPr>
              <w:t>​</w:t>
            </w:r>
          </w:p>
        </w:tc>
        <w:tc>
          <w:tcPr>
            <w:tcW w:w="680" w:type="dxa"/>
            <w:vAlign w:val="bottom"/>
            <w:gridSpan w:val="4"/>
          </w:tcPr>
          <w:p>
            <w:pPr>
              <w:jc w:val="right"/>
              <w:spacing w:after="0" w:line="119"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9"/>
                <w:szCs w:val="9"/>
                <w:color w:val="auto"/>
              </w:rPr>
              <w:t xml:space="preserve"> ​​ ​</w:t>
            </w:r>
          </w:p>
        </w:tc>
        <w:tc>
          <w:tcPr>
            <w:tcW w:w="360" w:type="dxa"/>
            <w:vAlign w:val="bottom"/>
          </w:tcPr>
          <w:p>
            <w:pPr>
              <w:ind w:left="200"/>
              <w:spacing w:after="0" w:line="119"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4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3"/>
        </w:trPr>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w w:val="85"/>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w w:val="85"/>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jc w:val="right"/>
              <w:spacing w:after="0" w:line="288"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 ​</w:t>
            </w:r>
          </w:p>
        </w:tc>
        <w:tc>
          <w:tcPr>
            <w:tcW w:w="440" w:type="dxa"/>
            <w:vAlign w:val="bottom"/>
            <w:gridSpan w:val="2"/>
            <w:vMerge w:val="restart"/>
          </w:tcPr>
          <w:p>
            <w:pPr>
              <w:ind w:left="80"/>
              <w:spacing w:after="0" w:line="28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​1.07</w:t>
            </w:r>
          </w:p>
        </w:tc>
        <w:tc>
          <w:tcPr>
            <w:tcW w:w="1100" w:type="dxa"/>
            <w:vAlign w:val="bottom"/>
            <w:gridSpan w:val="6"/>
            <w:vMerge w:val="restart"/>
          </w:tcPr>
          <w:p>
            <w:pPr>
              <w:jc w:val="right"/>
              <w:spacing w:after="0" w:line="288"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​12/13/2032</w:t>
            </w:r>
            <w:r>
              <w:rPr>
                <w:rFonts w:ascii="Times New Roman" w:cs="Times New Roman" w:eastAsia="Times New Roman" w:hAnsi="Times New Roman"/>
                <w:sz w:val="29"/>
                <w:szCs w:val="29"/>
                <w:color w:val="auto"/>
                <w:vertAlign w:val="superscript"/>
              </w:rPr>
              <w:t>​​ ​ ​</w:t>
            </w:r>
            <w:r>
              <w:rPr>
                <w:rFonts w:ascii="Times New Roman" w:cs="Times New Roman" w:eastAsia="Times New Roman" w:hAnsi="Times New Roman"/>
                <w:sz w:val="15"/>
                <w:szCs w:val="15"/>
                <w:color w:val="auto"/>
              </w:rPr>
              <w:t>​</w:t>
            </w:r>
          </w:p>
        </w:tc>
        <w:tc>
          <w:tcPr>
            <w:tcW w:w="680" w:type="dxa"/>
            <w:vAlign w:val="bottom"/>
            <w:gridSpan w:val="4"/>
            <w:vMerge w:val="restart"/>
          </w:tcPr>
          <w:p>
            <w:pPr>
              <w:jc w:val="right"/>
              <w:spacing w:after="0" w:line="288"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 ​</w:t>
            </w:r>
          </w:p>
        </w:tc>
        <w:tc>
          <w:tcPr>
            <w:tcW w:w="360" w:type="dxa"/>
            <w:vAlign w:val="bottom"/>
            <w:vMerge w:val="restart"/>
          </w:tcPr>
          <w:p>
            <w:pPr>
              <w:ind w:left="200"/>
              <w:spacing w:after="0" w:line="288" w:lineRule="exact"/>
              <w:rPr>
                <w:sz w:val="20"/>
                <w:szCs w:val="20"/>
                <w:color w:val="auto"/>
              </w:rPr>
            </w:pPr>
            <w:r>
              <w:rPr>
                <w:rFonts w:ascii="Times New Roman" w:cs="Times New Roman" w:eastAsia="Times New Roman" w:hAnsi="Times New Roman"/>
                <w:sz w:val="29"/>
                <w:szCs w:val="29"/>
                <w:color w:val="auto"/>
                <w:w w:val="92"/>
                <w:vertAlign w:val="superscript"/>
              </w:rPr>
              <w:t>​</w:t>
            </w:r>
            <w:r>
              <w:rPr>
                <w:rFonts w:ascii="Times New Roman" w:cs="Times New Roman" w:eastAsia="Times New Roman" w:hAnsi="Times New Roman"/>
                <w:sz w:val="15"/>
                <w:szCs w:val="15"/>
                <w:color w:val="auto"/>
                <w:w w:val="92"/>
              </w:rPr>
              <w:t>​—</w:t>
            </w:r>
          </w:p>
        </w:tc>
        <w:tc>
          <w:tcPr>
            <w:tcW w:w="20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06"/>
        </w:trPr>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7"/>
          </w:tcPr>
          <w:p>
            <w:pPr>
              <w:jc w:val="right"/>
              <w:spacing w:after="0" w:line="106" w:lineRule="exact"/>
              <w:rPr>
                <w:sz w:val="20"/>
                <w:szCs w:val="20"/>
                <w:color w:val="auto"/>
              </w:rPr>
            </w:pPr>
            <w:r>
              <w:rPr>
                <w:rFonts w:ascii="Times New Roman" w:cs="Times New Roman" w:eastAsia="Times New Roman" w:hAnsi="Times New Roman"/>
                <w:sz w:val="12"/>
                <w:szCs w:val="12"/>
                <w:color w:val="auto"/>
                <w:vertAlign w:val="superscript"/>
              </w:rPr>
              <w:t>​​</w:t>
            </w:r>
            <w:r>
              <w:rPr>
                <w:rFonts w:ascii="Times New Roman" w:cs="Times New Roman" w:eastAsia="Times New Roman" w:hAnsi="Times New Roman"/>
                <w:sz w:val="9"/>
                <w:szCs w:val="9"/>
                <w:color w:val="auto"/>
              </w:rPr>
              <w:t>​1,164,010</w:t>
            </w:r>
            <w:r>
              <w:rPr>
                <w:rFonts w:ascii="Times New Roman" w:cs="Times New Roman" w:eastAsia="Times New Roman" w:hAnsi="Times New Roman"/>
                <w:sz w:val="12"/>
                <w:szCs w:val="12"/>
                <w:color w:val="auto"/>
                <w:vertAlign w:val="superscript"/>
              </w:rPr>
              <w:t>​​ ​ ​</w:t>
            </w:r>
            <w:r>
              <w:rPr>
                <w:rFonts w:ascii="Times New Roman" w:cs="Times New Roman" w:eastAsia="Times New Roman" w:hAnsi="Times New Roman"/>
                <w:sz w:val="9"/>
                <w:szCs w:val="9"/>
                <w:color w:val="auto"/>
              </w:rPr>
              <w:t>​</w:t>
            </w:r>
          </w:p>
        </w:tc>
        <w:tc>
          <w:tcPr>
            <w:tcW w:w="760" w:type="dxa"/>
            <w:vAlign w:val="bottom"/>
            <w:gridSpan w:val="2"/>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vMerge w:val="restart"/>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gridSpan w:val="3"/>
          </w:tcPr>
          <w:p>
            <w:pPr>
              <w:jc w:val="right"/>
              <w:spacing w:after="0" w:line="29"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3"/>
                <w:szCs w:val="3"/>
                <w:b w:val="1"/>
                <w:bCs w:val="1"/>
                <w:color w:val="auto"/>
              </w:rPr>
              <w:t>​</w:t>
            </w:r>
          </w:p>
        </w:tc>
        <w:tc>
          <w:tcPr>
            <w:tcW w:w="560" w:type="dxa"/>
            <w:vAlign w:val="bottom"/>
          </w:tcPr>
          <w:p>
            <w:pPr>
              <w:spacing w:after="0"/>
              <w:rPr>
                <w:sz w:val="2"/>
                <w:szCs w:val="2"/>
                <w:color w:val="auto"/>
              </w:rPr>
            </w:pPr>
          </w:p>
        </w:tc>
        <w:tc>
          <w:tcPr>
            <w:tcW w:w="240" w:type="dxa"/>
            <w:vAlign w:val="bottom"/>
            <w:gridSpan w:val="3"/>
          </w:tcPr>
          <w:p>
            <w:pPr>
              <w:spacing w:after="0" w:line="29" w:lineRule="exact"/>
              <w:rPr>
                <w:sz w:val="20"/>
                <w:szCs w:val="20"/>
                <w:color w:val="auto"/>
              </w:rPr>
            </w:pPr>
            <w:r>
              <w:rPr>
                <w:rFonts w:ascii="Times New Roman" w:cs="Times New Roman" w:eastAsia="Times New Roman" w:hAnsi="Times New Roman"/>
                <w:sz w:val="3"/>
                <w:szCs w:val="3"/>
                <w:color w:val="auto"/>
              </w:rPr>
              <w:t xml:space="preserve">​​ ​ </w:t>
            </w:r>
            <w:r>
              <w:rPr>
                <w:rFonts w:ascii="Times New Roman" w:cs="Times New Roman" w:eastAsia="Times New Roman" w:hAnsi="Times New Roman"/>
                <w:sz w:val="3"/>
                <w:szCs w:val="3"/>
                <w:b w:val="1"/>
                <w:bCs w:val="1"/>
                <w:color w:val="auto"/>
              </w:rPr>
              <w:t>​</w:t>
            </w:r>
          </w:p>
        </w:tc>
        <w:tc>
          <w:tcPr>
            <w:tcW w:w="760" w:type="dxa"/>
            <w:vAlign w:val="bottom"/>
            <w:gridSpan w:val="2"/>
          </w:tcPr>
          <w:p>
            <w:pPr>
              <w:jc w:val="right"/>
              <w:spacing w:after="0" w:line="29" w:lineRule="exact"/>
              <w:rPr>
                <w:sz w:val="20"/>
                <w:szCs w:val="20"/>
                <w:color w:val="auto"/>
              </w:rPr>
            </w:pPr>
            <w:r>
              <w:rPr>
                <w:rFonts w:ascii="Times New Roman" w:cs="Times New Roman" w:eastAsia="Times New Roman" w:hAnsi="Times New Roman"/>
                <w:sz w:val="3"/>
                <w:szCs w:val="3"/>
                <w:color w:val="auto"/>
              </w:rPr>
              <w:t>​​​ ​</w:t>
            </w:r>
          </w:p>
        </w:tc>
        <w:tc>
          <w:tcPr>
            <w:tcW w:w="120" w:type="dxa"/>
            <w:vAlign w:val="bottom"/>
          </w:tcPr>
          <w:p>
            <w:pPr>
              <w:ind w:left="80"/>
              <w:spacing w:after="0" w:line="29" w:lineRule="exact"/>
              <w:rPr>
                <w:sz w:val="20"/>
                <w:szCs w:val="20"/>
                <w:color w:val="auto"/>
              </w:rPr>
            </w:pPr>
            <w:r>
              <w:rPr>
                <w:rFonts w:ascii="Times New Roman" w:cs="Times New Roman" w:eastAsia="Times New Roman" w:hAnsi="Times New Roman"/>
                <w:sz w:val="3"/>
                <w:szCs w:val="3"/>
                <w:b w:val="1"/>
                <w:bCs w:val="1"/>
                <w:color w:val="auto"/>
              </w:rPr>
              <w:t>​</w:t>
            </w:r>
          </w:p>
        </w:tc>
        <w:tc>
          <w:tcPr>
            <w:tcW w:w="540" w:type="dxa"/>
            <w:vAlign w:val="bottom"/>
            <w:gridSpan w:val="3"/>
          </w:tcPr>
          <w:p>
            <w:pPr>
              <w:jc w:val="right"/>
              <w:spacing w:after="0" w:line="29" w:lineRule="exact"/>
              <w:rPr>
                <w:sz w:val="20"/>
                <w:szCs w:val="20"/>
                <w:color w:val="auto"/>
              </w:rPr>
            </w:pPr>
            <w:r>
              <w:rPr>
                <w:rFonts w:ascii="Times New Roman" w:cs="Times New Roman" w:eastAsia="Times New Roman" w:hAnsi="Times New Roman"/>
                <w:sz w:val="3"/>
                <w:szCs w:val="3"/>
                <w:color w:val="auto"/>
              </w:rPr>
              <w:t>​ ​​ ​</w:t>
            </w:r>
            <w:r>
              <w:rPr>
                <w:rFonts w:ascii="Times New Roman" w:cs="Times New Roman" w:eastAsia="Times New Roman" w:hAnsi="Times New Roman"/>
                <w:sz w:val="3"/>
                <w:szCs w:val="3"/>
                <w:b w:val="1"/>
                <w:bCs w:val="1"/>
                <w:color w:val="auto"/>
              </w:rPr>
              <w:t>​</w:t>
            </w:r>
          </w:p>
        </w:tc>
        <w:tc>
          <w:tcPr>
            <w:tcW w:w="620" w:type="dxa"/>
            <w:vAlign w:val="bottom"/>
          </w:tcPr>
          <w:p>
            <w:pPr>
              <w:spacing w:after="0"/>
              <w:rPr>
                <w:sz w:val="2"/>
                <w:szCs w:val="2"/>
                <w:color w:val="auto"/>
              </w:rPr>
            </w:pPr>
          </w:p>
        </w:tc>
        <w:tc>
          <w:tcPr>
            <w:tcW w:w="720" w:type="dxa"/>
            <w:vAlign w:val="bottom"/>
            <w:gridSpan w:val="4"/>
          </w:tcPr>
          <w:p>
            <w:pPr>
              <w:jc w:val="right"/>
              <w:spacing w:after="0" w:line="29" w:lineRule="exact"/>
              <w:rPr>
                <w:sz w:val="20"/>
                <w:szCs w:val="20"/>
                <w:color w:val="auto"/>
              </w:rPr>
            </w:pPr>
            <w:r>
              <w:rPr>
                <w:rFonts w:ascii="Times New Roman" w:cs="Times New Roman" w:eastAsia="Times New Roman" w:hAnsi="Times New Roman"/>
                <w:sz w:val="3"/>
                <w:szCs w:val="3"/>
                <w:color w:val="auto"/>
                <w:vertAlign w:val="superscript"/>
              </w:rPr>
              <w:t>​​ ​ ​</w:t>
            </w:r>
            <w:r>
              <w:rPr>
                <w:rFonts w:ascii="Times New Roman" w:cs="Times New Roman" w:eastAsia="Times New Roman" w:hAnsi="Times New Roman"/>
                <w:sz w:val="2"/>
                <w:szCs w:val="2"/>
                <w:color w:val="auto"/>
              </w:rPr>
              <w:t>​183,841</w:t>
            </w:r>
          </w:p>
        </w:tc>
        <w:tc>
          <w:tcPr>
            <w:tcW w:w="160" w:type="dxa"/>
            <w:vAlign w:val="bottom"/>
            <w:gridSpan w:val="2"/>
          </w:tcPr>
          <w:p>
            <w:pPr>
              <w:jc w:val="right"/>
              <w:spacing w:after="0" w:line="29" w:lineRule="exact"/>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jc w:val="right"/>
              <w:spacing w:after="0" w:line="29" w:lineRule="exact"/>
              <w:rPr>
                <w:sz w:val="20"/>
                <w:szCs w:val="20"/>
                <w:color w:val="auto"/>
              </w:rPr>
            </w:pPr>
            <w:r>
              <w:rPr>
                <w:rFonts w:ascii="Times New Roman" w:cs="Times New Roman" w:eastAsia="Times New Roman" w:hAnsi="Times New Roman"/>
                <w:sz w:val="3"/>
                <w:szCs w:val="3"/>
                <w:color w:val="auto"/>
              </w:rPr>
              <w:t>​</w:t>
            </w:r>
          </w:p>
        </w:tc>
        <w:tc>
          <w:tcPr>
            <w:tcW w:w="360" w:type="dxa"/>
            <w:vAlign w:val="bottom"/>
          </w:tcPr>
          <w:p>
            <w:pPr>
              <w:ind w:left="200"/>
              <w:spacing w:after="0" w:line="29" w:lineRule="exact"/>
              <w:rPr>
                <w:sz w:val="20"/>
                <w:szCs w:val="20"/>
                <w:color w:val="auto"/>
              </w:rPr>
            </w:pPr>
            <w:r>
              <w:rPr>
                <w:rFonts w:ascii="Times New Roman" w:cs="Times New Roman" w:eastAsia="Times New Roman" w:hAnsi="Times New Roman"/>
                <w:sz w:val="3"/>
                <w:szCs w:val="3"/>
                <w:b w:val="1"/>
                <w:bCs w:val="1"/>
                <w:color w:val="auto"/>
              </w:rPr>
              <w:t>​</w:t>
            </w:r>
          </w:p>
        </w:tc>
        <w:tc>
          <w:tcPr>
            <w:tcW w:w="200" w:type="dxa"/>
            <w:vAlign w:val="bottom"/>
            <w:vMerge w:val="continue"/>
          </w:tcPr>
          <w:p>
            <w:pPr>
              <w:spacing w:after="0"/>
              <w:rPr>
                <w:sz w:val="2"/>
                <w:szCs w:val="2"/>
                <w:color w:val="auto"/>
              </w:rPr>
            </w:pPr>
          </w:p>
        </w:tc>
        <w:tc>
          <w:tcPr>
            <w:tcW w:w="40" w:type="dxa"/>
            <w:vAlign w:val="bottom"/>
          </w:tcPr>
          <w:p>
            <w:pPr>
              <w:spacing w:after="0" w:line="29" w:lineRule="exact"/>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line="20" w:lineRule="exact"/>
              <w:rPr>
                <w:sz w:val="1"/>
                <w:szCs w:val="1"/>
                <w:color w:val="auto"/>
              </w:rPr>
            </w:pPr>
          </w:p>
        </w:tc>
      </w:tr>
      <w:tr>
        <w:trPr>
          <w:trHeight w:val="123"/>
        </w:trPr>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1"/>
              </w:rPr>
              <w:t>(11)</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Joseph Farmer</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3"/>
            <w:vMerge w:val="restart"/>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680" w:type="dxa"/>
            <w:vAlign w:val="bottom"/>
            <w:gridSpan w:val="2"/>
            <w:shd w:val="clear" w:color="auto" w:fill="CCEEFF"/>
          </w:tcPr>
          <w:p>
            <w:pPr>
              <w:ind w:left="560"/>
              <w:spacing w:after="0" w:line="110" w:lineRule="exact"/>
              <w:rPr>
                <w:sz w:val="20"/>
                <w:szCs w:val="20"/>
                <w:color w:val="auto"/>
              </w:rPr>
            </w:pPr>
            <w:r>
              <w:rPr>
                <w:rFonts w:ascii="Times New Roman" w:cs="Times New Roman" w:eastAsia="Times New Roman" w:hAnsi="Times New Roman"/>
                <w:sz w:val="10"/>
                <w:szCs w:val="10"/>
                <w:color w:val="auto"/>
                <w:w w:val="85"/>
              </w:rPr>
              <w:t>(4)</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 xml:space="preserve">183,841 </w:t>
            </w:r>
            <w:r>
              <w:rPr>
                <w:rFonts w:ascii="Times New Roman" w:cs="Times New Roman" w:eastAsia="Times New Roman" w:hAnsi="Times New Roman"/>
                <w:sz w:val="28"/>
                <w:szCs w:val="28"/>
                <w:color w:val="auto"/>
                <w:vertAlign w:val="superscript"/>
              </w:rPr>
              <w:t>​​ ​</w:t>
            </w:r>
          </w:p>
        </w:tc>
        <w:tc>
          <w:tcPr>
            <w:tcW w:w="440" w:type="dxa"/>
            <w:vAlign w:val="bottom"/>
            <w:tcBorders>
              <w:right w:val="single" w:sz="8" w:color="CCEEFF"/>
            </w:tcBorders>
            <w:gridSpan w:val="2"/>
            <w:vMerge w:val="restart"/>
            <w:shd w:val="clear" w:color="auto" w:fill="CCEEFF"/>
          </w:tcPr>
          <w:p>
            <w:pPr>
              <w:ind w:left="80"/>
              <w:spacing w:after="0" w:line="242"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​0.40</w:t>
            </w:r>
          </w:p>
        </w:tc>
        <w:tc>
          <w:tcPr>
            <w:tcW w:w="1100" w:type="dxa"/>
            <w:vAlign w:val="bottom"/>
            <w:gridSpan w:val="6"/>
            <w:vMerge w:val="restart"/>
            <w:shd w:val="clear" w:color="auto" w:fill="CCEEFF"/>
          </w:tcPr>
          <w:p>
            <w:pPr>
              <w:jc w:val="right"/>
              <w:spacing w:after="0" w:line="242"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5/19/2031</w:t>
            </w:r>
            <w:r>
              <w:rPr>
                <w:rFonts w:ascii="Times New Roman" w:cs="Times New Roman" w:eastAsia="Times New Roman" w:hAnsi="Times New Roman"/>
                <w:sz w:val="28"/>
                <w:szCs w:val="28"/>
                <w:color w:val="auto"/>
                <w:vertAlign w:val="superscript"/>
              </w:rPr>
              <w:t>​​ ​ ​</w:t>
            </w:r>
            <w:r>
              <w:rPr>
                <w:rFonts w:ascii="Times New Roman" w:cs="Times New Roman" w:eastAsia="Times New Roman" w:hAnsi="Times New Roman"/>
                <w:sz w:val="14"/>
                <w:szCs w:val="14"/>
                <w:color w:val="auto"/>
              </w:rPr>
              <w:t>​</w:t>
            </w:r>
          </w:p>
        </w:tc>
        <w:tc>
          <w:tcPr>
            <w:tcW w:w="680" w:type="dxa"/>
            <w:vAlign w:val="bottom"/>
            <w:gridSpan w:val="4"/>
            <w:vMerge w:val="restart"/>
            <w:shd w:val="clear" w:color="auto" w:fill="CCEEFF"/>
          </w:tcPr>
          <w:p>
            <w:pPr>
              <w:jc w:val="right"/>
              <w:spacing w:after="0" w:line="242"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360" w:type="dxa"/>
            <w:vAlign w:val="bottom"/>
            <w:vMerge w:val="restart"/>
            <w:shd w:val="clear" w:color="auto" w:fill="CCEEFF"/>
          </w:tcPr>
          <w:p>
            <w:pPr>
              <w:ind w:left="200"/>
              <w:spacing w:after="0" w:line="242"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w:t>
            </w:r>
          </w:p>
        </w:tc>
        <w:tc>
          <w:tcPr>
            <w:tcW w:w="200" w:type="dxa"/>
            <w:vAlign w:val="bottom"/>
            <w:tcBorders>
              <w:right w:val="single" w:sz="8" w:color="CCEEFF"/>
            </w:tcBorders>
            <w:shd w:val="clear" w:color="auto" w:fill="CCEEFF"/>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32"/>
        </w:trPr>
        <w:tc>
          <w:tcPr>
            <w:tcW w:w="202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20" w:type="dxa"/>
            <w:vAlign w:val="bottom"/>
            <w:gridSpan w:val="3"/>
            <w:vMerge w:val="continue"/>
            <w:shd w:val="clear" w:color="auto" w:fill="CCEEFF"/>
          </w:tcPr>
          <w:p>
            <w:pPr>
              <w:spacing w:after="0"/>
              <w:rPr>
                <w:sz w:val="11"/>
                <w:szCs w:val="11"/>
                <w:color w:val="auto"/>
              </w:rPr>
            </w:pPr>
          </w:p>
        </w:tc>
        <w:tc>
          <w:tcPr>
            <w:tcW w:w="800" w:type="dxa"/>
            <w:vAlign w:val="bottom"/>
            <w:gridSpan w:val="4"/>
            <w:shd w:val="clear" w:color="auto" w:fill="CCEEFF"/>
          </w:tcPr>
          <w:p>
            <w:pPr>
              <w:jc w:val="right"/>
              <w:spacing w:after="0" w:line="132" w:lineRule="exact"/>
              <w:rPr>
                <w:sz w:val="20"/>
                <w:szCs w:val="20"/>
                <w:color w:val="auto"/>
              </w:rPr>
            </w:pPr>
            <w:r>
              <w:rPr>
                <w:rFonts w:ascii="Times New Roman" w:cs="Times New Roman" w:eastAsia="Times New Roman" w:hAnsi="Times New Roman"/>
                <w:sz w:val="10"/>
                <w:szCs w:val="10"/>
                <w:color w:val="auto"/>
              </w:rPr>
              <w:t>367,680</w:t>
            </w:r>
            <w:r>
              <w:rPr>
                <w:rFonts w:ascii="Times New Roman" w:cs="Times New Roman" w:eastAsia="Times New Roman" w:hAnsi="Times New Roman"/>
                <w:sz w:val="15"/>
                <w:szCs w:val="15"/>
                <w:color w:val="auto"/>
                <w:vertAlign w:val="superscript"/>
              </w:rPr>
              <w:t>​​ ​ ​</w:t>
            </w:r>
            <w:r>
              <w:rPr>
                <w:rFonts w:ascii="Times New Roman" w:cs="Times New Roman" w:eastAsia="Times New Roman" w:hAnsi="Times New Roman"/>
                <w:sz w:val="10"/>
                <w:szCs w:val="10"/>
                <w:color w:val="auto"/>
              </w:rPr>
              <w:t>​</w:t>
            </w:r>
          </w:p>
        </w:tc>
        <w:tc>
          <w:tcPr>
            <w:tcW w:w="760" w:type="dxa"/>
            <w:vAlign w:val="bottom"/>
            <w:gridSpan w:val="2"/>
            <w:vMerge w:val="continue"/>
            <w:shd w:val="clear" w:color="auto" w:fill="CCEEFF"/>
          </w:tcPr>
          <w:p>
            <w:pPr>
              <w:spacing w:after="0"/>
              <w:rPr>
                <w:sz w:val="11"/>
                <w:szCs w:val="11"/>
                <w:color w:val="auto"/>
              </w:rPr>
            </w:pPr>
          </w:p>
        </w:tc>
        <w:tc>
          <w:tcPr>
            <w:tcW w:w="440" w:type="dxa"/>
            <w:vAlign w:val="bottom"/>
            <w:tcBorders>
              <w:right w:val="single" w:sz="8" w:color="CCEEFF"/>
            </w:tcBorders>
            <w:gridSpan w:val="2"/>
            <w:vMerge w:val="continue"/>
            <w:shd w:val="clear" w:color="auto" w:fill="CCEEFF"/>
          </w:tcPr>
          <w:p>
            <w:pPr>
              <w:spacing w:after="0"/>
              <w:rPr>
                <w:sz w:val="11"/>
                <w:szCs w:val="11"/>
                <w:color w:val="auto"/>
              </w:rPr>
            </w:pPr>
          </w:p>
        </w:tc>
        <w:tc>
          <w:tcPr>
            <w:tcW w:w="1100" w:type="dxa"/>
            <w:vAlign w:val="bottom"/>
            <w:gridSpan w:val="6"/>
            <w:vMerge w:val="continue"/>
            <w:shd w:val="clear" w:color="auto" w:fill="CCEEFF"/>
          </w:tcPr>
          <w:p>
            <w:pPr>
              <w:spacing w:after="0"/>
              <w:rPr>
                <w:sz w:val="11"/>
                <w:szCs w:val="11"/>
                <w:color w:val="auto"/>
              </w:rPr>
            </w:pPr>
          </w:p>
        </w:tc>
        <w:tc>
          <w:tcPr>
            <w:tcW w:w="680" w:type="dxa"/>
            <w:vAlign w:val="bottom"/>
            <w:gridSpan w:val="4"/>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gridSpan w:val="3"/>
            <w:vMerge w:val="restart"/>
          </w:tcPr>
          <w:p>
            <w:pPr>
              <w:jc w:val="right"/>
              <w:spacing w:after="0" w:line="194"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bscript"/>
              </w:rPr>
              <w:t>​</w:t>
            </w:r>
          </w:p>
        </w:tc>
        <w:tc>
          <w:tcPr>
            <w:tcW w:w="680" w:type="dxa"/>
            <w:vAlign w:val="bottom"/>
            <w:gridSpan w:val="2"/>
          </w:tcPr>
          <w:p>
            <w:pPr>
              <w:ind w:left="560"/>
              <w:spacing w:after="0" w:line="88" w:lineRule="exact"/>
              <w:rPr>
                <w:sz w:val="20"/>
                <w:szCs w:val="20"/>
                <w:color w:val="auto"/>
              </w:rPr>
            </w:pPr>
            <w:r>
              <w:rPr>
                <w:rFonts w:ascii="Times New Roman" w:cs="Times New Roman" w:eastAsia="Times New Roman" w:hAnsi="Times New Roman"/>
                <w:sz w:val="10"/>
                <w:szCs w:val="10"/>
                <w:color w:val="auto"/>
                <w:w w:val="85"/>
              </w:rPr>
              <w:t>(5)</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gridSpan w:val="2"/>
            <w:vMerge w:val="restart"/>
          </w:tcPr>
          <w:p>
            <w:pPr>
              <w:ind w:left="8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​1.07</w:t>
            </w:r>
          </w:p>
        </w:tc>
        <w:tc>
          <w:tcPr>
            <w:tcW w:w="1100" w:type="dxa"/>
            <w:vAlign w:val="bottom"/>
            <w:gridSpan w:val="6"/>
            <w:vMerge w:val="restart"/>
          </w:tcPr>
          <w:p>
            <w:pPr>
              <w:jc w:val="right"/>
              <w:spacing w:after="0" w:line="194"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​12/13/2032</w:t>
            </w:r>
            <w:r>
              <w:rPr>
                <w:rFonts w:ascii="Times New Roman" w:cs="Times New Roman" w:eastAsia="Times New Roman" w:hAnsi="Times New Roman"/>
                <w:sz w:val="22"/>
                <w:szCs w:val="22"/>
                <w:color w:val="auto"/>
                <w:vertAlign w:val="superscript"/>
              </w:rPr>
              <w:t>​​ ​ ​</w:t>
            </w:r>
            <w:r>
              <w:rPr>
                <w:rFonts w:ascii="Times New Roman" w:cs="Times New Roman" w:eastAsia="Times New Roman" w:hAnsi="Times New Roman"/>
                <w:sz w:val="12"/>
                <w:szCs w:val="12"/>
                <w:color w:val="auto"/>
              </w:rPr>
              <w:t>​</w:t>
            </w:r>
          </w:p>
        </w:tc>
        <w:tc>
          <w:tcPr>
            <w:tcW w:w="680" w:type="dxa"/>
            <w:vAlign w:val="bottom"/>
            <w:gridSpan w:val="4"/>
            <w:vMerge w:val="restart"/>
          </w:tcPr>
          <w:p>
            <w:pPr>
              <w:jc w:val="right"/>
              <w:spacing w:after="0" w:line="194"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w:t>
            </w:r>
          </w:p>
        </w:tc>
        <w:tc>
          <w:tcPr>
            <w:tcW w:w="360" w:type="dxa"/>
            <w:vAlign w:val="bottom"/>
            <w:vMerge w:val="restart"/>
          </w:tcPr>
          <w:p>
            <w:pPr>
              <w:ind w:left="20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w:t>
            </w:r>
          </w:p>
        </w:tc>
        <w:tc>
          <w:tcPr>
            <w:tcW w:w="200" w:type="dxa"/>
            <w:vAlign w:val="bottom"/>
          </w:tcPr>
          <w:p>
            <w:pPr>
              <w:spacing w:after="0"/>
              <w:rPr>
                <w:sz w:val="7"/>
                <w:szCs w:val="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06"/>
        </w:trPr>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1560" w:type="dxa"/>
            <w:vAlign w:val="bottom"/>
            <w:gridSpan w:val="6"/>
          </w:tcPr>
          <w:p>
            <w:pPr>
              <w:jc w:val="right"/>
              <w:spacing w:after="0" w:line="106" w:lineRule="exact"/>
              <w:rPr>
                <w:sz w:val="20"/>
                <w:szCs w:val="20"/>
                <w:color w:val="auto"/>
              </w:rPr>
            </w:pPr>
            <w:r>
              <w:rPr>
                <w:rFonts w:ascii="Times New Roman" w:cs="Times New Roman" w:eastAsia="Times New Roman" w:hAnsi="Times New Roman"/>
                <w:sz w:val="9"/>
                <w:szCs w:val="9"/>
                <w:color w:val="auto"/>
              </w:rPr>
              <w:t>350,000</w:t>
            </w:r>
            <w:r>
              <w:rPr>
                <w:rFonts w:ascii="Times New Roman" w:cs="Times New Roman" w:eastAsia="Times New Roman" w:hAnsi="Times New Roman"/>
                <w:sz w:val="12"/>
                <w:szCs w:val="12"/>
                <w:color w:val="auto"/>
                <w:vertAlign w:val="superscript"/>
              </w:rPr>
              <w:t>​​ ​ ​</w:t>
            </w:r>
            <w:r>
              <w:rPr>
                <w:rFonts w:ascii="Times New Roman" w:cs="Times New Roman" w:eastAsia="Times New Roman" w:hAnsi="Times New Roman"/>
                <w:sz w:val="9"/>
                <w:szCs w:val="9"/>
                <w:color w:val="auto"/>
              </w:rPr>
              <w:t xml:space="preserve">​1,050,000 </w:t>
            </w:r>
            <w:r>
              <w:rPr>
                <w:rFonts w:ascii="Times New Roman" w:cs="Times New Roman" w:eastAsia="Times New Roman" w:hAnsi="Times New Roman"/>
                <w:sz w:val="12"/>
                <w:szCs w:val="12"/>
                <w:color w:val="auto"/>
                <w:vertAlign w:val="superscript"/>
              </w:rPr>
              <w:t>​​ ​</w:t>
            </w:r>
          </w:p>
        </w:tc>
        <w:tc>
          <w:tcPr>
            <w:tcW w:w="440" w:type="dxa"/>
            <w:vAlign w:val="bottom"/>
            <w:gridSpan w:val="2"/>
            <w:vMerge w:val="continue"/>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2"/>
            <w:vMerge w:val="restart"/>
          </w:tcPr>
          <w:p>
            <w:pPr>
              <w:ind w:left="40"/>
              <w:spacing w:after="0" w:line="29"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vMerge w:val="restart"/>
          </w:tcPr>
          <w:p>
            <w:pPr>
              <w:spacing w:after="0" w:line="29" w:lineRule="exact"/>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line="20" w:lineRule="exact"/>
              <w:rPr>
                <w:sz w:val="1"/>
                <w:szCs w:val="1"/>
                <w:color w:val="auto"/>
              </w:rPr>
            </w:pPr>
          </w:p>
        </w:tc>
      </w:tr>
      <w:tr>
        <w:trPr>
          <w:trHeight w:val="3"/>
        </w:trPr>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shd w:val="clear" w:color="auto" w:fill="CCEEFF"/>
          </w:tcPr>
          <w:p>
            <w:pPr>
              <w:jc w:val="right"/>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560" w:type="dxa"/>
            <w:vAlign w:val="bottom"/>
            <w:shd w:val="clear" w:color="auto" w:fill="CCEEFF"/>
          </w:tcPr>
          <w:p>
            <w:pPr>
              <w:spacing w:after="0" w:line="20" w:lineRule="exact"/>
              <w:rPr>
                <w:sz w:val="1"/>
                <w:szCs w:val="1"/>
                <w:color w:val="auto"/>
              </w:rPr>
            </w:pPr>
          </w:p>
        </w:tc>
        <w:tc>
          <w:tcPr>
            <w:tcW w:w="240" w:type="dxa"/>
            <w:vAlign w:val="bottom"/>
            <w:gridSpan w:val="3"/>
            <w:shd w:val="clear" w:color="auto" w:fill="CCEEFF"/>
          </w:tcPr>
          <w:p>
            <w:pPr>
              <w:spacing w:after="0" w:line="4" w:lineRule="exact"/>
              <w:rPr>
                <w:sz w:val="20"/>
                <w:szCs w:val="20"/>
                <w:color w:val="auto"/>
              </w:rPr>
            </w:pPr>
            <w:r>
              <w:rPr>
                <w:rFonts w:ascii="Times New Roman" w:cs="Times New Roman" w:eastAsia="Times New Roman" w:hAnsi="Times New Roman"/>
                <w:sz w:val="1"/>
                <w:szCs w:val="1"/>
                <w:color w:val="auto"/>
              </w:rPr>
              <w:t>​​ ​ ​</w:t>
            </w:r>
            <w:r>
              <w:rPr>
                <w:rFonts w:ascii="Times New Roman" w:cs="Times New Roman" w:eastAsia="Times New Roman" w:hAnsi="Times New Roman"/>
                <w:sz w:val="1"/>
                <w:szCs w:val="1"/>
                <w:color w:val="auto"/>
                <w:vertAlign w:val="subscript"/>
              </w:rPr>
              <w:t>​</w:t>
            </w:r>
          </w:p>
        </w:tc>
        <w:tc>
          <w:tcPr>
            <w:tcW w:w="760" w:type="dxa"/>
            <w:vAlign w:val="bottom"/>
            <w:gridSpan w:val="2"/>
            <w:shd w:val="clear" w:color="auto" w:fill="CCEEFF"/>
          </w:tcPr>
          <w:p>
            <w:pPr>
              <w:jc w:val="right"/>
              <w:spacing w:after="0" w:line="4" w:lineRule="exact"/>
              <w:rPr>
                <w:sz w:val="20"/>
                <w:szCs w:val="20"/>
                <w:color w:val="auto"/>
              </w:rPr>
            </w:pPr>
            <w:r>
              <w:rPr>
                <w:rFonts w:ascii="Times New Roman" w:cs="Times New Roman" w:eastAsia="Times New Roman" w:hAnsi="Times New Roman"/>
                <w:sz w:val="1"/>
                <w:szCs w:val="1"/>
                <w:color w:val="auto"/>
              </w:rPr>
              <w:t xml:space="preserve">675,000 </w:t>
            </w:r>
            <w:r>
              <w:rPr>
                <w:rFonts w:ascii="Times New Roman" w:cs="Times New Roman" w:eastAsia="Times New Roman" w:hAnsi="Times New Roman"/>
                <w:sz w:val="1"/>
                <w:szCs w:val="1"/>
                <w:color w:val="auto"/>
                <w:vertAlign w:val="superscript"/>
              </w:rPr>
              <w:t>​​ ​</w:t>
            </w:r>
          </w:p>
        </w:tc>
        <w:tc>
          <w:tcPr>
            <w:tcW w:w="440" w:type="dxa"/>
            <w:vAlign w:val="bottom"/>
            <w:tcBorders>
              <w:right w:val="single" w:sz="8" w:color="CCEEFF"/>
            </w:tcBorders>
            <w:gridSpan w:val="2"/>
            <w:shd w:val="clear" w:color="auto" w:fill="CCEEFF"/>
          </w:tcPr>
          <w:p>
            <w:pPr>
              <w:ind w:left="80"/>
              <w:spacing w:after="0" w:line="4" w:lineRule="exact"/>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​1.07</w:t>
            </w:r>
          </w:p>
        </w:tc>
        <w:tc>
          <w:tcPr>
            <w:tcW w:w="1100" w:type="dxa"/>
            <w:vAlign w:val="bottom"/>
            <w:gridSpan w:val="6"/>
            <w:shd w:val="clear" w:color="auto" w:fill="CCEEFF"/>
          </w:tcPr>
          <w:p>
            <w:pPr>
              <w:jc w:val="right"/>
              <w:spacing w:after="0" w:line="4" w:lineRule="exact"/>
              <w:rPr>
                <w:sz w:val="20"/>
                <w:szCs w:val="20"/>
                <w:color w:val="auto"/>
              </w:rPr>
            </w:pPr>
            <w:r>
              <w:rPr>
                <w:rFonts w:ascii="Times New Roman" w:cs="Times New Roman" w:eastAsia="Times New Roman" w:hAnsi="Times New Roman"/>
                <w:sz w:val="1"/>
                <w:szCs w:val="1"/>
                <w:color w:val="auto"/>
                <w:vertAlign w:val="superscript"/>
              </w:rPr>
              <w:t>​​ ​​</w:t>
            </w:r>
            <w:r>
              <w:rPr>
                <w:rFonts w:ascii="Times New Roman" w:cs="Times New Roman" w:eastAsia="Times New Roman" w:hAnsi="Times New Roman"/>
                <w:sz w:val="1"/>
                <w:szCs w:val="1"/>
                <w:color w:val="auto"/>
              </w:rPr>
              <w:t>​ 7/17/2033</w:t>
            </w:r>
            <w:r>
              <w:rPr>
                <w:rFonts w:ascii="Times New Roman" w:cs="Times New Roman" w:eastAsia="Times New Roman" w:hAnsi="Times New Roman"/>
                <w:sz w:val="1"/>
                <w:szCs w:val="1"/>
                <w:color w:val="auto"/>
                <w:vertAlign w:val="superscript"/>
              </w:rPr>
              <w:t>​​ ​ ​</w:t>
            </w:r>
            <w:r>
              <w:rPr>
                <w:rFonts w:ascii="Times New Roman" w:cs="Times New Roman" w:eastAsia="Times New Roman" w:hAnsi="Times New Roman"/>
                <w:sz w:val="1"/>
                <w:szCs w:val="1"/>
                <w:color w:val="auto"/>
              </w:rPr>
              <w:t>​</w:t>
            </w:r>
          </w:p>
        </w:tc>
        <w:tc>
          <w:tcPr>
            <w:tcW w:w="680" w:type="dxa"/>
            <w:vAlign w:val="bottom"/>
            <w:gridSpan w:val="4"/>
            <w:shd w:val="clear" w:color="auto" w:fill="CCEEFF"/>
          </w:tcPr>
          <w:p>
            <w:pPr>
              <w:jc w:val="right"/>
              <w:spacing w:after="0" w:line="4" w:lineRule="exact"/>
              <w:rPr>
                <w:sz w:val="20"/>
                <w:szCs w:val="20"/>
                <w:color w:val="auto"/>
              </w:rPr>
            </w:pPr>
            <w:r>
              <w:rPr>
                <w:rFonts w:ascii="Times New Roman" w:cs="Times New Roman" w:eastAsia="Times New Roman" w:hAnsi="Times New Roman"/>
                <w:sz w:val="1"/>
                <w:szCs w:val="1"/>
                <w:color w:val="auto"/>
                <w:vertAlign w:val="subscript"/>
              </w:rPr>
              <w:t>—</w:t>
            </w:r>
            <w:r>
              <w:rPr>
                <w:rFonts w:ascii="Times New Roman" w:cs="Times New Roman" w:eastAsia="Times New Roman" w:hAnsi="Times New Roman"/>
                <w:sz w:val="1"/>
                <w:szCs w:val="1"/>
                <w:color w:val="auto"/>
              </w:rPr>
              <w:t xml:space="preserve"> ​​ ​</w:t>
            </w:r>
          </w:p>
        </w:tc>
        <w:tc>
          <w:tcPr>
            <w:tcW w:w="360" w:type="dxa"/>
            <w:vAlign w:val="bottom"/>
            <w:shd w:val="clear" w:color="auto" w:fill="CCEEFF"/>
          </w:tcPr>
          <w:p>
            <w:pPr>
              <w:ind w:left="200"/>
              <w:spacing w:after="0" w:line="4" w:lineRule="exact"/>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w:t>
            </w:r>
          </w:p>
        </w:tc>
        <w:tc>
          <w:tcPr>
            <w:tcW w:w="1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Jennifer Fox</w:t>
            </w:r>
          </w:p>
        </w:tc>
        <w:tc>
          <w:tcPr>
            <w:tcW w:w="320" w:type="dxa"/>
            <w:vAlign w:val="bottom"/>
            <w:gridSpan w:val="4"/>
            <w:vMerge w:val="restart"/>
          </w:tcPr>
          <w:p>
            <w:pPr>
              <w:jc w:val="right"/>
              <w:spacing w:after="0" w:line="209"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bscript"/>
              </w:rPr>
              <w:t>​</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10"/>
                <w:szCs w:val="10"/>
                <w:color w:val="auto"/>
              </w:rPr>
              <w:t>(8)</w:t>
            </w:r>
          </w:p>
        </w:tc>
        <w:tc>
          <w:tcPr>
            <w:tcW w:w="440" w:type="dxa"/>
            <w:vAlign w:val="bottom"/>
            <w:gridSpan w:val="2"/>
            <w:vMerge w:val="restart"/>
          </w:tcPr>
          <w:p>
            <w:pPr>
              <w:ind w:left="80"/>
              <w:spacing w:after="0" w:line="20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​1.37</w:t>
            </w:r>
          </w:p>
        </w:tc>
        <w:tc>
          <w:tcPr>
            <w:tcW w:w="1100" w:type="dxa"/>
            <w:vAlign w:val="bottom"/>
            <w:gridSpan w:val="6"/>
            <w:vMerge w:val="restart"/>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​12/18/2033</w:t>
            </w:r>
            <w:r>
              <w:rPr>
                <w:rFonts w:ascii="Times New Roman" w:cs="Times New Roman" w:eastAsia="Times New Roman" w:hAnsi="Times New Roman"/>
                <w:sz w:val="24"/>
                <w:szCs w:val="24"/>
                <w:color w:val="auto"/>
                <w:vertAlign w:val="superscript"/>
              </w:rPr>
              <w:t>​​ ​ ​</w:t>
            </w: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360" w:type="dxa"/>
            <w:vAlign w:val="bottom"/>
            <w:vMerge w:val="restart"/>
          </w:tcPr>
          <w:p>
            <w:pPr>
              <w:ind w:left="200"/>
              <w:spacing w:after="0" w:line="20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200" w:type="dxa"/>
            <w:vAlign w:val="bottom"/>
          </w:tcPr>
          <w:p>
            <w:pPr>
              <w:spacing w:after="0"/>
              <w:rPr>
                <w:sz w:val="7"/>
                <w:szCs w:val="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21"/>
        </w:trPr>
        <w:tc>
          <w:tcPr>
            <w:tcW w:w="2020" w:type="dxa"/>
            <w:vAlign w:val="bottom"/>
            <w:gridSpan w:val="3"/>
            <w:vMerge w:val="continue"/>
          </w:tcPr>
          <w:p>
            <w:pPr>
              <w:spacing w:after="0"/>
              <w:rPr>
                <w:sz w:val="10"/>
                <w:szCs w:val="10"/>
                <w:color w:val="auto"/>
              </w:rPr>
            </w:pPr>
          </w:p>
        </w:tc>
        <w:tc>
          <w:tcPr>
            <w:tcW w:w="320" w:type="dxa"/>
            <w:vAlign w:val="bottom"/>
            <w:gridSpan w:val="4"/>
            <w:vMerge w:val="continue"/>
          </w:tcPr>
          <w:p>
            <w:pPr>
              <w:spacing w:after="0"/>
              <w:rPr>
                <w:sz w:val="10"/>
                <w:szCs w:val="10"/>
                <w:color w:val="auto"/>
              </w:rPr>
            </w:pPr>
          </w:p>
        </w:tc>
        <w:tc>
          <w:tcPr>
            <w:tcW w:w="1560" w:type="dxa"/>
            <w:vAlign w:val="bottom"/>
            <w:gridSpan w:val="6"/>
          </w:tcPr>
          <w:p>
            <w:pPr>
              <w:jc w:val="right"/>
              <w:spacing w:after="0" w:line="121"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vertAlign w:val="superscript"/>
              </w:rPr>
              <w:t>​​ ​ ​</w:t>
            </w:r>
            <w:r>
              <w:rPr>
                <w:rFonts w:ascii="Times New Roman" w:cs="Times New Roman" w:eastAsia="Times New Roman" w:hAnsi="Times New Roman"/>
                <w:sz w:val="9"/>
                <w:szCs w:val="9"/>
                <w:color w:val="auto"/>
              </w:rPr>
              <w:t xml:space="preserve">​2,000,000 </w:t>
            </w:r>
            <w:r>
              <w:rPr>
                <w:rFonts w:ascii="Times New Roman" w:cs="Times New Roman" w:eastAsia="Times New Roman" w:hAnsi="Times New Roman"/>
                <w:sz w:val="14"/>
                <w:szCs w:val="14"/>
                <w:color w:val="auto"/>
                <w:vertAlign w:val="superscript"/>
              </w:rPr>
              <w:t>​​ ​</w:t>
            </w:r>
          </w:p>
        </w:tc>
        <w:tc>
          <w:tcPr>
            <w:tcW w:w="440" w:type="dxa"/>
            <w:vAlign w:val="bottom"/>
            <w:gridSpan w:val="2"/>
            <w:vMerge w:val="continue"/>
          </w:tcPr>
          <w:p>
            <w:pPr>
              <w:spacing w:after="0"/>
              <w:rPr>
                <w:sz w:val="10"/>
                <w:szCs w:val="10"/>
                <w:color w:val="auto"/>
              </w:rPr>
            </w:pPr>
          </w:p>
        </w:tc>
        <w:tc>
          <w:tcPr>
            <w:tcW w:w="1100" w:type="dxa"/>
            <w:vAlign w:val="bottom"/>
            <w:gridSpan w:val="6"/>
            <w:vMerge w:val="continue"/>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Tanya Z. Fischer, M.D., Ph.D.</w:t>
            </w:r>
          </w:p>
        </w:tc>
        <w:tc>
          <w:tcPr>
            <w:tcW w:w="320" w:type="dxa"/>
            <w:vAlign w:val="bottom"/>
            <w:gridSpan w:val="4"/>
            <w:vMerge w:val="restart"/>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bscript"/>
              </w:rPr>
              <w:t>​</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00"/>
              <w:spacing w:after="0" w:line="88" w:lineRule="exact"/>
              <w:rPr>
                <w:sz w:val="20"/>
                <w:szCs w:val="20"/>
                <w:color w:val="auto"/>
              </w:rPr>
            </w:pPr>
            <w:r>
              <w:rPr>
                <w:rFonts w:ascii="Times New Roman" w:cs="Times New Roman" w:eastAsia="Times New Roman" w:hAnsi="Times New Roman"/>
                <w:sz w:val="10"/>
                <w:szCs w:val="10"/>
                <w:color w:val="auto"/>
              </w:rPr>
              <w:t>(9)</w:t>
            </w:r>
          </w:p>
        </w:tc>
        <w:tc>
          <w:tcPr>
            <w:tcW w:w="440" w:type="dxa"/>
            <w:vAlign w:val="bottom"/>
            <w:tcBorders>
              <w:right w:val="single" w:sz="8" w:color="CCEEFF"/>
            </w:tcBorders>
            <w:gridSpan w:val="2"/>
            <w:vMerge w:val="restart"/>
            <w:shd w:val="clear" w:color="auto" w:fill="CCEEFF"/>
          </w:tcPr>
          <w:p>
            <w:pPr>
              <w:ind w:left="80"/>
              <w:spacing w:after="0" w:line="20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​1.21</w:t>
            </w:r>
          </w:p>
        </w:tc>
        <w:tc>
          <w:tcPr>
            <w:tcW w:w="1100" w:type="dxa"/>
            <w:vAlign w:val="bottom"/>
            <w:gridSpan w:val="6"/>
            <w:vMerge w:val="restart"/>
            <w:shd w:val="clear" w:color="auto" w:fill="CCEEFF"/>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​10/29/2033</w:t>
            </w:r>
            <w:r>
              <w:rPr>
                <w:rFonts w:ascii="Times New Roman" w:cs="Times New Roman" w:eastAsia="Times New Roman" w:hAnsi="Times New Roman"/>
                <w:sz w:val="24"/>
                <w:szCs w:val="24"/>
                <w:color w:val="auto"/>
                <w:vertAlign w:val="superscript"/>
              </w:rPr>
              <w:t>​​ ​ ​</w:t>
            </w: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360" w:type="dxa"/>
            <w:vAlign w:val="bottom"/>
            <w:vMerge w:val="restart"/>
            <w:shd w:val="clear" w:color="auto" w:fill="CCEEFF"/>
          </w:tcPr>
          <w:p>
            <w:pPr>
              <w:ind w:left="200"/>
              <w:spacing w:after="0" w:line="20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7"/>
                <w:szCs w:val="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21"/>
        </w:trPr>
        <w:tc>
          <w:tcPr>
            <w:tcW w:w="2020" w:type="dxa"/>
            <w:vAlign w:val="bottom"/>
            <w:gridSpan w:val="3"/>
            <w:vMerge w:val="continue"/>
            <w:shd w:val="clear" w:color="auto" w:fill="CCEEFF"/>
          </w:tcPr>
          <w:p>
            <w:pPr>
              <w:spacing w:after="0"/>
              <w:rPr>
                <w:sz w:val="10"/>
                <w:szCs w:val="10"/>
                <w:color w:val="auto"/>
              </w:rPr>
            </w:pPr>
          </w:p>
        </w:tc>
        <w:tc>
          <w:tcPr>
            <w:tcW w:w="320" w:type="dxa"/>
            <w:vAlign w:val="bottom"/>
            <w:gridSpan w:val="4"/>
            <w:vMerge w:val="continue"/>
            <w:shd w:val="clear" w:color="auto" w:fill="CCEEFF"/>
          </w:tcPr>
          <w:p>
            <w:pPr>
              <w:spacing w:after="0"/>
              <w:rPr>
                <w:sz w:val="10"/>
                <w:szCs w:val="10"/>
                <w:color w:val="auto"/>
              </w:rPr>
            </w:pPr>
          </w:p>
        </w:tc>
        <w:tc>
          <w:tcPr>
            <w:tcW w:w="1560" w:type="dxa"/>
            <w:vAlign w:val="bottom"/>
            <w:gridSpan w:val="6"/>
            <w:shd w:val="clear" w:color="auto" w:fill="CCEEFF"/>
          </w:tcPr>
          <w:p>
            <w:pPr>
              <w:jc w:val="right"/>
              <w:spacing w:after="0" w:line="121"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vertAlign w:val="superscript"/>
              </w:rPr>
              <w:t>​​ ​ ​</w:t>
            </w:r>
            <w:r>
              <w:rPr>
                <w:rFonts w:ascii="Times New Roman" w:cs="Times New Roman" w:eastAsia="Times New Roman" w:hAnsi="Times New Roman"/>
                <w:sz w:val="9"/>
                <w:szCs w:val="9"/>
                <w:color w:val="auto"/>
              </w:rPr>
              <w:t xml:space="preserve">​1,500,000 </w:t>
            </w:r>
            <w:r>
              <w:rPr>
                <w:rFonts w:ascii="Times New Roman" w:cs="Times New Roman" w:eastAsia="Times New Roman" w:hAnsi="Times New Roman"/>
                <w:sz w:val="14"/>
                <w:szCs w:val="14"/>
                <w:color w:val="auto"/>
                <w:vertAlign w:val="superscript"/>
              </w:rPr>
              <w:t>​​ ​</w:t>
            </w:r>
          </w:p>
        </w:tc>
        <w:tc>
          <w:tcPr>
            <w:tcW w:w="440" w:type="dxa"/>
            <w:vAlign w:val="bottom"/>
            <w:tcBorders>
              <w:right w:val="single" w:sz="8" w:color="CCEEFF"/>
            </w:tcBorders>
            <w:gridSpan w:val="2"/>
            <w:vMerge w:val="continue"/>
            <w:shd w:val="clear" w:color="auto" w:fill="CCEEFF"/>
          </w:tcPr>
          <w:p>
            <w:pPr>
              <w:spacing w:after="0"/>
              <w:rPr>
                <w:sz w:val="10"/>
                <w:szCs w:val="10"/>
                <w:color w:val="auto"/>
              </w:rPr>
            </w:pPr>
          </w:p>
        </w:tc>
        <w:tc>
          <w:tcPr>
            <w:tcW w:w="1100" w:type="dxa"/>
            <w:vAlign w:val="bottom"/>
            <w:gridSpan w:val="6"/>
            <w:vMerge w:val="continue"/>
            <w:shd w:val="clear" w:color="auto" w:fill="CCEEFF"/>
          </w:tcPr>
          <w:p>
            <w:pPr>
              <w:spacing w:after="0"/>
              <w:rPr>
                <w:sz w:val="10"/>
                <w:szCs w:val="10"/>
                <w:color w:val="auto"/>
              </w:rPr>
            </w:pPr>
          </w:p>
        </w:tc>
        <w:tc>
          <w:tcPr>
            <w:tcW w:w="680" w:type="dxa"/>
            <w:vAlign w:val="bottom"/>
            <w:gridSpan w:val="4"/>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-1527175</wp:posOffset>
            </wp:positionV>
            <wp:extent cx="4241800" cy="2997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41800" cy="29972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-794385</wp:posOffset>
            </wp:positionV>
            <wp:extent cx="4241800" cy="4324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41800" cy="432435"/>
                    </a:xfrm>
                    <a:prstGeom prst="rect">
                      <a:avLst/>
                    </a:prstGeom>
                    <a:noFill/>
                  </pic:spPr>
                </pic:pic>
              </a:graphicData>
            </a:graphic>
          </wp:anchor>
        </w:drawing>
      </w:r>
    </w:p>
    <w:p>
      <w:pPr>
        <w:spacing w:after="0" w:line="61" w:lineRule="exact"/>
        <w:rPr>
          <w:sz w:val="20"/>
          <w:szCs w:val="20"/>
          <w:color w:val="auto"/>
        </w:rPr>
      </w:pPr>
    </w:p>
    <w:p>
      <w:pPr>
        <w:ind w:left="1460" w:right="1179" w:hanging="296"/>
        <w:spacing w:after="0" w:line="250" w:lineRule="auto"/>
        <w:tabs>
          <w:tab w:leader="none" w:pos="14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value of the restricted stock awards was determined assuming an initial public offering price of $            per share (the midpoint of the estimated public offering price range set forth on the cover page of this prospectus).</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line="235" w:lineRule="auto"/>
        <w:tabs>
          <w:tab w:leader="none" w:pos="14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vested portion of an option to purchase 1,378,802 shares of our common stock granted on May 20, 2021, which vested as to 40% of the underlying shares on April 15, 2022, with the remaining 60% of the underlying shares vesting monthly in substantial equal installments over the following 36 months, generally subject to Dr. Mu’s continued service with us through each vesting date. The unvested portions of Dr. Mu’s stock option grants as of December 31, 2023 were forfeited in July 2023 in connection with his transition out of the chief executive officer role and his termination of employment on December 31, 2023.</w:t>
      </w:r>
    </w:p>
    <w:p>
      <w:pPr>
        <w:spacing w:after="0" w:line="38"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vested portion of an option to purchase 4,656,042 shares of our common stock granted on December 14, 2022, which vested as to 25% of the underlying shares on December 14, 2023, with the remaining 75% of the underlying shares vesting monthly in substantial equal installments over the following 36 months, generally subject to Dr. Mu’s continued service with us through each vesting date. The unvested portions of Dr. Mu’s stock option grants as of December 31, 2023 were forfeited in July 2023 in connection with his transition out of the chief executive officer role and his termination of employment on December 31, 2023.</w:t>
      </w:r>
    </w:p>
    <w:p>
      <w:pPr>
        <w:spacing w:after="0" w:line="15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vested portion of an option to purchase 551,521 shares of our common stock granted on May 20, 2021, which vested as to 25% of the underlying shares on April 1, 2022, with the remaining 75% of the underlying shares vesting monthly in substantial equal installments over the following 36 months, generally subject to Mr. Farmer’s continued service with us through each vesting date.</w:t>
      </w:r>
    </w:p>
    <w:p>
      <w:pPr>
        <w:spacing w:after="0" w:line="37"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vested portion of an option to purchase 1,400,000 shares of our common stock granted on December 14, 2022, which vested as to 25% of the underlying shares on December 14, 2023, with the remaining 75% of the underlying shares vesting monthly in substantial equal installments over the following 36 months, generally subject to Mr. Farmer’s continued service with us through each vesting date.</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1" w:name="page172"/>
    <w:bookmarkEnd w:id="17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460" w:right="1179" w:hanging="296"/>
        <w:spacing w:after="0"/>
        <w:tabs>
          <w:tab w:leader="none" w:pos="146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option to purchase 2,675,000 shares of our common stock granted on July 18, 2023, which vests as to 25% of the underlying shares on June 29, 2024, with the remaining 75% of the underlying shares vesting monthly in substantial equal installments over the following 36 months, generally subject to Mr. Moulder’s continued service with us through each vesting date.</w:t>
      </w:r>
    </w:p>
    <w:p>
      <w:pPr>
        <w:spacing w:after="0" w:line="168"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option to purchase 675,000 shares of our common stock granted on July 18, 2023, which vests as to 25% of the underlying shares on July 18, 2024, with the remaining 75% of the underlying shares vesting monthly in substantial equal installments over the following 36 months, generally subject to Mr. Farmer’s continued service with us through each vesting date.</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option to purchase 2,000,000 shares of our common stock granted on December 19, 2023, which vests as to 25% of the underlying shares on December 4, 2024, with the remaining 75% of the underlying shares vesting monthly in substantial equal installments over the following 36 months, generally subject to Ms. Fox’s continued service with us through each vesting date.</w:t>
      </w:r>
    </w:p>
    <w:p>
      <w:pPr>
        <w:spacing w:after="0" w:line="157"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option to purchase 1,500,000 shares of our common stock granted on October 30, 2023, which vests as to 25% of the underlying shares on October 30, 2024, with the remaining 75% of the underlying shares vesting monthly in substantial equal installments over the following 36 months, generally subject to Dr. Fischer’s continued service with us through each vesting date.</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unvested portion of an award of shares subject to certain restrictions for the purchase of 39,250 shares of our common stock granted on August 21, 2020, which restrictions lapsed as to 25% of the shares on August 3, 2021, with the restrictions lapsing as to the remaining 75% of the shares in substantially equal installments over the following 36 months, generally subject to Mr. Moulder’s continued service with us through each vesting date.</w:t>
      </w:r>
    </w:p>
    <w:p>
      <w:pPr>
        <w:spacing w:after="0" w:line="26"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purchased Dr. Mu’s restricted stock for $0 on January 16, 2024, in accordance with the Restricted Stock Repurchase Agreement by and between Dr. Mu and the Company, dated January 1, 2024.</w:t>
      </w:r>
    </w:p>
    <w:p>
      <w:pPr>
        <w:spacing w:after="0" w:line="10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Except for Dr. Mu as described in more detail below under “Retirement Plans and Separation Arrangements,” we did not materially modify any outstanding equity awards held by our named executive officers or Mr. Farmer in 2023.</w:t>
      </w:r>
    </w:p>
    <w:p>
      <w:pPr>
        <w:spacing w:after="0" w:line="8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may in the future, on an annual basis or otherwise, grant additional equity awards to our executive officers pursuant to our 2020 Plan the terms of which are described below under the subsection titled “— Equity Incentive Plans—2020 Equity Incentive Plan.”</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Emerging Growth Company Status</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an “emerging growth company,” as defined in the JOBS Act. As an emerging growth company we will be exempt from certain requirements related to the disclosure of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 Compensation and Benefits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All of our current named executive officers and Mr. Farmer are eligible to participate in our employee benefit plans, in each case on the same basis as all of our other employees. These employee benefit plans include medical, dental, vision, short- and long-term disability and life and accidental dismemberment insurance plans. We pay a portion of the premiums for the medical, dental, vision and life and accidental death and dismemberment insurance for all of our employees, including our executive officers. We generally do not provide perquisites or personal benefits to our executive officers. In addition, we provide the opportunity to participate in a 401(k) plan to our employees, including each of our named executive officers and Mr. Farmer, as discussed in the section titled “Retirement Plans and Separation Agreements—401(k) Plan” below.</w:t>
      </w:r>
    </w:p>
    <w:p>
      <w:pPr>
        <w:spacing w:after="0" w:line="3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Retirement Plans and Separation Arrangements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401(k) Plan</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named executive officers and Mr. Farmer are eligible to participate in our defined contribution retirement plan, which is a tax-qualified retirement plan under Section 401(k) of the Code (the “401(k) Plan”), that provides eligible employees with an opportunity to save for retirement on a tax advantaged basis. Eligible employees may elect to defer up to 100% of their eligible compensation into the 401(k) Plan on a pretax basis or through the Roth component of the 401(k) Plan on an after-tax basis, up to annual limits prescribed by the Code.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Transition and Separation Agreement with Dr. Mu</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connection with Dr. Mu’s transition from the role of Chief Executive Officer to Head of China and Interim Chief Medical Officer, we entered into a transition and separation agreement with him, dated June 29,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2" w:name="page173"/>
    <w:bookmarkEnd w:id="17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2023 (the “Separation Agreement”). Dr. Mu stepped down as our Chief Executive Officer effective as of June 28, 2023, and transitioned to Head of China and Interim Chief Medical Officer on June 29, 2023 (the “Transition Date”) through his separation date of December 31, 2023 (the “Separation Date”), which period of time from the Transition Date through the Separation Date is referred to as the “Transition Period”. Pursuant to the terms of the Separation Agreement, Dr. Mu received a base salary of $49,163 per month during the Transition Period. Additionally, Dr. Mu received payment for accrued but unused vacation up to the Separation Date. Following the Separation Date, but subject to a release of claims between Dr. Mu and the Company that becomes effective in a timely manner, Dr. Mu is eligible to receive (i) an amount equal to six months of his pre-transitional annual base salary paid as continuation of salary for a period of six months (totaling $294,975), (ii) subsidized COBRA premiums until the earlier of 12 months following the Separation Date or the date upon which he commences employment that provides him with substantially similar group health benefits, and (iii) an amount equal to his target annual bonus for 2023 paid in a lump sum of the gross amount of $353,970. In addition, we agreed to extend the exercise period of his vested stock options outstanding at the Separation Date until the sooner of 12 months following the date of this offering or 18 months following the Separation Date, but in no event later than the term of his option.</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Clawback Policy</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connection with this offering, we intend to adopt a compensation recovery policy that is compliant with the Nasdaq Listing Rules, as required by the Dodd-Frank Act.</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Equity Incentive Plans</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Equity Incentive Plan</w:t>
      </w:r>
    </w:p>
    <w:p>
      <w:pPr>
        <w:spacing w:after="0" w:line="11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board of directors adopted, and our stockholders approved, the 2020 Plan in October 2020. The 2020 Plan was most recently amended in May 2024.</w:t>
      </w:r>
    </w:p>
    <w:p>
      <w:pPr>
        <w:spacing w:after="0" w:line="83"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Types of Awards</w:t>
      </w:r>
      <w:r>
        <w:rPr>
          <w:rFonts w:ascii="Times New Roman" w:cs="Times New Roman" w:eastAsia="Times New Roman" w:hAnsi="Times New Roman"/>
          <w:sz w:val="15"/>
          <w:szCs w:val="15"/>
          <w:color w:val="auto"/>
        </w:rPr>
        <w:t>. The 2020 Plan allows for the grant of nonqualified stock options, restricted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unrestricted stock, SARs, and restricted stock unit awards to our employees, officers, directors and consultants and those of our subsidiary corporations, and for the grant of incentive stock options (“ISOs”) to our employees and to any employees of our “subsidiary corporations” or “parent corporations”.</w:t>
      </w:r>
    </w:p>
    <w:p>
      <w:pPr>
        <w:spacing w:after="0" w:line="9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i w:val="1"/>
          <w:iCs w:val="1"/>
          <w:color w:val="auto"/>
        </w:rPr>
        <w:t xml:space="preserve">Authorized Shares. </w:t>
      </w:r>
      <w:r>
        <w:rPr>
          <w:rFonts w:ascii="Times New Roman" w:cs="Times New Roman" w:eastAsia="Times New Roman" w:hAnsi="Times New Roman"/>
          <w:sz w:val="15"/>
          <w:szCs w:val="15"/>
          <w:color w:val="auto"/>
        </w:rPr>
        <w:t>Subject to certain capitalization adjustments, the aggregate number of shares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common stock that may be issued pursuant to stock awards under the 2020 Plan will not exceed 38,414,424 shares. The maximum number of shares of our common stock that may be issued pursuant to the exercise of ISOs under our 2020 Plan is 38,414,424 shares. The shares of common stock underlying any awards that are (i) forfeited, (ii) canceled, (iii) reacquired by the Company prior to vesting, (iv) satisfied without the issuance of stock or otherwise terminated (other than by exercise), and (v) that are withheld upon exercise of an option or settlement of an award to cover the exercise price or tax withholding, will again become available for issuance under the 2020 Plan.</w:t>
      </w:r>
    </w:p>
    <w:p>
      <w:pPr>
        <w:spacing w:after="0" w:line="101"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i w:val="1"/>
          <w:iCs w:val="1"/>
          <w:color w:val="auto"/>
        </w:rPr>
        <w:t xml:space="preserve">Plan Administration. </w:t>
      </w:r>
      <w:r>
        <w:rPr>
          <w:rFonts w:ascii="Times New Roman" w:cs="Times New Roman" w:eastAsia="Times New Roman" w:hAnsi="Times New Roman"/>
          <w:sz w:val="15"/>
          <w:szCs w:val="15"/>
          <w:color w:val="auto"/>
        </w:rPr>
        <w:t>The 2020 Plan is administered by our board of directors or a committee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appointed by it (the plan administrator). The plan administrator has full power to, among other things, select, from among the individuals eligible for awards, the individuals to whom awards will be granted, to accelerate the time at which a stock award may be exercised or vest, to amend the 2020 Plan and to determine the specific terms and conditions of each award, subject to the provisions of the 2020 Plan.</w:t>
      </w:r>
    </w:p>
    <w:p>
      <w:pPr>
        <w:spacing w:after="0" w:line="98"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Stock Options and SARs. </w:t>
      </w:r>
      <w:r>
        <w:rPr>
          <w:rFonts w:ascii="Times New Roman" w:cs="Times New Roman" w:eastAsia="Times New Roman" w:hAnsi="Times New Roman"/>
          <w:sz w:val="15"/>
          <w:szCs w:val="15"/>
          <w:color w:val="auto"/>
        </w:rPr>
        <w:t>A stock option is a right entitling the holder to acquire shares upon payment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applicable exercise price. A SAR is a right entitling the holder upon exercise to receive an amount</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3" w:name="page174"/>
    <w:bookmarkEnd w:id="17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6" w:lineRule="auto"/>
        <w:rPr>
          <w:sz w:val="20"/>
          <w:szCs w:val="20"/>
          <w:color w:val="auto"/>
        </w:rPr>
      </w:pPr>
      <w:r>
        <w:rPr>
          <w:rFonts w:ascii="Times New Roman" w:cs="Times New Roman" w:eastAsia="Times New Roman" w:hAnsi="Times New Roman"/>
          <w:sz w:val="15"/>
          <w:szCs w:val="15"/>
          <w:color w:val="auto"/>
        </w:rPr>
        <w:t>(payable in cash or shares of equivalent value) equal to the excess of the fair market value of the shares subject to the right over the base value from which appreciation is measured. The exercise price per share of all stock options, and the base value of all SARs, must equal at least 100% of the fair market value per share of our common stock on the date of grant. The term of a stock option or SAR may not exceed ten years. An ISO granted to a participant who owns more than 10% of the total combined voting power of all classes of our stock on the date of grant, or any subsidiary corporations, may not have a term in excess of five years and must have an exercise price of at least 110% of the fair market value per share of our common stock on the date of grant. The plan administrator will determine the methods of payment of the exercise price of an option, which may include cash, shares or certain other property or other consideration acceptable to the plan administrator. After a participant’s termination of service, the participant generally may exercise his or her stock options, to the extent vested as of such date of termination, during a period of 90 days after termination of service. If a termination of service is due to death or disability, the option generally will remain exercisable, to the extent vested as of such date of termination, until the one-year anniversary of such termination of service. However, in no event may an option be exercised later than the expiration of its term. If a termination of service is for cause (as defined in an applicable award agreement), the stock option automatically expires upon the date of the termination of service.</w:t>
      </w:r>
    </w:p>
    <w:p>
      <w:pPr>
        <w:spacing w:after="0" w:line="97"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i w:val="1"/>
          <w:iCs w:val="1"/>
          <w:color w:val="auto"/>
        </w:rPr>
        <w:t>Restricted Stock</w:t>
      </w:r>
      <w:r>
        <w:rPr>
          <w:rFonts w:ascii="Times New Roman" w:cs="Times New Roman" w:eastAsia="Times New Roman" w:hAnsi="Times New Roman"/>
          <w:sz w:val="15"/>
          <w:szCs w:val="15"/>
          <w:color w:val="auto"/>
        </w:rPr>
        <w:t>. Restricted stock awards are grants of shares of our common stock that are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various restrictions, including restrictions on transferability and forfeitures provisions. Shares of restricted stock will vest, and the restrictions on such shares will lapse, in accordance with terms and conditions established by the plan administrator.</w:t>
      </w:r>
    </w:p>
    <w:p>
      <w:pPr>
        <w:spacing w:after="0" w:line="98"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i w:val="1"/>
          <w:iCs w:val="1"/>
          <w:color w:val="auto"/>
        </w:rPr>
        <w:t>Unrestricted Stock</w:t>
      </w:r>
      <w:r>
        <w:rPr>
          <w:rFonts w:ascii="Times New Roman" w:cs="Times New Roman" w:eastAsia="Times New Roman" w:hAnsi="Times New Roman"/>
          <w:sz w:val="15"/>
          <w:szCs w:val="15"/>
          <w:color w:val="auto"/>
        </w:rPr>
        <w:t>. Unrestricted stock awards may be granted to participants in recognition of past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services or for other valid consideration and may be issued in lieu of cash compensation due to such participant.</w:t>
      </w:r>
    </w:p>
    <w:p>
      <w:pPr>
        <w:spacing w:after="0" w:line="81"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i w:val="1"/>
          <w:iCs w:val="1"/>
          <w:color w:val="auto"/>
        </w:rPr>
        <w:t>Restricted Stock Units</w:t>
      </w:r>
      <w:r>
        <w:rPr>
          <w:rFonts w:ascii="Times New Roman" w:cs="Times New Roman" w:eastAsia="Times New Roman" w:hAnsi="Times New Roman"/>
          <w:sz w:val="15"/>
          <w:szCs w:val="15"/>
          <w:color w:val="auto"/>
        </w:rPr>
        <w:t>. A restricted stock unit is an award that covers a number of shares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that may be settled upon vesting in cash, by the issuance of the underlying shares or a combination of both. The plan administrator determines the terms and conditions of restricted stock units, including the number of units granted, the vesting criteria (which may include specified performance criteria and/or continued service to us) and the form and timing of payment.</w:t>
      </w:r>
    </w:p>
    <w:p>
      <w:pPr>
        <w:spacing w:after="0" w:line="98"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Changes to Capital Structure</w:t>
      </w:r>
      <w:r>
        <w:rPr>
          <w:rFonts w:ascii="Times New Roman" w:cs="Times New Roman" w:eastAsia="Times New Roman" w:hAnsi="Times New Roman"/>
          <w:sz w:val="15"/>
          <w:szCs w:val="15"/>
          <w:color w:val="auto"/>
        </w:rPr>
        <w:t>. In the event of certain changes in our capitalization, the exercise prices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and the number of shares subject to outstanding awards, and the purchase price of and the numbers of shares subject to outstanding awards will be proportionately adjusted, subject to any required action by our board of directors or stockholders.</w:t>
      </w:r>
    </w:p>
    <w:p>
      <w:pPr>
        <w:spacing w:after="0" w:line="9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i w:val="1"/>
          <w:iCs w:val="1"/>
          <w:color w:val="auto"/>
        </w:rPr>
        <w:t>Covered Transactions</w:t>
      </w:r>
      <w:r>
        <w:rPr>
          <w:rFonts w:ascii="Times New Roman" w:cs="Times New Roman" w:eastAsia="Times New Roman" w:hAnsi="Times New Roman"/>
          <w:sz w:val="15"/>
          <w:szCs w:val="15"/>
          <w:color w:val="auto"/>
        </w:rPr>
        <w:t>. The 2020 Plan provides that upon the effectiveness of a “covered transaction,”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defined in the 2020 Plan, an acquirer or successor entity may assume, continue or substitute for the outstanding awards under the 2020 Plan. To the extent that awards granted under the 2020 Plan are not assumed or continued or substituted by acquirer or the successor entity, and except as the plan administrator may otherwise determine, all stock options and all other awards granted under the 2020 Plan shall automatically terminate. In addition, upon a covered transaction, the plan administrator may provide for a cash payment in respect of some or all awards (or any portion thereof) equal to the difference between the fair market value of the shares subject to the award and its exercise or base price, if any. Additionally, the plan administrator may resolve, in its sole discretion, to subject any payments in respect of awards to any escrow, holdback, earn-out or similar provisions in the transaction agreements as such provisions apply to holders of our common stock. Upon a covered transaction, the plan administrator may also provide for the acceleration of exercisability or delivery of shares in respect of any award, in full or in part.</w:t>
      </w:r>
    </w:p>
    <w:p>
      <w:pPr>
        <w:spacing w:after="0" w:line="89"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i w:val="1"/>
          <w:iCs w:val="1"/>
          <w:color w:val="auto"/>
        </w:rPr>
        <w:t>Transferability</w:t>
      </w:r>
      <w:r>
        <w:rPr>
          <w:rFonts w:ascii="Times New Roman" w:cs="Times New Roman" w:eastAsia="Times New Roman" w:hAnsi="Times New Roman"/>
          <w:sz w:val="15"/>
          <w:szCs w:val="15"/>
          <w:color w:val="auto"/>
        </w:rPr>
        <w:t>. Except as the plan administrator may otherwise determine, the 2020 Plan generally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does not allow for the transfer or assignment of awards other than by will or by the laws of descent and distribution.</w:t>
      </w:r>
    </w:p>
    <w:p>
      <w:pPr>
        <w:spacing w:after="0" w:line="269"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i w:val="1"/>
          <w:iCs w:val="1"/>
          <w:color w:val="auto"/>
        </w:rPr>
        <w:t>Plan Amendment or Termination</w:t>
      </w:r>
      <w:r>
        <w:rPr>
          <w:rFonts w:ascii="Times New Roman" w:cs="Times New Roman" w:eastAsia="Times New Roman" w:hAnsi="Times New Roman"/>
          <w:sz w:val="15"/>
          <w:szCs w:val="15"/>
          <w:color w:val="auto"/>
        </w:rPr>
        <w:t>. The plan administrator may amend or terminate the 2020 Plan at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 and for any reason, however, the Company will obtain stockholder approval if required by applicable law.</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4" w:name="page175"/>
    <w:bookmarkEnd w:id="17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Anticipated Compensation Plans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Prior to the completion of this offering, our board of directors intends to adopt an equity incentive plan, an employee stock purchase plan, an executive severance plan and a cash incentive plan, all of which are expected to become effective upon the completion of this offering.</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Non-Employee Director Compensation</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following table presents the compensation awarded to or earned by or paid to all individuals who served as non-employee directors during the year ended December 31, 2023. Mr. Moulder’s compensation for the year ended December 31, 2023 is included in the Summary Compensation Table above and the accompanying narrative description; he did not receive any compensation in connection with his service as a member of our board of directors.</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8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Awards</w:t>
            </w:r>
          </w:p>
        </w:tc>
        <w:tc>
          <w:tcPr>
            <w:tcW w:w="400" w:type="dxa"/>
            <w:vAlign w:val="bottom"/>
            <w:gridSpan w:val="2"/>
          </w:tcPr>
          <w:p>
            <w:pPr>
              <w:jc w:val="right"/>
              <w:ind w:right="67"/>
              <w:spacing w:after="0" w:line="122"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106"/>
        </w:trPr>
        <w:tc>
          <w:tcPr>
            <w:tcW w:w="2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86"/>
              </w:rPr>
              <w:t>Name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w w:val="72"/>
              </w:rPr>
              <w:t>(1)</w:t>
            </w:r>
          </w:p>
        </w:tc>
        <w:tc>
          <w:tcPr>
            <w:tcW w:w="3260" w:type="dxa"/>
            <w:vAlign w:val="bottom"/>
            <w:vMerge w:val="restart"/>
          </w:tcPr>
          <w:p>
            <w:pPr>
              <w:spacing w:after="0"/>
              <w:rPr>
                <w:sz w:val="9"/>
                <w:szCs w:val="9"/>
                <w:color w:val="auto"/>
              </w:rPr>
            </w:pPr>
          </w:p>
        </w:tc>
        <w:tc>
          <w:tcPr>
            <w:tcW w:w="2100" w:type="dxa"/>
            <w:vAlign w:val="bottom"/>
            <w:vMerge w:val="restart"/>
          </w:tcPr>
          <w:p>
            <w:pPr>
              <w:ind w:left="1900"/>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gridSpan w:val="2"/>
            <w:vMerge w:val="restart"/>
          </w:tcPr>
          <w:p>
            <w:pPr>
              <w:ind w:left="40"/>
              <w:spacing w:after="0" w:line="173"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2"/>
                <w:szCs w:val="12"/>
                <w:b w:val="1"/>
                <w:bCs w:val="1"/>
                <w:color w:val="auto"/>
                <w:vertAlign w:val="superscript"/>
              </w:rPr>
              <w:t>(4)</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 ​</w:t>
            </w:r>
          </w:p>
        </w:tc>
        <w:tc>
          <w:tcPr>
            <w:tcW w:w="400" w:type="dxa"/>
            <w:vAlign w:val="bottom"/>
            <w:gridSpan w:val="2"/>
            <w:vMerge w:val="restart"/>
          </w:tcPr>
          <w:p>
            <w:pPr>
              <w:jc w:val="right"/>
              <w:spacing w:after="0" w:line="173"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51"/>
        </w:trPr>
        <w:tc>
          <w:tcPr>
            <w:tcW w:w="2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40" w:type="dxa"/>
            <w:vAlign w:val="bottom"/>
            <w:gridSpan w:val="3"/>
            <w:vMerge w:val="restart"/>
            <w:shd w:val="clear" w:color="auto" w:fill="CCEEFF"/>
          </w:tcPr>
          <w:p>
            <w:pPr>
              <w:spacing w:after="0" w:line="200" w:lineRule="exact"/>
              <w:rPr>
                <w:sz w:val="20"/>
                <w:szCs w:val="20"/>
                <w:color w:val="auto"/>
              </w:rPr>
            </w:pPr>
            <w:r>
              <w:rPr>
                <w:rFonts w:ascii="Times New Roman" w:cs="Times New Roman" w:eastAsia="Times New Roman" w:hAnsi="Times New Roman"/>
                <w:sz w:val="15"/>
                <w:szCs w:val="15"/>
                <w:color w:val="auto"/>
              </w:rPr>
              <w:t>James Boylan</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w:t>
            </w:r>
          </w:p>
        </w:tc>
        <w:tc>
          <w:tcPr>
            <w:tcW w:w="21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gridSpan w:val="3"/>
            <w:vMerge w:val="continue"/>
            <w:shd w:val="clear" w:color="auto" w:fill="CCEEFF"/>
          </w:tcPr>
          <w:p>
            <w:pPr>
              <w:spacing w:after="0"/>
              <w:rPr>
                <w:sz w:val="15"/>
                <w:szCs w:val="15"/>
                <w:color w:val="auto"/>
              </w:rPr>
            </w:pPr>
          </w:p>
        </w:tc>
        <w:tc>
          <w:tcPr>
            <w:tcW w:w="210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Patrick Enright</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w:t>
            </w:r>
          </w:p>
        </w:tc>
        <w:tc>
          <w:tcPr>
            <w:tcW w:w="2100" w:type="dxa"/>
            <w:vAlign w:val="bottom"/>
          </w:tcPr>
          <w:p>
            <w:pPr>
              <w:ind w:left="19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Tomas Kiselak</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w:t>
            </w:r>
          </w:p>
        </w:tc>
        <w:tc>
          <w:tcPr>
            <w:tcW w:w="210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Hongbo Lu, Ph.D.</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w:t>
            </w:r>
          </w:p>
        </w:tc>
        <w:tc>
          <w:tcPr>
            <w:tcW w:w="2100" w:type="dxa"/>
            <w:vAlign w:val="bottom"/>
          </w:tcPr>
          <w:p>
            <w:pPr>
              <w:ind w:left="19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Marietta Wu, M.D., Ph.D.</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w:t>
            </w:r>
          </w:p>
        </w:tc>
        <w:tc>
          <w:tcPr>
            <w:tcW w:w="210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4"/>
        </w:trPr>
        <w:tc>
          <w:tcPr>
            <w:tcW w:w="3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John Orloff, M.D.</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5"/>
                <w:szCs w:val="15"/>
                <w:color w:val="auto"/>
              </w:rPr>
              <w:t>​</w:t>
            </w:r>
          </w:p>
        </w:tc>
        <w:tc>
          <w:tcPr>
            <w:tcW w:w="30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80,102​​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80,102​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76200</wp:posOffset>
            </wp:positionV>
            <wp:extent cx="44640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81" w:lineRule="exact"/>
        <w:rPr>
          <w:sz w:val="20"/>
          <w:szCs w:val="20"/>
          <w:color w:val="auto"/>
        </w:rPr>
      </w:pPr>
    </w:p>
    <w:p>
      <w:pPr>
        <w:ind w:left="1460" w:right="1179" w:hanging="296"/>
        <w:spacing w:after="0" w:line="250" w:lineRule="auto"/>
        <w:tabs>
          <w:tab w:leader="none" w:pos="146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Allen became a director in February 2024 and Jake Nunn and Tim Xiao became directors in May 2024 and therefore did not receive any compensation during the year ended December 31, 2023.</w:t>
      </w:r>
    </w:p>
    <w:p>
      <w:pPr>
        <w:spacing w:after="0" w:line="20"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Messrs. Boylan, Enright and Kiselak, and Drs. Lu and Wu, have not received compensation in respect of their service as members of our board of directors. As of May 2024, Dr. Wu ceased to be a member of our board of directors.</w:t>
      </w:r>
    </w:p>
    <w:p>
      <w:pPr>
        <w:spacing w:after="0" w:line="20"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Dr. Orloff has options to purchase 150,000 shares of our common stock. Dr. Orloff received a grant to purchase 50,000 shares of our common stock on March 11, 2022 and a grant to purchase 100,000 shares of our common stock on February 21, 2023.</w:t>
      </w:r>
    </w:p>
    <w:p>
      <w:pPr>
        <w:spacing w:after="0" w:line="25"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shown in this column represents the grant date fair value of an option to purchase 100,000 shares of our common stock granted to Dr. Orloff in fiscal year 2023, computed in accordance with FASB ASC Topic 718, excluding the effect of estimated forfeitures. The assumptions used to value the options for this purpose are set forth in Note           to our consolidated financial statements included elsewhere in this prospectus.</w:t>
      </w:r>
    </w:p>
    <w:p>
      <w:pPr>
        <w:spacing w:after="0" w:line="8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Outstanding equity awards held by our non-employee directors are subject to the terms of our 2020 Plan, as described in the section titled “—Equity Incentive Plans—2020 Equity Incentive Plan.”</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Post-IPO Non-Employee Director Compensation Policy</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connection with this offering, we expect to adopt a formal non-employee director compensation policy for members of our board of directors, the terms of which will be described in a subsequent filing.</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Limitations on Liability and Indemnification</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Our Restated Charter, which will become effective immediately prior to the completion of this offering, will contain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w:t>
      </w:r>
    </w:p>
    <w:p>
      <w:pPr>
        <w:spacing w:after="0" w:line="64" w:lineRule="exact"/>
        <w:rPr>
          <w:sz w:val="20"/>
          <w:szCs w:val="20"/>
          <w:color w:val="auto"/>
        </w:rPr>
      </w:pPr>
    </w:p>
    <w:p>
      <w:pPr>
        <w:ind w:left="1600" w:hanging="143"/>
        <w:spacing w:after="0"/>
        <w:tabs>
          <w:tab w:leader="none" w:pos="16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 director’s or officer’s duty of loyalty to the corporation or its stockholders;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director, unlawful payments of dividends or unlawful stock repurchases or redemptions;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an officer, derivative claims brought on behalf of the corporation by a stockholder; or</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 director or officer derived an improper personal benefit.</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5" w:name="page176"/>
    <w:bookmarkEnd w:id="17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Such limitation of liability does not apply to liabilities arising under federal securities laws and does not affect the availability of equitable remedies such as injunctive relief or rescission.</w:t>
      </w:r>
    </w:p>
    <w:p>
      <w:pPr>
        <w:spacing w:after="0" w:line="8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Restated Charter will authorize us to indemnify our directors, officers, employees and other agents to the fullest extent permitted by Delaware law. Our Restated Bylaws will provide that we are required to indemnify our directors and officers to the fullest extent permitted by Delaware law and may indemnify our other employees and agents. Our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109"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believe that these Restated Charter and Restated Bylaw provisions and indemnification agreements are necessary to attract and retain qualified persons as directors and officers. We also maintain customary directors’ and officers’ liability insurance.</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limitation of liability and indemnification provisions in our Restated Charter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Rule 10b5-1 Plans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6" w:name="page177"/>
    <w:bookmarkEnd w:id="17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RELATIONSHIPS AND RELATED PERSON TRANSACTIONS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following is a summary of transactions since January 1, 2021, to which we have been a party in which the amount involved exceeded the lesser of (i) $120,000 or (ii) one percent of the average of our total assets at year end for the last two completed fiscal years, and in which any of our executive officers, directors, promoters or beneficial holders of more than 5% of our capital stock had or will have a direct or indirect material interest, other than compensation arrangements which are described under the section of this prospectus captioned “Executive and Director Compensation.”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Private Placements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Warrant to Xencor, Inc.</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May 2021, we entered into the 2021 Xencor Agreement pursuant to which Xencor agreed to grant us a license to develop, manufacture and commercialize obexelimab. In consideration of the license, we agreed to issue to Xencor a certain number of shares of our preferred stock (the “Xencor Equity Consideration”) concurrently with a future equity financing transaction. We also agreed to make certain milestone payments upon the achievement of certain development, regulatory and sales milestones. Xencor holds more than 5% of our capital stock. See the section titled “Business—License Agreements—License Agreements with Xencor, Inc.” for further information on the material terms of our license agreement with Xencor.</w:t>
      </w:r>
    </w:p>
    <w:p>
      <w:pPr>
        <w:spacing w:after="0" w:line="9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November 2021, we amended the 2021 Xencor Agreement and, pursuant to such amendment, we issued to Xencor the Xencor Warrant, in lieu of the issuance of the Xencor Equity Consideration. In November 2022, the Xencor Warrant was exercised for 14,441,793 shares of our Series B Preferred Stock. Each share of our Series B Preferred Stock will convert into one share of our common stock immediately prior to the completion of this offering.</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Convertible Promissory Notes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November 2021, we entered into the 2021 Notes, in an aggregate principal amount of $58.0 million. Each 2021 Note had a maturity date of May 19, 2023 and accrued interest at a rate of 8.0% per annum. The terms of the 2021 Notes provided for automatic conversion into shares of our preferred stock upon a qualified financing and optional conversion upon a non-qualified financing. The following table summarizes the 2021 Notes purchased by our directors, executive officers and beneficial holders of more than 5% of our capital stock:</w:t>
      </w:r>
    </w:p>
    <w:p>
      <w:pPr>
        <w:sectPr>
          <w:pgSz w:w="11900" w:h="16838" w:orient="portrait"/>
          <w:cols w:equalWidth="0" w:num="1">
            <w:col w:w="9019"/>
          </w:cols>
          <w:pgMar w:left="1440" w:top="98" w:right="1440" w:bottom="1440" w:gutter="0" w:footer="0" w:header="0"/>
        </w:sectPr>
      </w:pPr>
    </w:p>
    <w:p>
      <w:pPr>
        <w:spacing w:after="0" w:line="3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15240</wp:posOffset>
            </wp:positionV>
            <wp:extent cx="4241800" cy="1536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Tellus BioVentures, LLC</w:t>
      </w:r>
      <w:r>
        <w:rPr>
          <w:rFonts w:ascii="Times New Roman" w:cs="Times New Roman" w:eastAsia="Times New Roman" w:hAnsi="Times New Roman"/>
          <w:sz w:val="19"/>
          <w:szCs w:val="19"/>
          <w:color w:val="auto"/>
          <w:vertAlign w:val="superscript"/>
        </w:rPr>
        <w:t>(1)</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Entities affiliated with Fairmount Funds Management LLC</w:t>
      </w:r>
      <w:r>
        <w:rPr>
          <w:rFonts w:ascii="Times New Roman" w:cs="Times New Roman" w:eastAsia="Times New Roman" w:hAnsi="Times New Roman"/>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-7620</wp:posOffset>
            </wp:positionV>
            <wp:extent cx="4241800" cy="132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Xencor, Inc.</w:t>
      </w:r>
    </w:p>
    <w:p>
      <w:pPr>
        <w:spacing w:after="0" w:line="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Quan Venture Fund II, L.P.</w:t>
      </w:r>
      <w:r>
        <w:rPr>
          <w:rFonts w:ascii="Times New Roman" w:cs="Times New Roman" w:eastAsia="Times New Roman" w:hAnsi="Times New Roman"/>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109855</wp:posOffset>
            </wp:positionV>
            <wp:extent cx="44640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Aggregate Principal Amount of</w:t>
            </w:r>
          </w:p>
        </w:tc>
        <w:tc>
          <w:tcPr>
            <w:tcW w:w="60" w:type="dxa"/>
            <w:vAlign w:val="bottom"/>
          </w:tcPr>
          <w:p>
            <w:pPr>
              <w:spacing w:after="0"/>
              <w:rPr>
                <w:sz w:val="12"/>
                <w:szCs w:val="12"/>
                <w:color w:val="auto"/>
              </w:rPr>
            </w:pPr>
          </w:p>
        </w:tc>
      </w:tr>
      <w:tr>
        <w:trPr>
          <w:trHeight w:val="132"/>
        </w:trPr>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Convertible Notes</w:t>
            </w:r>
          </w:p>
        </w:tc>
        <w:tc>
          <w:tcPr>
            <w:tcW w:w="60" w:type="dxa"/>
            <w:vAlign w:val="bottom"/>
          </w:tcPr>
          <w:p>
            <w:pPr>
              <w:spacing w:after="0"/>
              <w:rPr>
                <w:sz w:val="11"/>
                <w:szCs w:val="11"/>
                <w:color w:val="auto"/>
              </w:rPr>
            </w:pPr>
          </w:p>
        </w:tc>
      </w:tr>
      <w:tr>
        <w:trPr>
          <w:trHeight w:val="162"/>
        </w:trPr>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44"/>
        </w:trPr>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1"/>
                <w:szCs w:val="21"/>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r>
              <w:rPr>
                <w:rFonts w:ascii="Times New Roman" w:cs="Times New Roman" w:eastAsia="Times New Roman" w:hAnsi="Times New Roman"/>
                <w:sz w:val="15"/>
                <w:szCs w:val="15"/>
                <w:color w:val="auto"/>
                <w:w w:val="99"/>
              </w:rPr>
              <w:t>5,000,000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7"/>
        </w:trPr>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r>
              <w:rPr>
                <w:rFonts w:ascii="Times New Roman" w:cs="Times New Roman" w:eastAsia="Times New Roman" w:hAnsi="Times New Roman"/>
                <w:sz w:val="15"/>
                <w:szCs w:val="15"/>
                <w:color w:val="auto"/>
                <w:w w:val="99"/>
              </w:rPr>
              <w:t>5,000,000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2"/>
        </w:trPr>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r>
              <w:rPr>
                <w:rFonts w:ascii="Times New Roman" w:cs="Times New Roman" w:eastAsia="Times New Roman" w:hAnsi="Times New Roman"/>
                <w:sz w:val="15"/>
                <w:szCs w:val="15"/>
                <w:color w:val="auto"/>
                <w:w w:val="99"/>
              </w:rPr>
              <w:t>5,000,000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r>
              <w:rPr>
                <w:rFonts w:ascii="Times New Roman" w:cs="Times New Roman" w:eastAsia="Times New Roman" w:hAnsi="Times New Roman"/>
                <w:sz w:val="15"/>
                <w:szCs w:val="15"/>
                <w:color w:val="auto"/>
                <w:w w:val="99"/>
              </w:rPr>
              <w:t>3,000,000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0" w:lineRule="exact"/>
        <w:rPr>
          <w:sz w:val="20"/>
          <w:szCs w:val="20"/>
          <w:color w:val="auto"/>
        </w:rPr>
      </w:pPr>
    </w:p>
    <w:p>
      <w:pPr>
        <w:sectPr>
          <w:pgSz w:w="11900" w:h="16838" w:orient="portrait"/>
          <w:cols w:equalWidth="0" w:num="2">
            <w:col w:w="5420" w:space="720"/>
            <w:col w:w="2879"/>
          </w:cols>
          <w:pgMar w:left="1440" w:top="98" w:right="1440" w:bottom="1440" w:gutter="0" w:footer="0" w:header="0"/>
          <w:type w:val="continuous"/>
        </w:sectPr>
      </w:pPr>
    </w:p>
    <w:p>
      <w:pPr>
        <w:spacing w:after="0" w:line="68" w:lineRule="exact"/>
        <w:rPr>
          <w:sz w:val="20"/>
          <w:szCs w:val="20"/>
          <w:color w:val="auto"/>
        </w:rPr>
      </w:pPr>
    </w:p>
    <w:p>
      <w:pPr>
        <w:jc w:val="both"/>
        <w:ind w:left="1460" w:right="1179" w:hanging="296"/>
        <w:spacing w:after="0"/>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Moulder, our chief executive officer and a member of our board of directors, is the Managing Member of Tellus BioVentures, LLC and as a result may be deemed to share voting and investment power with respect to the shares held by Tellus BioVentures, LLC. Tellus BioVentures, LLC holds more than 5% of our capital stock.</w:t>
      </w:r>
    </w:p>
    <w:p>
      <w:pPr>
        <w:spacing w:after="0" w:line="47"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Kiselak, a member of our board of directors, serves as Managing Member and 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w:t>
      </w:r>
    </w:p>
    <w:p>
      <w:pPr>
        <w:spacing w:after="0" w:line="59"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Wu, a member of our board of directors until May 2024, is Managing Director of Quan Capital, an entity affiliated with Quan Venture Fund II, L.P., and as a result may be deemed to share voting and investment power with respect to the shares held by Quan Venture Fund II, L.P. Quan Venture Fund II, L.P. holds more than 5% of our capital stock.</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77" w:name="page178"/>
    <w:bookmarkEnd w:id="17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November 2022, all of the 2021 Notes were converted in connection with the issuance and sale of our Series B Preferred Stock into an aggregate of 37,471,107 shares of our Series B Preferred Stock at a conversion price representing a 30% discount to the Series B Preferred Stock purchase price (the “Conversion Discount”). Each share of our Series B Preferred Stock will convert into one share of our common stock immediately prior to the completion of this offering.</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connection with the issuance of the 2021 Notes, we also entered into a side letter with Xencor (the “Xencor Side Letter”), agreeing that any shares of preferred stock issued in connection with the conversion of Xencor’s 2021 Note would have certain preferred rights substantially similar to those provided to other preferred stockholders of ours. The Xencor Side Letter will terminate upon the completion of this offering.</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B Preferred Stock Financing</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November 2022, we entered into a Series B Preferred Stock subscription agreement pursuant to which we issued an aggregate of 77,052,632 shares of our Series B Preferred Stock at a purchase price of $2.38666 per share. Where applicable, the payment of the purchase price consisted of or included the conversion of the 2021 Notes at the Conversion Discount and the exercise of the Xencor Warrant at an exercise price of $0.0001 per share. Each share of our Series B Preferred Stock will convert into one share of our common stock immediately prior to the completion of this offering. The following table summarizes the Series B Preferred Stock issued to our directors, executive officers and beneficial holders of more than 5% of our capital stock:</w:t>
      </w:r>
    </w:p>
    <w:p>
      <w:pPr>
        <w:spacing w:after="0" w:line="29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Aggregate Price</w:t>
            </w:r>
          </w:p>
        </w:tc>
        <w:tc>
          <w:tcPr>
            <w:tcW w:w="40" w:type="dxa"/>
            <w:vAlign w:val="bottom"/>
          </w:tcPr>
          <w:p>
            <w:pPr>
              <w:spacing w:after="0"/>
              <w:rPr>
                <w:sz w:val="12"/>
                <w:szCs w:val="12"/>
                <w:color w:val="auto"/>
              </w:rPr>
            </w:pPr>
          </w:p>
        </w:tc>
      </w:tr>
      <w:tr>
        <w:trPr>
          <w:trHeight w:val="132"/>
        </w:trPr>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5"/>
          </w:tcPr>
          <w:p>
            <w:pPr>
              <w:jc w:val="center"/>
              <w:ind w:right="129"/>
              <w:spacing w:after="0" w:line="132" w:lineRule="exact"/>
              <w:rPr>
                <w:sz w:val="20"/>
                <w:szCs w:val="20"/>
                <w:color w:val="auto"/>
              </w:rPr>
            </w:pPr>
            <w:r>
              <w:rPr>
                <w:rFonts w:ascii="Times New Roman" w:cs="Times New Roman" w:eastAsia="Times New Roman" w:hAnsi="Times New Roman"/>
                <w:sz w:val="12"/>
                <w:szCs w:val="12"/>
                <w:b w:val="1"/>
                <w:bCs w:val="1"/>
                <w:color w:val="auto"/>
                <w:w w:val="91"/>
              </w:rPr>
              <w:t>Purchase Price of</w:t>
            </w:r>
          </w:p>
        </w:tc>
        <w:tc>
          <w:tcPr>
            <w:tcW w:w="2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of Shares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of Series B</w:t>
            </w:r>
          </w:p>
        </w:tc>
        <w:tc>
          <w:tcPr>
            <w:tcW w:w="200" w:type="dxa"/>
            <w:vAlign w:val="bottom"/>
          </w:tcPr>
          <w:p>
            <w:pPr>
              <w:spacing w:after="0"/>
              <w:rPr>
                <w:sz w:val="11"/>
                <w:szCs w:val="11"/>
                <w:color w:val="auto"/>
              </w:rPr>
            </w:pPr>
          </w:p>
        </w:tc>
        <w:tc>
          <w:tcPr>
            <w:tcW w:w="1060" w:type="dxa"/>
            <w:vAlign w:val="bottom"/>
            <w:gridSpan w:val="5"/>
          </w:tcPr>
          <w:p>
            <w:pPr>
              <w:jc w:val="center"/>
              <w:ind w:right="129"/>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Purchased</w:t>
            </w:r>
          </w:p>
        </w:tc>
        <w:tc>
          <w:tcPr>
            <w:tcW w:w="2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Converted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1"/>
              </w:rPr>
              <w:t>Purchaser</w:t>
            </w:r>
          </w:p>
        </w:tc>
        <w:tc>
          <w:tcPr>
            <w:tcW w:w="296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80" w:type="dxa"/>
            <w:vAlign w:val="bottom"/>
            <w:tcBorders>
              <w:bottom w:val="single" w:sz="8" w:color="auto"/>
            </w:tcBorders>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6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Borders>
              <w:bottom w:val="single" w:sz="8" w:color="auto"/>
            </w:tcBorders>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Enavate Sciences</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10,474,889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24,999,999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Longitude Venture Partner IV, L.P.</w:t>
            </w:r>
            <w:r>
              <w:rPr>
                <w:rFonts w:ascii="Times New Roman" w:cs="Times New Roman" w:eastAsia="Times New Roman" w:hAnsi="Times New Roman"/>
                <w:sz w:val="19"/>
                <w:szCs w:val="19"/>
                <w:color w:val="auto"/>
                <w:vertAlign w:val="superscript"/>
              </w:rPr>
              <w:t>(2)</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6,284,933</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14,999,999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34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Entities affiliated with Fairmount Funds Management</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27"/>
        </w:trPr>
        <w:tc>
          <w:tcPr>
            <w:tcW w:w="3460" w:type="dxa"/>
            <w:vAlign w:val="bottom"/>
            <w:gridSpan w:val="2"/>
            <w:shd w:val="clear" w:color="auto" w:fill="CCEEFF"/>
          </w:tcPr>
          <w:p>
            <w:pPr>
              <w:ind w:left="160"/>
              <w:spacing w:after="0" w:line="226" w:lineRule="exact"/>
              <w:rPr>
                <w:sz w:val="20"/>
                <w:szCs w:val="20"/>
                <w:color w:val="auto"/>
              </w:rPr>
            </w:pPr>
            <w:r>
              <w:rPr>
                <w:rFonts w:ascii="Times New Roman" w:cs="Times New Roman" w:eastAsia="Times New Roman" w:hAnsi="Times New Roman"/>
                <w:sz w:val="26"/>
                <w:szCs w:val="26"/>
                <w:color w:val="auto"/>
                <w:vertAlign w:val="subscript"/>
              </w:rPr>
              <w:t>LLC</w:t>
            </w:r>
            <w:r>
              <w:rPr>
                <w:rFonts w:ascii="Times New Roman" w:cs="Times New Roman" w:eastAsia="Times New Roman" w:hAnsi="Times New Roman"/>
                <w:sz w:val="9"/>
                <w:szCs w:val="9"/>
                <w:color w:val="auto"/>
              </w:rPr>
              <w:t>(3)</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6,163,236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93"/>
              </w:rPr>
              <w:t>7,000,000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6"/>
              </w:rPr>
              <w:t>​</w:t>
            </w:r>
            <w:r>
              <w:rPr>
                <w:rFonts w:ascii="Times New Roman" w:cs="Times New Roman" w:eastAsia="Times New Roman" w:hAnsi="Times New Roman"/>
                <w:sz w:val="15"/>
                <w:szCs w:val="15"/>
                <w:color w:val="auto"/>
                <w:w w:val="96"/>
              </w:rPr>
              <w:t>5,000,000</w:t>
            </w: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Vivo Innovation Funds II Holdings, L.P.</w:t>
            </w:r>
            <w:r>
              <w:rPr>
                <w:rFonts w:ascii="Times New Roman" w:cs="Times New Roman" w:eastAsia="Times New Roman" w:hAnsi="Times New Roman"/>
                <w:sz w:val="19"/>
                <w:szCs w:val="19"/>
                <w:color w:val="auto"/>
                <w:vertAlign w:val="superscript"/>
              </w:rPr>
              <w:t>(4)</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4,189,955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3"/>
              </w:rPr>
              <w:t>9,999,998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Tellus BioVentures LLC</w:t>
            </w:r>
            <w:r>
              <w:rPr>
                <w:rFonts w:ascii="Times New Roman" w:cs="Times New Roman" w:eastAsia="Times New Roman" w:hAnsi="Times New Roman"/>
                <w:sz w:val="19"/>
                <w:szCs w:val="19"/>
                <w:color w:val="auto"/>
                <w:vertAlign w:val="superscript"/>
              </w:rPr>
              <w:t>(5)</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3,230,268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6"/>
              </w:rPr>
              <w:t>​</w:t>
            </w:r>
            <w:r>
              <w:rPr>
                <w:rFonts w:ascii="Times New Roman" w:cs="Times New Roman" w:eastAsia="Times New Roman" w:hAnsi="Times New Roman"/>
                <w:sz w:val="15"/>
                <w:szCs w:val="15"/>
                <w:color w:val="auto"/>
                <w:w w:val="96"/>
              </w:rPr>
              <w:t>5,000,000</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Xencor, Inc.</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17,672,061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w w:val="96"/>
              </w:rPr>
              <w:t>​</w:t>
            </w:r>
            <w:r>
              <w:rPr>
                <w:rFonts w:ascii="Times New Roman" w:cs="Times New Roman" w:eastAsia="Times New Roman" w:hAnsi="Times New Roman"/>
                <w:sz w:val="15"/>
                <w:szCs w:val="15"/>
                <w:color w:val="auto"/>
                <w:w w:val="96"/>
              </w:rPr>
              <w:t>5,000,000</w:t>
            </w:r>
          </w:p>
        </w:tc>
        <w:tc>
          <w:tcPr>
            <w:tcW w:w="1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Quan Venture Fund II, L.P.</w:t>
            </w:r>
            <w:r>
              <w:rPr>
                <w:rFonts w:ascii="Times New Roman" w:cs="Times New Roman" w:eastAsia="Times New Roman" w:hAnsi="Times New Roman"/>
                <w:sz w:val="19"/>
                <w:szCs w:val="19"/>
                <w:color w:val="auto"/>
                <w:vertAlign w:val="superscript"/>
              </w:rPr>
              <w:t>(6)</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1,938,160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6"/>
              </w:rPr>
              <w:t>​</w:t>
            </w:r>
            <w:r>
              <w:rPr>
                <w:rFonts w:ascii="Times New Roman" w:cs="Times New Roman" w:eastAsia="Times New Roman" w:hAnsi="Times New Roman"/>
                <w:sz w:val="15"/>
                <w:szCs w:val="15"/>
                <w:color w:val="auto"/>
                <w:w w:val="96"/>
              </w:rPr>
              <w:t>3,000,000</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Leon O. Moulder, Jr.</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418,996</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3"/>
              </w:rPr>
              <w:t>1,000,001</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83820</wp:posOffset>
            </wp:positionV>
            <wp:extent cx="44640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15" w:lineRule="exact"/>
        <w:rPr>
          <w:sz w:val="20"/>
          <w:szCs w:val="20"/>
          <w:color w:val="auto"/>
        </w:rPr>
      </w:pPr>
    </w:p>
    <w:p>
      <w:pPr>
        <w:jc w:val="both"/>
        <w:ind w:left="1460" w:right="1179" w:hanging="296"/>
        <w:spacing w:after="0"/>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Boylan, a member of our board of directors, serves as Chief Executive Officer of Enavate Sciences, an entity affiliated with Zebra Aggregator, LP, and as a result may be deemed to share voting and investment power with respect to the shares held by Zebra Aggregator, LP. Zebra Aggregator, LP holds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Enright, a member of our board of directors, serves as a Managing Director and Founder of Longitude Capital and as a result may be deemed to share voting and investment power with respect to the shares held by Longitude Capital and its affiliates. Entities related to Longitude Capital hold an aggregate of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Kiselak, a member of our board of directors, serves as Managing Member and Co-Founder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w:t>
      </w:r>
    </w:p>
    <w:p>
      <w:pPr>
        <w:spacing w:after="0" w:line="48"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Lu, a member of our board of directors, is a former Partner of Vivo Capital, an entity affiliated with Vivo Innovation Fund II Holdings, L.P.</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Moulder, our chief executive officer and a member of our board of directors, is the Managing Member of Tellus BioVentures, LLC and as a result may be deemed to share voting and investment power with respect to the shares held by Tellus BioVentures, LLC. Tellus BioVentures, LLC holds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Wu, a member of our board of directors until May 2024, is Managing Director of Quan Capital, an entity affiliated with Quan Venture Fund II, L.P., and as a result may be deemed to share voting and investment power with respect to the shares held by Quan Venture Fund II, L.P. Quan Venture Fund II, L.P. holds more than 5% of our capital stock.</w:t>
      </w:r>
    </w:p>
    <w:p>
      <w:pPr>
        <w:spacing w:after="0" w:line="10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April 2023, the Company incurred a $10.0 million development milestone pursuant to the 2021 Xencor Agreement. Xencor elected to receive payment in the form of the Company’s Series B Preferred Stock and the Company issued 4,189,955 shares of Series B Preferred Stock as payment for the development milestone in June 2023 at a purchase price of $2.38666 per share.</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8" w:name="page179"/>
    <w:bookmarkEnd w:id="17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C Preferred Stock Financing</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May 2024, we entered into a Series C Preferred Stock subscription agreement pursuant to which we issued an aggregate of 116,275,230 shares of our Series C Preferred Stock, including 12,284,686 shares of Series C Preferred Stock issued upon the conversion of all outstanding convertible notes, at a purchase price of $1.72131 per share. The payment of the purchase price included the conversion of the BMS Notes at the Conversion Discount. Each share of our Series C Preferred Stock will convert into one share of our common stock immediately prior to the completion of this offering. The following table summarizes the Series C Preferred Stock issued to our directors, executive officers and beneficial holders of more than 5% of our capital stock:</w:t>
      </w:r>
    </w:p>
    <w:p>
      <w:pPr>
        <w:sectPr>
          <w:pgSz w:w="11900" w:h="16838" w:orient="portrait"/>
          <w:cols w:equalWidth="0" w:num="1">
            <w:col w:w="9019"/>
          </w:cols>
          <w:pgMar w:left="1440" w:top="98"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u w:val="single" w:color="auto"/>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22225</wp:posOffset>
            </wp:positionV>
            <wp:extent cx="4241800" cy="2514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41800" cy="251460"/>
                    </a:xfrm>
                    <a:prstGeom prst="rect">
                      <a:avLst/>
                    </a:prstGeom>
                    <a:noFill/>
                  </pic:spPr>
                </pic:pic>
              </a:graphicData>
            </a:graphic>
          </wp:anchor>
        </w:drawing>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Entities affiliated with SR One Capital Management,</w:t>
      </w:r>
    </w:p>
    <w:p>
      <w:pPr>
        <w:ind w:left="1320"/>
        <w:spacing w:after="0" w:line="184" w:lineRule="auto"/>
        <w:rPr>
          <w:sz w:val="20"/>
          <w:szCs w:val="20"/>
          <w:color w:val="auto"/>
        </w:rPr>
      </w:pPr>
      <w:r>
        <w:rPr>
          <w:rFonts w:ascii="Times New Roman" w:cs="Times New Roman" w:eastAsia="Times New Roman" w:hAnsi="Times New Roman"/>
          <w:sz w:val="22"/>
          <w:szCs w:val="22"/>
          <w:color w:val="auto"/>
          <w:vertAlign w:val="subscript"/>
        </w:rPr>
        <w:t>LP</w:t>
      </w:r>
      <w:r>
        <w:rPr>
          <w:rFonts w:ascii="Times New Roman" w:cs="Times New Roman" w:eastAsia="Times New Roman" w:hAnsi="Times New Roman"/>
          <w:sz w:val="8"/>
          <w:szCs w:val="8"/>
          <w:color w:val="auto"/>
        </w:rPr>
        <w:t>(1)</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Delos Capital Fund III, LP</w:t>
      </w:r>
      <w:r>
        <w:rPr>
          <w:rFonts w:ascii="Times New Roman" w:cs="Times New Roman" w:eastAsia="Times New Roman" w:hAnsi="Times New Roman"/>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5080</wp:posOffset>
            </wp:positionV>
            <wp:extent cx="4241800" cy="132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BMS</w:t>
      </w:r>
    </w:p>
    <w:p>
      <w:pPr>
        <w:spacing w:after="0" w:line="20" w:lineRule="exact"/>
        <w:rPr>
          <w:sz w:val="20"/>
          <w:szCs w:val="20"/>
          <w:color w:val="auto"/>
        </w:rPr>
      </w:pPr>
    </w:p>
    <w:p>
      <w:pPr>
        <w:ind w:left="1320" w:right="240" w:hanging="145"/>
        <w:spacing w:after="0" w:line="269" w:lineRule="auto"/>
        <w:rPr>
          <w:sz w:val="20"/>
          <w:szCs w:val="20"/>
          <w:color w:val="auto"/>
        </w:rPr>
      </w:pPr>
      <w:r>
        <w:rPr>
          <w:rFonts w:ascii="Times New Roman" w:cs="Times New Roman" w:eastAsia="Times New Roman" w:hAnsi="Times New Roman"/>
          <w:sz w:val="15"/>
          <w:szCs w:val="15"/>
          <w:color w:val="auto"/>
        </w:rPr>
        <w:t>Entities affiliated with New Enterprise Associates (NEA)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-5080</wp:posOffset>
            </wp:positionV>
            <wp:extent cx="4241800" cy="132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Norwest Venture Partners XVI, LP</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Enavate Sciences</w:t>
      </w:r>
      <w:r>
        <w:rPr>
          <w:rFonts w:ascii="Times New Roman" w:cs="Times New Roman" w:eastAsia="Times New Roman" w:hAnsi="Times New Roman"/>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5080</wp:posOffset>
            </wp:positionV>
            <wp:extent cx="4241800" cy="1466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Entities affiliated with Longitude Capital</w:t>
      </w:r>
      <w:r>
        <w:rPr>
          <w:rFonts w:ascii="Times New Roman" w:cs="Times New Roman" w:eastAsia="Times New Roman" w:hAnsi="Times New Roman"/>
          <w:sz w:val="19"/>
          <w:szCs w:val="19"/>
          <w:color w:val="auto"/>
          <w:vertAlign w:val="superscript"/>
        </w:rPr>
        <w:t>(4)</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Entities affiliated with Fairmount Funds Management</w:t>
      </w:r>
    </w:p>
    <w:p>
      <w:pPr>
        <w:ind w:left="1320"/>
        <w:spacing w:after="0" w:line="184" w:lineRule="auto"/>
        <w:rPr>
          <w:sz w:val="20"/>
          <w:szCs w:val="20"/>
          <w:color w:val="auto"/>
        </w:rPr>
      </w:pPr>
      <w:r>
        <w:rPr>
          <w:rFonts w:ascii="Times New Roman" w:cs="Times New Roman" w:eastAsia="Times New Roman" w:hAnsi="Times New Roman"/>
          <w:sz w:val="22"/>
          <w:szCs w:val="22"/>
          <w:color w:val="auto"/>
          <w:vertAlign w:val="subscript"/>
        </w:rPr>
        <w:t>LLC</w:t>
      </w:r>
      <w:r>
        <w:rPr>
          <w:rFonts w:ascii="Times New Roman" w:cs="Times New Roman" w:eastAsia="Times New Roman" w:hAnsi="Times New Roman"/>
          <w:sz w:val="8"/>
          <w:szCs w:val="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Aggregate</w:t>
            </w:r>
          </w:p>
        </w:tc>
        <w:tc>
          <w:tcPr>
            <w:tcW w:w="20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Aggregate Price</w:t>
            </w:r>
          </w:p>
        </w:tc>
        <w:tc>
          <w:tcPr>
            <w:tcW w:w="60" w:type="dxa"/>
            <w:vAlign w:val="bottom"/>
          </w:tcPr>
          <w:p>
            <w:pPr>
              <w:spacing w:after="0"/>
              <w:rPr>
                <w:sz w:val="12"/>
                <w:szCs w:val="12"/>
                <w:color w:val="auto"/>
              </w:rPr>
            </w:pPr>
          </w:p>
        </w:tc>
      </w:tr>
      <w:tr>
        <w:trPr>
          <w:trHeight w:val="132"/>
        </w:trPr>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1"/>
              </w:rPr>
              <w:t>Purchase 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of Shares</w:t>
            </w:r>
          </w:p>
        </w:tc>
        <w:tc>
          <w:tcPr>
            <w:tcW w:w="60" w:type="dxa"/>
            <w:vAlign w:val="bottom"/>
          </w:tcPr>
          <w:p>
            <w:pPr>
              <w:spacing w:after="0"/>
              <w:rPr>
                <w:sz w:val="11"/>
                <w:szCs w:val="11"/>
                <w:color w:val="auto"/>
              </w:rPr>
            </w:pPr>
          </w:p>
        </w:tc>
      </w:tr>
      <w:tr>
        <w:trPr>
          <w:trHeight w:val="132"/>
        </w:trPr>
        <w:tc>
          <w:tcPr>
            <w:tcW w:w="1220" w:type="dxa"/>
            <w:vAlign w:val="bottom"/>
            <w:gridSpan w:val="3"/>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Shares of Series C</w:t>
            </w:r>
          </w:p>
        </w:tc>
        <w:tc>
          <w:tcPr>
            <w:tcW w:w="8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Purchased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Converted</w:t>
            </w:r>
          </w:p>
        </w:tc>
        <w:tc>
          <w:tcPr>
            <w:tcW w:w="60" w:type="dxa"/>
            <w:vAlign w:val="bottom"/>
          </w:tcPr>
          <w:p>
            <w:pPr>
              <w:spacing w:after="0"/>
              <w:rPr>
                <w:sz w:val="11"/>
                <w:szCs w:val="11"/>
                <w:color w:val="auto"/>
              </w:rPr>
            </w:pPr>
          </w:p>
        </w:tc>
      </w:tr>
      <w:tr>
        <w:trPr>
          <w:trHeight w:val="151"/>
        </w:trPr>
        <w:tc>
          <w:tcPr>
            <w:tcW w:w="1220" w:type="dxa"/>
            <w:vAlign w:val="bottom"/>
            <w:gridSpan w:val="3"/>
          </w:tcPr>
          <w:p>
            <w:pP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 ​</w:t>
            </w:r>
            <w:r>
              <w:rPr>
                <w:rFonts w:ascii="Times New Roman" w:cs="Times New Roman" w:eastAsia="Times New Roman" w:hAnsi="Times New Roman"/>
                <w:sz w:val="9"/>
                <w:szCs w:val="9"/>
                <w:b w:val="1"/>
                <w:bCs w:val="1"/>
                <w:color w:val="auto"/>
              </w:rPr>
              <w:t xml:space="preserve">  Preferred Stock  </w:t>
            </w:r>
            <w:r>
              <w:rPr>
                <w:rFonts w:ascii="Times New Roman" w:cs="Times New Roman" w:eastAsia="Times New Roman" w:hAnsi="Times New Roman"/>
                <w:sz w:val="17"/>
                <w:szCs w:val="17"/>
                <w:b w:val="1"/>
                <w:bCs w:val="1"/>
                <w:color w:val="auto"/>
                <w:vertAlign w:val="subscript"/>
              </w:rPr>
              <w:t>​ ​</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 ​</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23,238,113</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39,999,996</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8,714,293</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15,000,000</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95"/>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12,284,686</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20,000,000</w:t>
            </w:r>
          </w:p>
        </w:tc>
        <w:tc>
          <w:tcPr>
            <w:tcW w:w="1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w w:val="85"/>
              </w:rPr>
              <w:t>(6)</w:t>
            </w:r>
          </w:p>
        </w:tc>
        <w:tc>
          <w:tcPr>
            <w:tcW w:w="0" w:type="dxa"/>
            <w:vAlign w:val="bottom"/>
          </w:tcPr>
          <w:p>
            <w:pPr>
              <w:spacing w:after="0"/>
              <w:rPr>
                <w:sz w:val="1"/>
                <w:szCs w:val="1"/>
                <w:color w:val="auto"/>
              </w:rPr>
            </w:pPr>
          </w:p>
        </w:tc>
      </w:tr>
      <w:tr>
        <w:trPr>
          <w:trHeight w:val="190"/>
        </w:trPr>
        <w:tc>
          <w:tcPr>
            <w:tcW w:w="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304"/>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12,490,486</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21,499,998</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12,490,486</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21,499,998</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14,523,821</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24,999,998</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11,619,057</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19,999,999</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2,614,287</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4,499,998</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60" w:space="300"/>
            <w:col w:w="4259"/>
          </w:cols>
          <w:pgMar w:left="1440" w:top="98" w:right="1440" w:bottom="1440" w:gutter="0" w:footer="0" w:header="0"/>
          <w:type w:val="continuous"/>
        </w:sectPr>
      </w:pPr>
    </w:p>
    <w:p>
      <w:pPr>
        <w:spacing w:after="0" w:line="35" w:lineRule="exact"/>
        <w:rPr>
          <w:sz w:val="20"/>
          <w:szCs w:val="20"/>
          <w:color w:val="auto"/>
        </w:rPr>
      </w:pPr>
    </w:p>
    <w:p>
      <w:pPr>
        <w:jc w:val="both"/>
        <w:ind w:left="1460" w:right="1179" w:hanging="296"/>
        <w:spacing w:after="0"/>
        <w:tabs>
          <w:tab w:leader="none" w:pos="14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Nunn, a member of our board of directors, serves as Venture Partner of SR One Capital Management, LP and as a result may be deemed to share voting and investment power with respect to the shares held by SR One Capital Management, LP and its affiliates. Entities related to SR One Capital Management, LP hold an aggregate of more than 5% of our capital stock.</w:t>
      </w:r>
    </w:p>
    <w:p>
      <w:pPr>
        <w:spacing w:after="0" w:line="25"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Xiao, a member of our board of directors, serves as a Partner and founding team member of Delos Capital, an entity affiliated with Delos Capital Fund III, LP.</w:t>
      </w:r>
    </w:p>
    <w:p>
      <w:pPr>
        <w:spacing w:after="0" w:line="20"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Boylan, a member of our board of directors, serves as Chief Executive Officer of Enavate Sciences, an entity affiliated with Zebra Aggregator, LP, and as a result may be deemed to share voting and investment power with respect to the shares held by Zebra Aggregator, LP. Zebra Aggregator, LP holds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Enright, a member of our board of directors, serves as a Managing Director and Founder of Longitude Capital and as a result may be deemed to share voting and investment power with respect to the shares held by Longitude Capital and its affiliates. Entities related to Longitude Capital hold an aggregate of more than 5% of our capital stock.</w:t>
      </w:r>
    </w:p>
    <w:p>
      <w:pPr>
        <w:spacing w:after="0" w:line="25"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Kiselak, a member of our board of directors, serves as Managing Member and Co-Founder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w:t>
      </w:r>
    </w:p>
    <w:p>
      <w:pPr>
        <w:spacing w:after="0" w:line="26"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$1,145,753 of accrued interest on the BMS Note that, together with $20.0 million of principal amount of the note, was converted into shares of Series C Preferred Stock.</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Shareholders Agreement</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party to the Shareholders Agreement with our stockholders. Pursuant to the terms of the Shareholders Agreement, we granted these stockholders certain information rights and the right to participate in future stock issuances, which rights terminate upon this offering. The Shareholders Agreement also grants these stockholders certain registration rights. See the section titled “Description of Capital Stock —Registration​ Rights” for additional information regarding these registration rights. Other provisions of the Shareholders Agreement will terminate upon completion of this offering.</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 Affiliations</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Some of our directors are affiliated with and, prior to the completion of this offering, have served on our board of directors as representatives of entities which beneficially own or owned 5% or more of our voting securities, as indicated in the table below:</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79" w:name="page180"/>
    <w:bookmarkEnd w:id="179"/>
    <w:p>
      <w:pPr>
        <w:ind w:left="1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15240</wp:posOffset>
            </wp:positionV>
            <wp:extent cx="26479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4795" cy="6985"/>
                    </a:xfrm>
                    <a:prstGeom prst="rect">
                      <a:avLst/>
                    </a:prstGeom>
                    <a:noFill/>
                  </pic:spPr>
                </pic:pic>
              </a:graphicData>
            </a:graphic>
          </wp:anchor>
        </w:drawing>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Leon O. Moulder, Jr.</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James Boylan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Patrick Enright</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Tomas Kiselak</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Hongbo Lu, Ph.D.</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Jake Nunn</w:t>
      </w:r>
    </w:p>
    <w:p>
      <w:pPr>
        <w:spacing w:after="0" w:line="1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Agreement with Dianthus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30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Affiliated Stockholder</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5"/>
        </w:trPr>
        <w:tc>
          <w:tcPr>
            <w:tcW w:w="2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3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Tellus BioVentures LLC</w:t>
            </w:r>
          </w:p>
        </w:tc>
        <w:tc>
          <w:tcPr>
            <w:tcW w:w="60" w:type="dxa"/>
            <w:vAlign w:val="bottom"/>
          </w:tcPr>
          <w:p>
            <w:pPr>
              <w:ind w:left="20"/>
              <w:spacing w:after="0" w:line="171" w:lineRule="exact"/>
              <w:rPr>
                <w:sz w:val="20"/>
                <w:szCs w:val="20"/>
                <w:color w:val="auto"/>
              </w:rPr>
            </w:pPr>
            <w:r>
              <w:rPr>
                <w:rFonts w:ascii="Times New Roman" w:cs="Times New Roman" w:eastAsia="Times New Roman" w:hAnsi="Times New Roman"/>
                <w:sz w:val="15"/>
                <w:szCs w:val="15"/>
                <w:color w:val="auto"/>
              </w:rPr>
              <w:t>​</w:t>
            </w:r>
          </w:p>
        </w:tc>
      </w:tr>
      <w:tr>
        <w:trPr>
          <w:trHeight w:val="209"/>
        </w:trPr>
        <w:tc>
          <w:tcPr>
            <w:tcW w:w="3400" w:type="dxa"/>
            <w:vAlign w:val="bottom"/>
            <w:gridSpan w:val="3"/>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Enavate Sciences LP</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400" w:type="dxa"/>
            <w:vAlign w:val="bottom"/>
            <w:gridSpan w:val="3"/>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Longitude Venture Partners IV, L.P.</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400" w:type="dxa"/>
            <w:vAlign w:val="bottom"/>
            <w:gridSpan w:val="3"/>
          </w:tcPr>
          <w:p>
            <w:pPr>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Fairmount Funds Management LLC</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1100" w:type="dxa"/>
            <w:vAlign w:val="bottom"/>
            <w:gridSpan w:val="2"/>
          </w:tcPr>
          <w:p>
            <w:pPr>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Vivo Capital</w:t>
            </w:r>
          </w:p>
        </w:tc>
        <w:tc>
          <w:tcPr>
            <w:tcW w:w="230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386"/>
        </w:trPr>
        <w:tc>
          <w:tcPr>
            <w:tcW w:w="340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SR One Capital Management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bl>
    <w:p>
      <w:pPr>
        <w:spacing w:after="0" w:line="316" w:lineRule="exact"/>
        <w:rPr>
          <w:sz w:val="20"/>
          <w:szCs w:val="20"/>
          <w:color w:val="auto"/>
        </w:rPr>
      </w:pPr>
    </w:p>
    <w:p>
      <w:pPr>
        <w:sectPr>
          <w:pgSz w:w="11900" w:h="16838" w:orient="portrait"/>
          <w:cols w:equalWidth="0" w:num="2">
            <w:col w:w="3840" w:space="580"/>
            <w:col w:w="4599"/>
          </w:cols>
          <w:pgMar w:left="1440" w:top="106" w:right="1440" w:bottom="1440" w:gutter="0" w:footer="0" w:header="0"/>
          <w:type w:val="continuous"/>
        </w:sect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September 2020, we entered into an option agreement (the “Dianthus Option Agreement”) with Dianthus pursuant to which we obtained an exclusive option to negotiate and enter into exclusive license agreements with Dianthus for the rights to research, develop, manufacture, market and sell products related to either or both of two antibody product candidates based on Dianthus’ proprietary technology. Upon execution of the Dianthus Option Agreement, we issued 156,848 shares of our common stock to Dianthus at par as initial consideration.</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October 2021, we notified Dianthus of our intention to exercise our option to ZB005 pursuant to the Dianthus Option Agreement, which resulted in a $1.0 million milestone payment to Dianthus.</w:t>
      </w:r>
    </w:p>
    <w:p>
      <w:pPr>
        <w:spacing w:after="0" w:line="7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Pursuant to the Dianthus Option Agreement, we were required to reimburse Dianthus for a specified percentage of certain third- party costs which Dianthus incurred in its initial discovery and development activities related to each of the two options, and were incurred from the date we notified Dianthus of our exercise of an option through the earlier of: (i) execution of a license agreement between Dianthus and us or (ii) our written notice to Dianthus that we are terminating license negotiations regarding an option. To date, we have only exercised our option with respect to the ZB005 program, and as a result we have only reimbursed Dianthus with respect to costs associated with the ZB005 program. During the three months ended March 31, 2024 and 2023, we recognized $1.0 million and $0.8 million of research and development expense related to the Dianthus Option Agreement, respectively. Additionally, during the years ended December 31, 2023 and 2022, we recognized $3.0 million and $6.9 million of research and development expense related to the Dianthus Option Agreement, respectively.</w:t>
      </w:r>
    </w:p>
    <w:p>
      <w:pPr>
        <w:spacing w:after="0" w:line="101"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Dianthus Option Agreement may be considered a related party transactions because Tellus beneficially owns more than 5% of our capital stock, has a seat on our board of directors and is also a 10% or greater stockholder of Dianthus and has a seat on the board of directors of Dianthus. The Dianthus Option Agreement was negotiated on an arm’s-length basis and on terms that we believe are no less favorable than would have been reached with an unrelated third party.</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Agreements with Viridian Therapeutics Inc.</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October 2020, we entered into a license agreement (the “Viridian License Agreement”) with Viridian pursuant to which we licensed technology comprising certain materials, patent rights and know-how from Viridian. Upon execution of the Viridian License Agreement, we issued Viridian 336,103 shares of our common stock.</w:t>
      </w:r>
    </w:p>
    <w:p>
      <w:pPr>
        <w:spacing w:after="0" w:line="10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Since February 2021, we have entered into several letter agreements with Viridian pursuant to which Viridian agreed to assist us with certain development activities, including manufacturing (the “2021 Viridian Letter Agreements”). In May 2022, we entered into a Manufacturing Development and Supply Agreement with Viridian (the “Viridian Manufacturing Agreement”) pursuant to which Viridian will manufacture and supply, or Viridian will have manufactured and supplied, clinical drug product for developmental purposes. In January 2024, we entered into a letter agreement with Viridian (the “2024 Viridian Letter Agreement” and, together with the Viridian License Agreement, the 2021 Viridian Letter Agreements and the Viridian Manufacturing Agreement, the “Viridian Agreements”), pursuant to which we agreed to support Viridian with its Phase 3 Thrive-2 and Global Safety trials in China by initiating and managing the studies. The Viridian Agreements provide for reimbursement of certain CMC and development expenses, development milestones, and royalties on net sales. Under the terms of the Viridian Agreements, Viridian granted us an exclusive</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80" w:name="page181"/>
    <w:bookmarkEnd w:id="18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license to develop, manufacture, and commercialize certain IGF-1R directed antibody products for non-oncology indications in the area of greater China. During the three months ended March 31, 2024 and 2023, we recognized no expense and $0.1 million of research and development expense related to the Viridian Agreements, respectively. Additionally, during the years ended December 31, 2023 and 2022, we recognized an immaterial amount and $1.3 million of research and development expense related to the Viridian Agreements, respectively. Pursuant to the 2024 Viridian Letter Agreement, Viridian has agreed to reimburse our costs incurred, including a full-time equivalent rate for services rendered. In addition, pursuant to the 2024 Viridian Letter Agreement, certain milestone payments will be reduced by an amount based upon the number of patients enrolled in each study.</w:t>
      </w:r>
    </w:p>
    <w:p>
      <w:pPr>
        <w:spacing w:after="0" w:line="10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Viridian Agreements may be considered related party transactions because Fairmount beneficially owns more than 5% of our capital stock, has a seat on our board of directors and is also a 10% or greater stockholder of Viridian and has two seats on the board of directors of Viridian. The Viridian Agreements were negotiated on an arm’s-length basis and on terms that we believe are no less favorable than would have been reached with an unrelated third party.</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 and Officer Indemnification and Insurance</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Related Person Transactions Policy</w:t>
      </w:r>
    </w:p>
    <w:p>
      <w:pPr>
        <w:spacing w:after="0" w:line="11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board of directors intends to adopt a written related person transaction policy, to be effective upon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in any fiscal year the lesser of (i) $120,000 or (ii) one percent of the average of our total assets at year end for the last two completed fiscal years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with considering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1" w:name="page182"/>
    <w:bookmarkEnd w:id="18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12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The following table sets forth certain information with respect to the beneficial ownership of our common stock as of March 31, 2024, as adjusted to reflect the sale of common stock offered by us in this offering, for:</w:t>
      </w:r>
    </w:p>
    <w:p>
      <w:pPr>
        <w:spacing w:after="0" w:line="239" w:lineRule="exact"/>
        <w:rPr>
          <w:sz w:val="20"/>
          <w:szCs w:val="20"/>
          <w:color w:val="auto"/>
        </w:rPr>
      </w:pPr>
    </w:p>
    <w:p>
      <w:pPr>
        <w:ind w:left="1600" w:hanging="143"/>
        <w:spacing w:after="0"/>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who we know beneficially owns more than 5% of our common stock;</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executive officers as a group.</w:t>
      </w:r>
    </w:p>
    <w:p>
      <w:pPr>
        <w:spacing w:after="0" w:line="12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26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Percentage ownership of our common stock before this offering is based on           shares of our common stock outstanding as of March 31, 2024, prior to the completion of this offering, and after giving effect to (i) the automatic conversion of all outstanding shares of our convertible preferred stock as of March 31, 2024 into an aggregate of           shares of our common stock and (ii) the automatic conversion of</w:t>
      </w:r>
    </w:p>
    <w:p>
      <w:pPr>
        <w:spacing w:after="0" w:line="2" w:lineRule="exact"/>
        <w:rPr>
          <w:sz w:val="20"/>
          <w:szCs w:val="20"/>
          <w:color w:val="auto"/>
        </w:rPr>
      </w:pPr>
    </w:p>
    <w:p>
      <w:pPr>
        <w:jc w:val="both"/>
        <w:ind w:left="1160" w:right="1179" w:firstLine="4"/>
        <w:spacing w:after="0" w:line="264" w:lineRule="auto"/>
        <w:tabs>
          <w:tab w:leader="none" w:pos="1236"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of Series C Preferred Stock issued after March 31, 2024, including 12,284,686 shares of Series C Preferred Stock issued upon the conversion of all outstanding convertible notes, into an aggregate of             shares of our common stock, assuming an initial public offering price of $            per share, which is the midpoint of the price range set forth on the cover page of this prospectus. Percentage ownership of our common stock after this offering is based on shares of our common stock outstanding as of March 31, 2024, after giving effect to the transactions as described above and our issuance of shares of our common stock in this offering. In computing the number of shares beneficially owned by an individual or entity and the percentage ownership of that person, shares of common stock subject to options or other rights held by such person that are currently exercisable or that will become exercisable within 60 days of March 31, 2024 are considered outstanding, although these shares are not considered outstanding for purposes of computing the percentage ownership of any other person. Unless noted otherwise, the address of all listed stockholders is 1000 Winter Street, North Building, Suite 1200, Waltham, MA 02451.</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64"/>
        </w:trPr>
        <w:tc>
          <w:tcPr>
            <w:tcW w:w="102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3120" w:type="dxa"/>
            <w:vAlign w:val="bottom"/>
            <w:gridSpan w:val="10"/>
          </w:tcPr>
          <w:p>
            <w:pPr>
              <w:jc w:val="center"/>
              <w:ind w:right="848"/>
              <w:spacing w:after="0"/>
              <w:rPr>
                <w:sz w:val="20"/>
                <w:szCs w:val="20"/>
                <w:color w:val="auto"/>
              </w:rPr>
            </w:pPr>
            <w:r>
              <w:rPr>
                <w:rFonts w:ascii="Times New Roman" w:cs="Times New Roman" w:eastAsia="Times New Roman" w:hAnsi="Times New Roman"/>
                <w:sz w:val="23"/>
                <w:szCs w:val="23"/>
                <w:b w:val="1"/>
                <w:bCs w:val="1"/>
                <w:color w:val="auto"/>
                <w:w w:val="96"/>
                <w:vertAlign w:val="subscript"/>
              </w:rPr>
              <w:t>​</w:t>
            </w:r>
            <w:r>
              <w:rPr>
                <w:rFonts w:ascii="Times New Roman" w:cs="Times New Roman" w:eastAsia="Times New Roman" w:hAnsi="Times New Roman"/>
                <w:sz w:val="12"/>
                <w:szCs w:val="12"/>
                <w:b w:val="1"/>
                <w:bCs w:val="1"/>
                <w:color w:val="auto"/>
                <w:w w:val="96"/>
              </w:rPr>
              <w:t xml:space="preserve"> Percentage of Shares Beneficially Owned </w:t>
            </w:r>
            <w:r>
              <w:rPr>
                <w:rFonts w:ascii="Times New Roman" w:cs="Times New Roman" w:eastAsia="Times New Roman" w:hAnsi="Times New Roman"/>
                <w:sz w:val="23"/>
                <w:szCs w:val="23"/>
                <w:b w:val="1"/>
                <w:bCs w:val="1"/>
                <w:color w:val="auto"/>
                <w:w w:val="96"/>
                <w:vertAlign w:val="subscript"/>
              </w:rPr>
              <w:t>​</w:t>
            </w:r>
          </w:p>
        </w:tc>
      </w:tr>
      <w:tr>
        <w:trPr>
          <w:trHeight w:val="81"/>
        </w:trPr>
        <w:tc>
          <w:tcPr>
            <w:tcW w:w="10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r>
      <w:tr>
        <w:trPr>
          <w:trHeight w:val="132"/>
        </w:trPr>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Beneficially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180"/>
              <w:spacing w:after="0" w:line="132" w:lineRule="exact"/>
              <w:rPr>
                <w:sz w:val="20"/>
                <w:szCs w:val="20"/>
                <w:color w:val="auto"/>
              </w:rPr>
            </w:pPr>
            <w:r>
              <w:rPr>
                <w:rFonts w:ascii="Times New Roman" w:cs="Times New Roman" w:eastAsia="Times New Roman" w:hAnsi="Times New Roman"/>
                <w:sz w:val="12"/>
                <w:szCs w:val="12"/>
                <w:b w:val="1"/>
                <w:bCs w:val="1"/>
                <w:color w:val="auto"/>
                <w:w w:val="94"/>
              </w:rPr>
              <w:t>Before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After</w:t>
            </w:r>
          </w:p>
        </w:tc>
        <w:tc>
          <w:tcPr>
            <w:tcW w:w="1020" w:type="dxa"/>
            <w:vAlign w:val="bottom"/>
          </w:tcPr>
          <w:p>
            <w:pPr>
              <w:spacing w:after="0"/>
              <w:rPr>
                <w:sz w:val="11"/>
                <w:szCs w:val="11"/>
                <w:color w:val="auto"/>
              </w:rPr>
            </w:pPr>
          </w:p>
        </w:tc>
      </w:tr>
      <w:tr>
        <w:trPr>
          <w:trHeight w:val="162"/>
        </w:trPr>
        <w:tc>
          <w:tcPr>
            <w:tcW w:w="10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020" w:type="dxa"/>
            <w:vAlign w:val="bottom"/>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1020" w:type="dxa"/>
            <w:vAlign w:val="bottom"/>
          </w:tcPr>
          <w:p>
            <w:pPr>
              <w:spacing w:after="0"/>
              <w:rPr>
                <w:sz w:val="13"/>
                <w:szCs w:val="13"/>
                <w:color w:val="auto"/>
              </w:rPr>
            </w:pPr>
          </w:p>
        </w:tc>
        <w:tc>
          <w:tcPr>
            <w:tcW w:w="28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5% or Greater Stockholders:</w:t>
            </w:r>
          </w:p>
        </w:tc>
        <w:tc>
          <w:tcPr>
            <w:tcW w:w="1160" w:type="dxa"/>
            <w:vAlign w:val="bottom"/>
            <w:gridSpan w:val="2"/>
            <w:shd w:val="clear" w:color="auto" w:fill="CCEEFF"/>
          </w:tcPr>
          <w:p>
            <w:pPr>
              <w:ind w:left="1080"/>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shd w:val="clear" w:color="auto" w:fill="CCEEFF"/>
          </w:tcPr>
          <w:p>
            <w:pPr>
              <w:ind w:left="160"/>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shd w:val="clear" w:color="auto" w:fill="CCEEFF"/>
          </w:tcPr>
          <w:p>
            <w:pPr>
              <w:jc w:val="center"/>
              <w:ind w:right="120"/>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shd w:val="clear" w:color="auto" w:fill="CCEEFF"/>
          </w:tcPr>
          <w:p>
            <w:pPr>
              <w:ind w:left="160"/>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320"/>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1020" w:type="dxa"/>
            <w:vAlign w:val="bottom"/>
          </w:tcPr>
          <w:p>
            <w:pPr>
              <w:spacing w:after="0"/>
              <w:rPr>
                <w:sz w:val="19"/>
                <w:szCs w:val="19"/>
                <w:color w:val="auto"/>
              </w:rPr>
            </w:pP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Xencor, Inc.</w:t>
            </w:r>
            <w:r>
              <w:rPr>
                <w:rFonts w:ascii="Times New Roman" w:cs="Times New Roman" w:eastAsia="Times New Roman" w:hAnsi="Times New Roman"/>
                <w:sz w:val="19"/>
                <w:szCs w:val="19"/>
                <w:color w:val="auto"/>
                <w:vertAlign w:val="superscript"/>
              </w:rPr>
              <w:t>(1)</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1020" w:type="dxa"/>
            <w:vAlign w:val="bottom"/>
          </w:tcPr>
          <w:p>
            <w:pPr>
              <w:spacing w:after="0"/>
              <w:rPr>
                <w:sz w:val="19"/>
                <w:szCs w:val="19"/>
                <w:color w:val="auto"/>
              </w:rPr>
            </w:pPr>
          </w:p>
        </w:tc>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Tellus BioVentures LLC</w:t>
            </w:r>
            <w:r>
              <w:rPr>
                <w:rFonts w:ascii="Times New Roman" w:cs="Times New Roman" w:eastAsia="Times New Roman" w:hAnsi="Times New Roman"/>
                <w:sz w:val="19"/>
                <w:szCs w:val="19"/>
                <w:color w:val="auto"/>
                <w:vertAlign w:val="superscript"/>
              </w:rPr>
              <w:t>(2)</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10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Directors and Named Executive Officers:</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1020" w:type="dxa"/>
            <w:vAlign w:val="bottom"/>
          </w:tcPr>
          <w:p>
            <w:pPr>
              <w:spacing w:after="0"/>
              <w:rPr>
                <w:sz w:val="19"/>
                <w:szCs w:val="19"/>
                <w:color w:val="auto"/>
              </w:rPr>
            </w:pPr>
          </w:p>
        </w:tc>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Leon O. Moulder, Jr.</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1020" w:type="dxa"/>
            <w:vAlign w:val="bottom"/>
          </w:tcPr>
          <w:p>
            <w:pPr>
              <w:spacing w:after="0"/>
              <w:rPr>
                <w:sz w:val="19"/>
                <w:szCs w:val="19"/>
                <w:color w:val="auto"/>
              </w:rPr>
            </w:pP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Hua Mu, M.D., Ph.D</w:t>
            </w:r>
            <w:r>
              <w:rPr>
                <w:rFonts w:ascii="Times New Roman" w:cs="Times New Roman" w:eastAsia="Times New Roman" w:hAnsi="Times New Roman"/>
                <w:sz w:val="19"/>
                <w:szCs w:val="19"/>
                <w:color w:val="auto"/>
                <w:vertAlign w:val="superscript"/>
              </w:rPr>
              <w:t>(4)</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102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Jennifer Fox</w:t>
            </w:r>
            <w:r>
              <w:rPr>
                <w:rFonts w:ascii="Times New Roman" w:cs="Times New Roman" w:eastAsia="Times New Roman" w:hAnsi="Times New Roman"/>
                <w:sz w:val="19"/>
                <w:szCs w:val="19"/>
                <w:color w:val="auto"/>
                <w:vertAlign w:val="superscript"/>
              </w:rPr>
              <w:t>(5)</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1020" w:type="dxa"/>
            <w:vAlign w:val="bottom"/>
          </w:tcPr>
          <w:p>
            <w:pPr>
              <w:spacing w:after="0"/>
              <w:rPr>
                <w:sz w:val="20"/>
                <w:szCs w:val="20"/>
                <w:color w:val="auto"/>
              </w:rPr>
            </w:pP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Tanya Z. Fischer, M.D., Ph.D.</w:t>
            </w:r>
            <w:r>
              <w:rPr>
                <w:rFonts w:ascii="Times New Roman" w:cs="Times New Roman" w:eastAsia="Times New Roman" w:hAnsi="Times New Roman"/>
                <w:sz w:val="19"/>
                <w:szCs w:val="19"/>
                <w:color w:val="auto"/>
                <w:vertAlign w:val="superscript"/>
              </w:rPr>
              <w:t>(6)</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102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Patricia Allen</w:t>
            </w:r>
            <w:r>
              <w:rPr>
                <w:rFonts w:ascii="Times New Roman" w:cs="Times New Roman" w:eastAsia="Times New Roman" w:hAnsi="Times New Roman"/>
                <w:sz w:val="19"/>
                <w:szCs w:val="19"/>
                <w:color w:val="auto"/>
                <w:vertAlign w:val="superscript"/>
              </w:rPr>
              <w:t>(7)</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1020" w:type="dxa"/>
            <w:vAlign w:val="bottom"/>
          </w:tcPr>
          <w:p>
            <w:pPr>
              <w:spacing w:after="0"/>
              <w:rPr>
                <w:sz w:val="18"/>
                <w:szCs w:val="18"/>
                <w:color w:val="auto"/>
              </w:rPr>
            </w:pP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James Boylan</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1020" w:type="dxa"/>
            <w:vAlign w:val="bottom"/>
          </w:tcPr>
          <w:p>
            <w:pPr>
              <w:spacing w:after="0"/>
              <w:rPr>
                <w:sz w:val="18"/>
                <w:szCs w:val="18"/>
                <w:color w:val="auto"/>
              </w:rPr>
            </w:pPr>
          </w:p>
        </w:tc>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Patrick Enright</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1020" w:type="dxa"/>
            <w:vAlign w:val="bottom"/>
          </w:tcPr>
          <w:p>
            <w:pPr>
              <w:spacing w:after="0"/>
              <w:rPr>
                <w:sz w:val="18"/>
                <w:szCs w:val="18"/>
                <w:color w:val="auto"/>
              </w:rPr>
            </w:pP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Tomas Kiselak</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1020" w:type="dxa"/>
            <w:vAlign w:val="bottom"/>
          </w:tcPr>
          <w:p>
            <w:pPr>
              <w:spacing w:after="0"/>
              <w:rPr>
                <w:sz w:val="18"/>
                <w:szCs w:val="18"/>
                <w:color w:val="auto"/>
              </w:rPr>
            </w:pPr>
          </w:p>
        </w:tc>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Hongbo Lu, Ph.D</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76"/>
        </w:trPr>
        <w:tc>
          <w:tcPr>
            <w:tcW w:w="1020" w:type="dxa"/>
            <w:vAlign w:val="bottom"/>
          </w:tcPr>
          <w:p>
            <w:pPr>
              <w:spacing w:after="0"/>
              <w:rPr>
                <w:sz w:val="24"/>
                <w:szCs w:val="24"/>
                <w:color w:val="auto"/>
              </w:rPr>
            </w:pP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John Orloff, M.D.</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5"/>
                <w:szCs w:val="15"/>
                <w:color w:val="auto"/>
              </w:rPr>
              <w:t>​</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482"/>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179</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-2475865</wp:posOffset>
            </wp:positionV>
            <wp:extent cx="2794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-2475865</wp:posOffset>
            </wp:positionV>
            <wp:extent cx="2794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2" w:name="page183"/>
    <w:bookmarkEnd w:id="18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1160" w:type="dxa"/>
        <w:tblCellMar>
          <w:top w:w="0" w:type="dxa"/>
          <w:left w:w="0" w:type="dxa"/>
          <w:bottom w:w="0" w:type="dxa"/>
          <w:right w:w="0" w:type="dxa"/>
        </w:tblCellMar>
      </w:tblPr>
      <w:tr>
        <w:trPr>
          <w:trHeight w:val="264"/>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2120" w:type="dxa"/>
            <w:vAlign w:val="bottom"/>
            <w:gridSpan w:val="9"/>
          </w:tcPr>
          <w:p>
            <w:pPr>
              <w:ind w:left="80"/>
              <w:spacing w:after="0"/>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2"/>
                <w:szCs w:val="12"/>
                <w:b w:val="1"/>
                <w:bCs w:val="1"/>
                <w:color w:val="auto"/>
                <w:w w:val="94"/>
              </w:rPr>
              <w:t xml:space="preserve">Percentage of Shares Beneficially Owned </w:t>
            </w:r>
            <w:r>
              <w:rPr>
                <w:rFonts w:ascii="Times New Roman" w:cs="Times New Roman" w:eastAsia="Times New Roman" w:hAnsi="Times New Roman"/>
                <w:sz w:val="23"/>
                <w:szCs w:val="23"/>
                <w:b w:val="1"/>
                <w:bCs w:val="1"/>
                <w:color w:val="auto"/>
                <w:w w:val="94"/>
                <w:vertAlign w:val="subscript"/>
              </w:rPr>
              <w:t>​</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2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9"/>
              </w:rPr>
              <w:t>Beneficially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60"/>
              <w:spacing w:after="0" w:line="132" w:lineRule="exact"/>
              <w:rPr>
                <w:sz w:val="20"/>
                <w:szCs w:val="20"/>
                <w:color w:val="auto"/>
              </w:rPr>
            </w:pPr>
            <w:r>
              <w:rPr>
                <w:rFonts w:ascii="Times New Roman" w:cs="Times New Roman" w:eastAsia="Times New Roman" w:hAnsi="Times New Roman"/>
                <w:sz w:val="12"/>
                <w:szCs w:val="12"/>
                <w:b w:val="1"/>
                <w:bCs w:val="1"/>
                <w:color w:val="auto"/>
              </w:rPr>
              <w:t>Before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13"/>
              <w:spacing w:after="0" w:line="132" w:lineRule="exact"/>
              <w:rPr>
                <w:sz w:val="20"/>
                <w:szCs w:val="20"/>
                <w:color w:val="auto"/>
              </w:rPr>
            </w:pPr>
            <w:r>
              <w:rPr>
                <w:rFonts w:ascii="Times New Roman" w:cs="Times New Roman" w:eastAsia="Times New Roman" w:hAnsi="Times New Roman"/>
                <w:sz w:val="12"/>
                <w:szCs w:val="12"/>
                <w:b w:val="1"/>
                <w:bCs w:val="1"/>
                <w:color w:val="auto"/>
              </w:rPr>
              <w:t>After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 of Beneficial Owner</w:t>
            </w:r>
          </w:p>
        </w:tc>
        <w:tc>
          <w:tcPr>
            <w:tcW w:w="258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Owned</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Offering</w:t>
            </w:r>
          </w:p>
        </w:tc>
        <w:tc>
          <w:tcPr>
            <w:tcW w:w="180" w:type="dxa"/>
            <w:vAlign w:val="bottom"/>
          </w:tcPr>
          <w:p>
            <w:pPr>
              <w:spacing w:after="0"/>
              <w:rPr>
                <w:sz w:val="15"/>
                <w:szCs w:val="15"/>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18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Jake Nunn</w:t>
            </w:r>
          </w:p>
        </w:tc>
        <w:tc>
          <w:tcPr>
            <w:tcW w:w="2580" w:type="dxa"/>
            <w:vAlign w:val="bottom"/>
            <w:vMerge w:val="restart"/>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vMerge w:val="restart"/>
            <w:shd w:val="clear" w:color="auto" w:fill="CCEEFF"/>
          </w:tcPr>
          <w:p>
            <w:pPr>
              <w:jc w:val="center"/>
              <w:ind w:left="13"/>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vMerge w:val="continue"/>
            <w:shd w:val="clear" w:color="auto" w:fill="CCEEFF"/>
          </w:tcPr>
          <w:p>
            <w:pPr>
              <w:spacing w:after="0"/>
              <w:rPr>
                <w:sz w:val="15"/>
                <w:szCs w:val="15"/>
                <w:color w:val="auto"/>
              </w:rPr>
            </w:pPr>
          </w:p>
        </w:tc>
        <w:tc>
          <w:tcPr>
            <w:tcW w:w="258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Tim Xiao</w:t>
            </w:r>
          </w:p>
        </w:tc>
        <w:tc>
          <w:tcPr>
            <w:tcW w:w="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center"/>
              <w:ind w:left="13"/>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31"/>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executive officers and directors as a group (11 persons)</w:t>
            </w:r>
            <w:r>
              <w:rPr>
                <w:rFonts w:ascii="Times New Roman" w:cs="Times New Roman" w:eastAsia="Times New Roman" w:hAnsi="Times New Roman"/>
                <w:sz w:val="19"/>
                <w:szCs w:val="19"/>
                <w:color w:val="auto"/>
                <w:vertAlign w:val="superscript"/>
              </w:rPr>
              <w:t>(8)</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-410845</wp:posOffset>
            </wp:positionV>
            <wp:extent cx="2794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-410845</wp:posOffset>
            </wp:positionV>
            <wp:extent cx="2794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104775</wp:posOffset>
            </wp:positionV>
            <wp:extent cx="44640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7" w:lineRule="exact"/>
        <w:rPr>
          <w:sz w:val="20"/>
          <w:szCs w:val="20"/>
          <w:color w:val="auto"/>
        </w:rPr>
      </w:pPr>
    </w:p>
    <w:p>
      <w:pPr>
        <w:ind w:left="1460" w:hanging="296"/>
        <w:spacing w:after="0"/>
        <w:tabs>
          <w:tab w:leader="none" w:pos="146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1%</w:t>
      </w:r>
    </w:p>
    <w:p>
      <w:pPr>
        <w:spacing w:after="0" w:line="49" w:lineRule="exact"/>
        <w:rPr>
          <w:sz w:val="20"/>
          <w:szCs w:val="20"/>
          <w:color w:val="auto"/>
        </w:rPr>
      </w:pPr>
    </w:p>
    <w:p>
      <w:pPr>
        <w:jc w:val="both"/>
        <w:ind w:left="1460" w:right="1179"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held by Xencor. Xencor has sole voting and dispositive power over the shares, and no individual or other entity is deemed to hold any beneficial ownership in the shares. The principal business address of Xencor is 465 North Halstead Street, Suite 200 Pasadena, California 91107.</w:t>
      </w:r>
    </w:p>
    <w:p>
      <w:pPr>
        <w:spacing w:after="0" w:line="47"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held by Tellus. Leon O. Moulder, Jr. is the Managing Member of Tellus and may be deemed to have sole voting and dispositive power over the shares held by Tellus. Mr. Moulder is our chief executive officer and Chairman of our board of directors. The principal business address of Tellus is 10520 Trevi Isle Way, Miromar Lakes, FL 33913.</w:t>
      </w:r>
    </w:p>
    <w:p>
      <w:pPr>
        <w:spacing w:after="0" w:line="36" w:lineRule="exact"/>
        <w:rPr>
          <w:rFonts w:ascii="Times New Roman" w:cs="Times New Roman" w:eastAsia="Times New Roman" w:hAnsi="Times New Roman"/>
          <w:sz w:val="12"/>
          <w:szCs w:val="12"/>
          <w:color w:val="auto"/>
        </w:rPr>
      </w:pPr>
    </w:p>
    <w:p>
      <w:pPr>
        <w:ind w:left="1460"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Consists of (i)             shares of common stock held directly, (ii)             shares of common stock held by Tellus, (iii)            </w:t>
      </w:r>
    </w:p>
    <w:p>
      <w:pPr>
        <w:spacing w:after="0" w:line="5" w:lineRule="exact"/>
        <w:rPr>
          <w:rFonts w:ascii="Times New Roman" w:cs="Times New Roman" w:eastAsia="Times New Roman" w:hAnsi="Times New Roman"/>
          <w:sz w:val="12"/>
          <w:szCs w:val="12"/>
          <w:color w:val="auto"/>
        </w:rPr>
      </w:pPr>
    </w:p>
    <w:p>
      <w:pPr>
        <w:ind w:left="1460"/>
        <w:spacing w:after="0" w:line="22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shares of common stock underlying outstanding stock options exercisable within 60 days of March 31, 2024 and (iv)            </w:t>
      </w:r>
    </w:p>
    <w:p>
      <w:pPr>
        <w:ind w:left="1460" w:right="1179"/>
        <w:spacing w:after="0" w:line="23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common stock underlying outstanding restricted stock units that vest within 60 days of March 31, 2024. Mr. Moulder is the Managing Member of Tellus and may be deemed to have sole voting and dispositive power over the shares held by Tellus.</w:t>
      </w:r>
    </w:p>
    <w:p>
      <w:pPr>
        <w:spacing w:after="0" w:line="37"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shares of common stock, (ii)             shares of common stock underlying outstanding stock options exercisable within 60 days of March 31, 2024 and (iii)             shares of common stock underlying outstanding restricted stock units that vest within 60 days of March 31, 2024.</w:t>
      </w:r>
    </w:p>
    <w:p>
      <w:pPr>
        <w:spacing w:after="0" w:line="47"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shares of common stock underlying outstanding stock options exercisable within 60 days of March 31, 2024 and (ii)             shares of common stock underlying outstanding restricted stock units that vest within 60 days of March 31, 2024.</w:t>
      </w:r>
    </w:p>
    <w:p>
      <w:pPr>
        <w:spacing w:after="0" w:line="174"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shares of common stock underlying outstanding stock options exercisable within 60 days of March 31, 2024 and (ii)             shares of common stock underlying outstanding restricted stock units that vest within 60 days of March 31, 2024.</w:t>
      </w:r>
    </w:p>
    <w:p>
      <w:pPr>
        <w:spacing w:after="0" w:line="174"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shares of common stock underlying outstanding stock options exercisable within 60 days of March 31, 2024 and (ii)             shares of common stock underlying outstanding restricted stock units that vest within 60 days of March 31, 2024.</w:t>
      </w:r>
    </w:p>
    <w:p>
      <w:pPr>
        <w:spacing w:after="0" w:line="185"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shares of common stock underlying outstanding stock options exercisable within 60 days of March 31, 2024 and (ii)             shares of common stock underlying outstanding restricted stock units that vest within 60 days of March 31, 2024.</w:t>
      </w:r>
    </w:p>
    <w:p>
      <w:pPr>
        <w:spacing w:after="0" w:line="174"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shares of common stock, (ii)             shares of common stock underlying outstanding stock options exercisable within 60 days of March 31, 2024 and (iii)             shares of common stock underlying outstanding restricted stock units that vest within 60 days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3" w:name="page184"/>
    <w:bookmarkEnd w:id="18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The following description of our capital stock and provisions of our Restated Charter and Restated Bylaws as they will be in effect prior to the consummation of this offering are summaries and are qualified in their entirety by reference to our Restated Charter and Restated Bylaws that will be in effect prior to the consummation of this offering. Copies of these documents are filed as exhibits to the registration statement of which this prospectus is a part.</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Following the completion of this offering, our authorized capital stock will consist of           shares of common stock, with a par value of $0.0001 per share, and             shares of preferred stock, with a par value of $0.0001 per share, all of which preferred stock will be undesignated.</w:t>
      </w:r>
    </w:p>
    <w:p>
      <w:pPr>
        <w:spacing w:after="0" w:line="8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As of March 31, 2024, after giving effect to (i) the automatic conversion of all outstanding shares of our convertible preferred stock as of March 31, 2024 into an aggregate of         shares of our common stock and (ii) the automatic conversion of 116,275,239 shares of Series C Preferred Stock issued after March 31, 2024, including 12,284,686 shares of Series C Preferred Stock issued upon the conversion of all outstanding convertible notes, into an aggregate of             shares of our common stock, in each case, based on an</w:t>
      </w:r>
    </w:p>
    <w:tbl>
      <w:tblPr>
        <w:tblLayout w:type="fixed"/>
        <w:tblInd w:w="1160" w:type="dxa"/>
        <w:tblCellMar>
          <w:top w:w="0" w:type="dxa"/>
          <w:left w:w="0" w:type="dxa"/>
          <w:bottom w:w="0" w:type="dxa"/>
          <w:right w:w="0" w:type="dxa"/>
        </w:tblCellMar>
      </w:tblPr>
      <w:tr>
        <w:trPr>
          <w:trHeight w:val="152"/>
        </w:trPr>
        <w:tc>
          <w:tcPr>
            <w:tcW w:w="26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assumed initial public offering price of $</w:t>
            </w:r>
          </w:p>
        </w:tc>
        <w:tc>
          <w:tcPr>
            <w:tcW w:w="40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auto"/>
              </w:rPr>
              <w:t>per share, which is the midpoint of the price range set forth on</w:t>
            </w:r>
          </w:p>
        </w:tc>
      </w:tr>
      <w:tr>
        <w:trPr>
          <w:trHeight w:val="165"/>
        </w:trPr>
        <w:tc>
          <w:tcPr>
            <w:tcW w:w="55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the cover page of this prospectus upon the completion of this offering, there were</w:t>
            </w:r>
          </w:p>
        </w:tc>
        <w:tc>
          <w:tcPr>
            <w:tcW w:w="11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shares of our</w:t>
            </w:r>
          </w:p>
        </w:tc>
      </w:tr>
      <w:tr>
        <w:trPr>
          <w:trHeight w:val="190"/>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outstanding (including</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shares of unvested restricted common stock), held by            </w:t>
            </w:r>
          </w:p>
        </w:tc>
      </w:tr>
    </w:tbl>
    <w:p>
      <w:pPr>
        <w:ind w:left="1160"/>
        <w:spacing w:after="0"/>
        <w:rPr>
          <w:sz w:val="20"/>
          <w:szCs w:val="20"/>
          <w:color w:val="auto"/>
        </w:rPr>
      </w:pPr>
      <w:r>
        <w:rPr>
          <w:rFonts w:ascii="Times New Roman" w:cs="Times New Roman" w:eastAsia="Times New Roman" w:hAnsi="Times New Roman"/>
          <w:sz w:val="15"/>
          <w:szCs w:val="15"/>
          <w:color w:val="auto"/>
        </w:rPr>
        <w:t>stockholders of record, and no shares of preferred stock outstanding.</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Holders of our common stock are entitled to one vote for each share held on all matters submitted to a vote of stockholders and do not have cumulative voting rights. An election of directors by our stockholders shall be determined by a majority of the votes cast by the stockholders entitled to vote on the election, except in the case of a contested election, in which case the election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9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Under the terms of our Restated Charter that will be in effect prior to the consummation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9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completion of this offering, there will be no shares of preferred stock outstanding, and we have no present plans to issue any shares of preferred stock.</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4" w:name="page185"/>
    <w:bookmarkEnd w:id="18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Options</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As of March 31, 2024, options to purchase              shares of our common stock were outstanding,</w:t>
      </w:r>
    </w:p>
    <w:p>
      <w:pPr>
        <w:spacing w:after="0" w:line="18" w:lineRule="exact"/>
        <w:rPr>
          <w:sz w:val="20"/>
          <w:szCs w:val="20"/>
          <w:color w:val="auto"/>
        </w:rPr>
      </w:pPr>
    </w:p>
    <w:p>
      <w:pPr>
        <w:jc w:val="both"/>
        <w:ind w:left="1160" w:right="1179" w:firstLine="4"/>
        <w:spacing w:after="0" w:line="289" w:lineRule="auto"/>
        <w:tabs>
          <w:tab w:leader="none" w:pos="1236"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of which were vested and exercisable as of that date. For additional information regarding the terms of our 2020 Plan, see the sections titled “Executive and Director Compensation—Equity Incentive Plan—2020​ Equity Incentive Plan.”</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Shareholders Agreement grants the parties thereto certain registration rights in respect of the “registrable securities” held by them, which securities include (i) the shares of our common stock issuable or issued upon conversion of shares of our convertible preferred stock; and (ii) any common stock issued as (or issuable upon the conversion or exercise of any warrant, right, or other security that is issued as) a dividend or other distribution with respect to, or in exchange for or in replacement of, the shares referenced in clause (i) above. The registration of shares of our common stock pursuant to the exercise of these registration rights would enable the holders thereof to sell such shares without restriction under the Securities Act when the applicable registration statement is declared effective. Under the Shareholders Agreement, we will pay all expenses relating to such registrations, including the fees of one counsel for the participating holders, and the holders will pay all underwriting discounts and commissions relating to the sale of their shares. The Shareholders Agreement includes customary indemnification and procedural terms.</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Holders of           shares of our common stock, assuming an initial public offering price of $            per share, which is the midpoint of the price range set forth on the cover page of this prospectus, and after giving effect to (i) the automatic conversion of all outstanding shares of our convertible preferred stock as of March 31, 2024 into an aggregate of             shares of our common stock and (ii) the automatic conversion of 116,275,239 shares of Series C Preferred Stock issued after March 31, 2024, including 12,284,686 shares of Series C Preferred Stock issued upon the conversion of all outstanding convertible notes, into an aggregate of             shares of our common stock, will be entitled to such registration rights pursuant to the Shareholders Agreement. These registration rights will expire on the earlier of (i) such time after this offering as Rule 144, or another similar exemption under the Securities Act, is available for the sale of all of such holder’s shares without limitation during a three-month period without registration and (ii) the third anniversary of the consummation of this offering.</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At any time beginning six months after the effectiveness of the registration statement of which this prospectus forms a part, the holders of at least 25% of the registrable securities then outstanding may request that we file a registration statement on Form S-1, if the aggregate offering price of the registrable securities requested to be registered would exceed $20 million.</w:t>
      </w:r>
    </w:p>
    <w:p>
      <w:pPr>
        <w:spacing w:after="0" w:line="89"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Once we are eligible to use a registration statement on Form S-3 for a period of at least twelve months, any holder of the registrable shares then outstanding may request that we file a registration statement on Form S-3 with respect to such holders’ registrable securities then outstanding.</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the event that we propose to register any of our securities under the Securities Act, either for our own account or for the account of other security holders, the stockholders party to the Shareholders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S-4 or S-8, these holders will be entitled to notice of the registration and will have fifteen days to request the inclusion of their registrable securities in the registration subject to certain limitations. If a holder decides not to include all or any of their registrable securities in the registration, such holder shall nonetheless have the right to include any registrable securities in any subsequent registration, on the same terms and conditions.</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5" w:name="page186"/>
    <w:bookmarkEnd w:id="18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Anti-takeover Effects of Our Restated Charter and Our Restated Bylaws</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Our Restated Charter and Restated Bylaws, which will be in effect prior to the consummation of this offering,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These provisions include:</w:t>
      </w:r>
    </w:p>
    <w:p>
      <w:pPr>
        <w:spacing w:after="0" w:line="11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i w:val="1"/>
          <w:iCs w:val="1"/>
          <w:color w:val="auto"/>
        </w:rPr>
        <w:t xml:space="preserve">Classified board. </w:t>
      </w:r>
      <w:r>
        <w:rPr>
          <w:rFonts w:ascii="Times New Roman" w:cs="Times New Roman" w:eastAsia="Times New Roman" w:hAnsi="Times New Roman"/>
          <w:sz w:val="15"/>
          <w:szCs w:val="15"/>
          <w:color w:val="auto"/>
        </w:rPr>
        <w:t>Our Restated Charter will provide that our board of directors will be divided into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three classes 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of directors. Our Restated Charter will also provide that, subject to any rights of holders of preferred stock to elect additional directors under specified circumstances, the number of directors will be fixed exclusively pursuant to a resolution adopted by our board of directors. Upon completion of this offering, we expect that our board of directors will have 7 directors.</w:t>
      </w:r>
    </w:p>
    <w:p>
      <w:pPr>
        <w:spacing w:after="0" w:line="10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 xml:space="preserve">Action by written consent; special meetings of stockholders. </w:t>
      </w:r>
      <w:r>
        <w:rPr>
          <w:rFonts w:ascii="Times New Roman" w:cs="Times New Roman" w:eastAsia="Times New Roman" w:hAnsi="Times New Roman"/>
          <w:sz w:val="15"/>
          <w:szCs w:val="15"/>
          <w:color w:val="auto"/>
        </w:rPr>
        <w:t>Our Restated Charter will provide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 action can be taken only at an annual or special meeting of stockholders and cannot be taken by written consent in lieu of a meeting. Our Restated Charter and the Restated Bylaws will also provide that, except as otherwise required by law, special meetings of the stockholders can only be called pursuant to a resolution adopted by a majority of our board of directors. Except as described above, stockholders will not be permitted to call a special meeting or to require our board of directors to call a special meeting.</w:t>
      </w:r>
    </w:p>
    <w:p>
      <w:pPr>
        <w:spacing w:after="0" w:line="97"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 xml:space="preserve">Removal of directors. </w:t>
      </w:r>
      <w:r>
        <w:rPr>
          <w:rFonts w:ascii="Times New Roman" w:cs="Times New Roman" w:eastAsia="Times New Roman" w:hAnsi="Times New Roman"/>
          <w:sz w:val="15"/>
          <w:szCs w:val="15"/>
          <w:color w:val="auto"/>
        </w:rPr>
        <w:t>Our Restated Charter will provide that our directors may be removed only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cause by the affirmative vote of at least a majority of the voting power of our outstanding shares of capital stock, voting together as a single class. This requirement of a supermajority vote to remove directors could enable a minority of our stockholders to prevent a change in the composition of our board of directors.</w:t>
      </w:r>
    </w:p>
    <w:p>
      <w:pPr>
        <w:spacing w:after="0" w:line="8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i w:val="1"/>
          <w:iCs w:val="1"/>
          <w:color w:val="auto"/>
        </w:rPr>
        <w:t xml:space="preserve">Advance notice procedures. </w:t>
      </w:r>
      <w:r>
        <w:rPr>
          <w:rFonts w:ascii="Times New Roman" w:cs="Times New Roman" w:eastAsia="Times New Roman" w:hAnsi="Times New Roman"/>
          <w:sz w:val="15"/>
          <w:szCs w:val="15"/>
          <w:color w:val="auto"/>
        </w:rPr>
        <w:t>Our Restated Bylaws will establish an advance notice procedure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 proposals to be brought before an annual meeting of our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Restated Bylaws will not give our board of directors the power to approve or disapprove stockholder nominations of candidates or proposals regarding other business to be conducted at a special or annual meeting, the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28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i w:val="1"/>
          <w:iCs w:val="1"/>
          <w:color w:val="auto"/>
        </w:rPr>
        <w:t xml:space="preserve">Supermajority approval requirements. </w:t>
      </w:r>
      <w:r>
        <w:rPr>
          <w:rFonts w:ascii="Times New Roman" w:cs="Times New Roman" w:eastAsia="Times New Roman" w:hAnsi="Times New Roman"/>
          <w:sz w:val="15"/>
          <w:szCs w:val="15"/>
          <w:color w:val="auto"/>
        </w:rPr>
        <w:t>The DGCL generally provides that the affirmative vote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majority of the shares entitled to vote on any matter is required to amend a corporation’s certificate of incorporation or bylaws, unless either a corporation’s certificate of incorporation or bylaws requires a greater percentage. Our Restated Charter and bylaws will provide that the affirmative vote of holders of at least 75% of the total votes eligible to be cast in the election of directors will be required to amend, alter, change or repeal specified provisions. This requirement of a supermajority vote to approve amendments to our Restated Charter and Restated Bylaws could enable a minority of our stockholders to exercise veto power over any such amendments.</w:t>
      </w:r>
    </w:p>
    <w:p>
      <w:pPr>
        <w:spacing w:after="0" w:line="101"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 xml:space="preserve">Authorized but unissued shares. </w:t>
      </w:r>
      <w:r>
        <w:rPr>
          <w:rFonts w:ascii="Times New Roman" w:cs="Times New Roman" w:eastAsia="Times New Roman" w:hAnsi="Times New Roman"/>
          <w:sz w:val="15"/>
          <w:szCs w:val="15"/>
          <w:color w:val="auto"/>
        </w:rPr>
        <w:t>Our authorized but unissued shares of common stock and preferred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6" w:name="page187"/>
    <w:bookmarkEnd w:id="18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common stock and preferred stock could render more difficult or discourage an attempt to obtain control of a majority of our common stock by means of a proxy contest, tender offer, merger or otherwise.</w:t>
      </w:r>
    </w:p>
    <w:p>
      <w:pPr>
        <w:spacing w:after="0" w:line="8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 xml:space="preserve">Exclusive forum. </w:t>
      </w:r>
      <w:r>
        <w:rPr>
          <w:rFonts w:ascii="Times New Roman" w:cs="Times New Roman" w:eastAsia="Times New Roman" w:hAnsi="Times New Roman"/>
          <w:sz w:val="15"/>
          <w:szCs w:val="15"/>
          <w:color w:val="auto"/>
        </w:rPr>
        <w:t>Our Restated Charter will provide that, subject to limited exceptions, the Court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Chancery of the State of Delaware (or, if, and only if, the Court of Chancery of the State of Delaware dismisses a Covered Claim (as defined above) for lack of subject matter jurisdiction, any other state or federal court in the State of Delaware that does have subject matter jurisdiction) will, to the fullest extent permitted by applicable law, be the sole and exclusive forum for Covered Claims. This provision would not apply to claims brought to enforce a duty or liability created by the Exchange Act.</w:t>
      </w:r>
    </w:p>
    <w:p>
      <w:pPr>
        <w:spacing w:after="0" w:line="9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Restated Charter will further provide that the federal district courts of the United States of America will be the exclusive forum for resolving any complaint asserting a cause of action arising under the Securities Act. In addition, our Restated Charter will provide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9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choice of forum provisions to be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Charter are inapplicable or unenforceable if they are challenged in a proceeding or otherwise, which could cause us to incur additional costs associated with resolving such action in other jurisdictions. See the section titled “Risk Factors—Risks Related to This Offering and Our Common Stock—Our Restated Charter will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Section 203 of the DGCL</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Under Section 203,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91"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7" w:name="page188"/>
    <w:bookmarkEnd w:id="18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opted out of these provisions. As a result, mergers or other takeover or change in control attempts of us may be discouraged or prevented.</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transfer agent and registrar for our common stock is               . The transfer agent and registrar’s address is           .</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The Nasdaq Global Market Listing</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have applied to have our common stock approved for listing on the Nasdaq Global Market under the symbol “ZBIO,” and this offering is contingent upon obtaining such approval.</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Limitations of Liability and Indemnification Matters</w:t>
      </w:r>
    </w:p>
    <w:p>
      <w:pPr>
        <w:spacing w:after="0" w:line="115"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For a discussion of liability and indemnification, see the section titled “Executive and Director Compensation—Limitations of Liability and Indemnification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8" w:name="page189"/>
    <w:bookmarkEnd w:id="18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SHARES ELIGIBLE FOR FUTURE SALE</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the section titled “Risk Factors—Risks Related to This Offering and Our Common Stock —A significant portion of our total outstanding shares is restricted from immediate resale but may be sold into the market in the near future, which could cause the market price of our common stock to decline significantly, even if our business is doing well.” Furthermore, although we have applied to have our common stock approved for listing on Nasdaq, we cannot assure you that there will be an active public trading market for our common stock.</w:t>
      </w:r>
    </w:p>
    <w:p>
      <w:pPr>
        <w:spacing w:after="0" w:line="284"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Upon the completion of this offering, based on the number of shares of our common stock outstanding as of March 31, 2024 (including 32,711 shares of unvested restricted common stock), after giving effect to</w:t>
      </w:r>
    </w:p>
    <w:p>
      <w:pPr>
        <w:spacing w:after="0" w:line="1" w:lineRule="exact"/>
        <w:rPr>
          <w:sz w:val="20"/>
          <w:szCs w:val="20"/>
          <w:color w:val="auto"/>
        </w:rPr>
      </w:pPr>
    </w:p>
    <w:p>
      <w:pPr>
        <w:jc w:val="both"/>
        <w:ind w:left="1160" w:right="1179" w:firstLine="4"/>
        <w:spacing w:after="0" w:line="252" w:lineRule="auto"/>
        <w:tabs>
          <w:tab w:leader="none" w:pos="1365"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automatic conversion of all outstanding shares of our convertible preferred stock as of March 31, 2024 into an aggregate of           shares of our common stock and (ii) the automatic conversion of 116,275,239 shares of Series C Preferred Stock issued after March 31, 2024, including 12,284,686 shares of Series C Preferred Stock issued upon the conversion of all outstanding convertible notes, into an aggregate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of             shares of our common stock, in each case, based on an assumed initial public offering price of</w:t>
      </w:r>
    </w:p>
    <w:p>
      <w:pPr>
        <w:spacing w:after="0" w:line="14" w:lineRule="exact"/>
        <w:rPr>
          <w:sz w:val="20"/>
          <w:szCs w:val="20"/>
          <w:color w:val="auto"/>
        </w:rPr>
      </w:pPr>
    </w:p>
    <w:p>
      <w:pPr>
        <w:jc w:val="both"/>
        <w:ind w:left="1160" w:right="1179" w:firstLine="4"/>
        <w:spacing w:after="0" w:line="256" w:lineRule="auto"/>
        <w:tabs>
          <w:tab w:leader="none" w:pos="1537"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share, which is the midpoint of the price range set forth on the cover page of this prospectus upon the completion of this offering, we will have an aggregate of           shares of our common stock outstanding (or         shares of our common stock if the underwriters exercise in full their over-allotment option). Of these shares of our common stock, all of the             shares sold in this offering (or           shares if the underwriters exercise in full their over-allotment option)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95"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All remaining shares of common stock held by existing stockholders immediately prior to the completion of this offering will be “restricted securities” as such term is defined in Rule 144.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lock-up period, we estimate that approximately               shares of our common stock will be available for sale in the public market, subject in some cases to applicable volume limitations under Rule 144.</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Lock-Up Agreements</w:t>
      </w:r>
    </w:p>
    <w:p>
      <w:pPr>
        <w:spacing w:after="0" w:line="115"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We and each of our directors and executive officers and holders of substantially all of our outstanding capital stock, have agreed, among other things and subject to certain exceptions, not to sell or transfer any common stock or securities convertible into, exchangeable for, exercisable for, or repayable with common stock, for 180 days after the date of this prospectus without first obtaining the written consent of Morgan Stanley &amp; Co. LLC and Jefferies LLC.</w:t>
      </w:r>
    </w:p>
    <w:p>
      <w:pPr>
        <w:spacing w:after="0" w:line="91"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color w:val="auto"/>
        </w:rPr>
        <w:t>Upon the expiration of the lock-up period, substantially all of the shares subject to such lock-up restrictions will become eligible for sale, subject to the limitations discussed above. For a further description of these lock-up agreements, please see the section titled “Underwriters.”</w:t>
      </w:r>
    </w:p>
    <w:p>
      <w:pPr>
        <w:spacing w:after="0" w:line="84"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After the date of the initial public filing of the prospectus,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9" w:name="page190"/>
    <w:bookmarkEnd w:id="18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Rule 144</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Affiliate Resales of Restricted Securities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(subject to the lock -up agreement referred to above, if applicable) in “broker’s transactions” or certain “riskless principal transactions” or to market makers, a number of shares within any three-month period that does not exceed the greater of:</w:t>
      </w:r>
    </w:p>
    <w:p>
      <w:pPr>
        <w:spacing w:after="0" w:line="64" w:lineRule="exact"/>
        <w:rPr>
          <w:sz w:val="20"/>
          <w:szCs w:val="20"/>
          <w:color w:val="auto"/>
        </w:rPr>
      </w:pPr>
    </w:p>
    <w:p>
      <w:pPr>
        <w:ind w:left="1600" w:hanging="143"/>
        <w:spacing w:after="0"/>
        <w:tabs>
          <w:tab w:leader="none" w:pos="16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of the number of shares of our common stock then outstanding, which will equal approximately</w:t>
      </w:r>
    </w:p>
    <w:p>
      <w:pPr>
        <w:spacing w:after="0" w:line="17" w:lineRule="exact"/>
        <w:rPr>
          <w:rFonts w:ascii="Times New Roman" w:cs="Times New Roman" w:eastAsia="Times New Roman" w:hAnsi="Times New Roman"/>
          <w:sz w:val="15"/>
          <w:szCs w:val="15"/>
          <w:color w:val="auto"/>
        </w:rPr>
      </w:pPr>
    </w:p>
    <w:p>
      <w:pPr>
        <w:ind w:left="1600" w:right="1179"/>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shares (or               shares if the underwriters exercise their over-allotment option in full) of our common stock immediately after this offering; or</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weekly trading volume in shares of our common stock on Nasdaq during the four calendar weeks preceding the filing of a notice on Form 144 with respect to such sale.</w:t>
      </w:r>
    </w:p>
    <w:p>
      <w:pPr>
        <w:spacing w:after="0" w:line="7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directly with a market maker.</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Non-affiliate Resales of Restricted Securities</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(as well as the lock-up agreement referred to above, if applicable). If such person has held our shares for at least one year, such person can resell under Rule 144(b)(1) without regard to any Rule 144 restrictions, including the 90-day public company requirement and the current public information requirement.</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Non-affiliate resales are not subject to the manner of sale, volume limitation or notice filing provisions of Rule 144.</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Rule 701</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9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Equity Plans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intend to file one or more registration statements on Form S-8 under the Securities Act to register all shares of our common stock subject to outstanding options and shares of our common stock issued or issuable under our incentive plans. We expect to file the registration statement covering shares offered pursuant to our</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0" w:name="page191"/>
    <w:bookmarkEnd w:id="19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incentive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Upon the completion of this offering, the holders of             shares of our common stock or their transferees, after giving effect to (i) the automatic conversion of all outstanding shares of our convertible preferred stock as of March 31, 2024 into an aggregate of             shares of our common stock and (ii) the automatic conversion of 116,275,239 shares of Series C Preferred Stock issued after March 31, 2024, including 12,284,686 shares of Series C Preferred Stock issued upon the conversion of all outstanding convertible notes, into an aggregate of             shares of our common stock,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1" w:name="page192"/>
    <w:bookmarkEnd w:id="19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 TO NON-U.S. HOLDERS OF OUR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following is a summary of the material U.S. federal income tax considerations relating to the purchase, ownership and disposition of our common stock by Non-U.S. Holders (defined below). This summary does not purport to be a complete analysis of all the potential tax considerations relevant to Non-U.S. Holders of our common stock. This summary is based upon the Code, the Treasury regulations promulgated or proposed thereunder and administrative and judicial interpretations thereof, all as of the date hereof and all of which are subject to change at any time, possibly on a retroactive basis.</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This discussion is limited to Non-U.S. Holders that hold our common stock as a “capital asset” within the meaning of Section 1221 of the Code (generally, property held for investment). For purposes of this summary, a “Non-U.S. Holder” means a beneficial owner of common stock that for U.S. federal income tax purposes is not classified as a partnership and is not:</w:t>
      </w:r>
    </w:p>
    <w:p>
      <w:pPr>
        <w:spacing w:after="0" w:line="73" w:lineRule="exact"/>
        <w:rPr>
          <w:sz w:val="20"/>
          <w:szCs w:val="20"/>
          <w:color w:val="auto"/>
        </w:rPr>
      </w:pPr>
    </w:p>
    <w:p>
      <w:pPr>
        <w:ind w:left="1600" w:hanging="143"/>
        <w:spacing w:after="0"/>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any other organization taxable as a corporation for U.S. federal income tax purposes, created or organized in or under the laws of the United States, any state thereof or the District of Columbia;</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included in gross income for U.S. federal income tax purposes regardless of its source; or</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4" w:lineRule="auto"/>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(1) a U.S. court is able to exercise primary supervision over the trust’s administration and one or more U.S. persons have the authority to control all of the trust’s substantial decisions or</w:t>
      </w:r>
    </w:p>
    <w:p>
      <w:pPr>
        <w:spacing w:after="0" w:line="1" w:lineRule="exact"/>
        <w:rPr>
          <w:rFonts w:ascii="Times New Roman" w:cs="Times New Roman" w:eastAsia="Times New Roman" w:hAnsi="Times New Roman"/>
          <w:sz w:val="15"/>
          <w:szCs w:val="15"/>
          <w:color w:val="auto"/>
        </w:rPr>
      </w:pPr>
    </w:p>
    <w:p>
      <w:pPr>
        <w:ind w:left="1600" w:right="1179"/>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 the trust has a valid election in effect under applicable U.S. Treasury regulations to be treated as a U.S. person.</w:t>
      </w:r>
    </w:p>
    <w:p>
      <w:pPr>
        <w:spacing w:after="0" w:line="8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67" w:lineRule="exact"/>
        <w:rPr>
          <w:sz w:val="20"/>
          <w:szCs w:val="20"/>
          <w:color w:val="auto"/>
        </w:rPr>
      </w:pPr>
    </w:p>
    <w:p>
      <w:pPr>
        <w:ind w:left="1600" w:hanging="143"/>
        <w:spacing w:after="0"/>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expatriates and former citizens or long term residents of the United States;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our common stock as part of a hedge, straddle or other risk reduction strategy or as part of a conversion transaction or other integrated investment;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and other financial institutions;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dealers or traders in securities;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“passive foreign investment companies,” and corporations that accumulate earnings to avoid U.S. federal income tax;</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or other entities or arrangements treated as partnerships or other pass-through entities for U.S. federal income tax purposes (and investors therein);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or governmental organizations;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our common stock under the constructive sale provisions of the Code;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 our common stock pursuant to the exercise of any employee stock option or otherwise as compensation;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tax-qualified retirement plans;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common stock that constitutes “qualified small business stock” under Section 1202 of the Code, or “Section 1244 stock” under Section 1244 of the Code;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acquired our common stock in a transaction subject to the gain rollover provisions of the Code (including Section 1045 of the Code);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acquired our common stock pursuant to the exercise of warrants or conversion rights under convertible instruments;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2" w:name="page193"/>
    <w:bookmarkEnd w:id="19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have elected to mark securities to market;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own, or have owned, actually or constructively, more than 5% of our common stock;</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foreign pension funds” as defined in Section 897(l)(2) of the Code and entities all of the interests of which are held by qualified foreign pension funds; and</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subject to special tax accounting rules as a result of any item of gross income with respect to our common stock being taken into account in an applicable financial statement.</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If an entity that is classified as a partnership for U.S. federal income tax purposes holds our common stock, the tax treatment of persons treated as its partners for U.S. federal income tax purposes will generally depend upon the status of the partner and the activities of the partnership. Partnerships and other entities that are classified as partnerships for U.S. federal income tax purposes and persons holding our common stock through a partnership or other entity classified as a partnership for U.S. federal income tax purposes are urged to consult their own tax advisors.</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There can be no assurance that the IRS will not challenge one or more of the tax consequences described herein, and we have not obtained, nor do we intend to obtain a ruling from the IRS with respect to the U.S. federal income tax consequences to a Non-U.S. Holder of the purchase, ownership or disposition of our common stock.</w:t>
      </w:r>
    </w:p>
    <w:p>
      <w:pPr>
        <w:spacing w:after="0" w:line="9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color w:val="auto"/>
        </w:rPr>
        <w:t>THIS SUMMARY IS FOR GENERAL INFORMATION ONLY AND IS NOT INTENDED TO BE TAX ADVICE. NON-U.S. HOLDERS ARE URGED TO CONSULT THEIR TAX ADVISORS CONCERNING THE U.S. FEDERAL INCOME TAXATION, STATE, LOCAL AND NON-U.S. TAXATION AND OTHER TAX CONSEQUENCES TO THEM OF THE PURCHASE, OWNERSHIP AND DISPOSITION OF OUR COMMON STOCK.</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Distributions of Our Common Stock</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do not currently expect to make distributions with respect to our common stock. If we make a distribution of cash or property with respect to our common stock, any such distributions generally will constitute dividends for U.S. federal income tax purposes to the extent of our current and accumulated earnings and profits, if any, as determined under U.S. federal income tax principles. If a distribution exceeds our current and accumulated earnings and profits, the excess will constitute a return of capital and will first reduce the holder’s adjusted tax basis in our common stock, but not below zero. Any remaining excess will be treated as capital gain, subject to the tax treatment described below in “—Gain on Sale, Exchange or Other Taxable Disposition of Our Common Stock.” Any such distribution would also be subject to the discussion below under the section titled “—Additional Withholding and Reporting Requirements.”</w:t>
      </w:r>
    </w:p>
    <w:p>
      <w:pPr>
        <w:spacing w:after="0" w:line="9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Dividends paid to a Non -U.S. Holder generally will be subject to a 30% U.S. federal withholding tax unless such Non-U.S. Holder provides us or our agent, as the case may be, with the appropriate IRS Form W-8, such as:</w:t>
      </w:r>
    </w:p>
    <w:p>
      <w:pPr>
        <w:spacing w:after="0" w:line="63" w:lineRule="exact"/>
        <w:rPr>
          <w:sz w:val="20"/>
          <w:szCs w:val="20"/>
          <w:color w:val="auto"/>
        </w:rPr>
      </w:pPr>
    </w:p>
    <w:p>
      <w:pPr>
        <w:ind w:left="1600" w:right="1179" w:hanging="143"/>
        <w:spacing w:after="0" w:line="269" w:lineRule="auto"/>
        <w:tabs>
          <w:tab w:leader="none" w:pos="16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IRS Form W-8BEN or W-8BEN-E (or successor form) certifying, under penalties of perjury, a reduction in withholding under an applicable income tax treaty, or</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IRS Form W-8ECI (or successor form) certifying that a dividend paid on our common stock is not subject to withholding tax because it is effectively connected with a trade or business in the United States of the Non-U.S. Holder (in which case such dividend generally will be subject to regular graduated U.S. tax rates as described below).</w:t>
      </w:r>
    </w:p>
    <w:p>
      <w:pPr>
        <w:spacing w:after="0" w:line="10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certification requirement described above must be provided to us or our agent prior to the payment of dividends and must be updated periodically. The certification also may require a Non-U.S. Holder that provides an IRS form or that claims treaty benefits to provide its U.S. taxpayer identification number. Special certification and other requirements apply in the case of certain Non -U.S. Holders that hold shares of our common stock through intermediaries or are pass-through entities for U.S. federal income tax purposes.</w:t>
      </w:r>
    </w:p>
    <w:p>
      <w:pPr>
        <w:spacing w:after="0" w:line="25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Each Non-U.S. Holder is urged to consult its own tax advisor about the specific methods for satisfying these requirements. A claim for exemption will not be valid if the person receiving the applicable form has actual knowledge or reason to know that the statements on the form are false.</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3" w:name="page194"/>
    <w:bookmarkEnd w:id="19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If dividends are effectively connected with a trade or business in the United States of a Non-U.S. Holder (and, if required by an applicable income tax treaty, are attributable to a permanent establishment maintained by such Non-U.S. Holder in the United States), the Non-U.S. Holder, although exempt from the withholding tax described above (provided that the certifications described above are satisfied), generally will be subject to U.S. federal income tax on such dividends on a net income basis in the same manner as if it were a resident of the United States. In addition, if a Non-U.S. Holder is treated as a corporation for U.S. federal income tax purposes, the Non-U.S. Holder may be subject to an additional “branch profits tax” equal to 30% (unless reduced by an applicable income treaty) of its earnings and profits in respect of such effectively connected dividend income.</w:t>
      </w:r>
    </w:p>
    <w:p>
      <w:pPr>
        <w:spacing w:after="0" w:line="98"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Non-U.S. Holders that do not timely provide us or our agent with the required certification, but which are eligible for a reduced rate of U.S. federal withholding tax pursuant to an income tax treaty, may obtain a refund or credit of any excess amount withheld by timely filing an appropriate claim for refund with the IRS.</w:t>
      </w:r>
    </w:p>
    <w:p>
      <w:pPr>
        <w:spacing w:after="0" w:line="3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Gain on Sale, Exchange or Other Taxable Disposition of Our Common Stock</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Subject to the discussion below under the section titled “—Additional Withholding and Reporting Requirements,” in general, a Non-U.S. Holder will not be subject to U.S. federal income tax or withholding tax on gain realized upon such holder’s sale, exchange or other taxable disposition of shares of our common stock, unless (1) such Non-U.S. Holder is an individual who is present in the United States for 183 days or more in the taxable year of disposition, and certain other conditions are met, (2) we are or have been a “United States real property holding corporation,” as defined in the Code (a “USRPHC”), at any time within the shorter of the five-year period preceding the disposition and the Non-U.S. Holder’s holding period in the shares of our common stock, and certain other requirements are met, or (3) such gain is effectively connected with the conduct by such Non-U.S. Holder of a trade or business in the United States (and, if required by an applicable income tax treaty, is attributable to a permanent establishment maintained by such Non-U.S. Holder in the United States).</w:t>
      </w:r>
    </w:p>
    <w:p>
      <w:pPr>
        <w:spacing w:after="0" w:line="10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If the first exception applies, the Non-U.S. Holder generally will be subject to U.S. federal income tax at a rate of 30% (or at a reduced rate under an applicable income tax treaty) on the amount by which such Non-U.S. Holder’s capital gains allocable to U.S. sources exceed capital losses allocable to U.S. sources during the taxable year of the disposition. If the third exception applies, the Non-U.S. Holder generally will be subject to U.S. federal income tax with respect to such gain on a net income basis in the same manner as if it were a resident of the United States and a Non-U.S. Holder that is a corporation for U.S. federal income tax purposes may also be subject to a branch profits tax with respect to any earnings and profits attributable to such gain at a rate of 30% (or at a reduced rate under an applicable income tax treaty).</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With respect to the second exception, generally, a corporation is a USRPHC only if the fair market value of its U.S. real property interests (as defined in the Code) equals or exceeds 50% of the sum of the fair market value of its worldwide real property interests plus its other assets used or held for use in a trade or business. We believe that we are not, and do not anticipate becoming, a USRPHC. Even if we became a USRPHC, a Non-U.S. Holder would not be subject to U.S. federal income tax on a sale, exchange or other taxable disposition of our common stock by reason of our status as USRPHC so long as our common stock is regularly traded on an established securities market at any time during the calendar year in which the disposition occurs and such Non- U.S. Holder does not own and is not deemed to own (directly, indirectly or constructively) more than 5% of our common stock at any time during the shorter of the five year period ending on the date of disposition and the holder’s holding period.</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Additional Withholding and Reporting Requirements</w:t>
      </w:r>
    </w:p>
    <w:p>
      <w:pPr>
        <w:spacing w:after="0" w:line="11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Foreign Account Tax Compliance Act, Sections 1471 through 1474 of the Code, and related Treasury Regulations, together with other Treasury Department and IRS guidance issued thereunder, and intergovernmental agreements, legislation, rules and other official guidance adopted pursuant to such intergovernmental agreements (commonly referred to as “FATCA”) impose a U.S. federal withholding tax of 30% on certain payments, including dividends paid on our common stock, paid to (1) a “foreign financial institution” (as​ defined under FATCA) unless such institution furnishes proper documentation (typically on IRS Form W-8BEN-E) evidencing either (i) an exemption from FATCA withholding, (ii) its compliance (or deemed compliance) with specified due diligence, reporting, withholding and certification obligations under</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4" w:name="page195"/>
    <w:bookmarkEnd w:id="19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right="1179"/>
        <w:spacing w:after="0" w:line="248" w:lineRule="auto"/>
        <w:rPr>
          <w:sz w:val="20"/>
          <w:szCs w:val="20"/>
          <w:color w:val="auto"/>
        </w:rPr>
      </w:pPr>
      <w:r>
        <w:rPr>
          <w:rFonts w:ascii="Times New Roman" w:cs="Times New Roman" w:eastAsia="Times New Roman" w:hAnsi="Times New Roman"/>
          <w:sz w:val="15"/>
          <w:szCs w:val="15"/>
          <w:color w:val="auto"/>
        </w:rPr>
        <w:t>FATCA or (iii) residence in a jurisdiction that has entered into an intergovernmental agreement with the United States relating to FATCA and compliance with the diligence and reporting requirements of the intergovernmental agreement and local implementing rules; or (2) a “non-financial foreign entity” (as​ defined under FATCA) that does not furnish proper documentation, typically on IRS Form W-8BEN-E, evidencing either (i) an exemption from FATCA or (ii) adequate information regarding substantial United States beneficial owners of such entity (if any). An intergovernmental agreement between the United States and an applicable foreign country may modify these requirements.</w:t>
      </w:r>
    </w:p>
    <w:p>
      <w:pPr>
        <w:spacing w:after="0" w:line="10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IRS and the Department of Treasury have issued proposed regulations on which taxpayers may rely providing that these withholding rules will not apply to the gross proceeds of a sale or other disposition of shares of our common stock. Prospective investors should consult their own tax advisors regarding the effect of FATCA on their ownership and disposition of our common stock.</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Backup Withholding and Information Reporting</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must report annually to the IRS and to each Non-U.S. Holder the gross amount of the distributions on our common stock paid to the holder and the tax withheld, if any, with respect to the distributions. Non-U.S. Holders may have to comply with specific certification procedures (such as the provision of a properly completed W-8BEN or W-8BEN-E) to establish that the holder is not a United States person (as defined in the Code) in order to avoid backup withholding at the applicable rate, currently 24%, with respect to dividends on our common stock. Dividends paid to Non-U.S. Holders subject to the U.S. withholding tax, as described above under the section titled “—Distributions on Our Common Stock,” generally will be exempt from U.S. backup withholding.</w:t>
      </w:r>
    </w:p>
    <w:p>
      <w:pPr>
        <w:spacing w:after="0" w:line="9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Prospective investors should consult their own tax advisors regarding the application of the information reporting and backup withholding rules to them, including the availability of and procedure for obtaining an exemption from backup withholding.</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Copies of information returns may be made available to the tax authorities of the country in which the Non-U.S. Holder resides or, in which the Non-U.S. Holder is incorporated, under the provisions of a specific treaty or agreement.</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5" w:name="page196"/>
    <w:bookmarkEnd w:id="195"/>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UNDERWRITERS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Under the terms and subject to the conditions in an underwriting agreement dated the date of this prospectus, the underwriters named below, for whom Morgan Stanley &amp; Co. LLC and Jefferies LLC are acting as representatives, have severally agreed to purchase, and we have agreed to sell to them, severally, the number of shares of our common stock indicated below:</w:t>
      </w:r>
    </w:p>
    <w:tbl>
      <w:tblPr>
        <w:tblLayout w:type="fixed"/>
        <w:tblInd w:w="1160" w:type="dxa"/>
        <w:tblCellMar>
          <w:top w:w="0" w:type="dxa"/>
          <w:left w:w="0" w:type="dxa"/>
          <w:bottom w:w="0" w:type="dxa"/>
          <w:right w:w="0" w:type="dxa"/>
        </w:tblCellMar>
      </w:tblPr>
      <w:tr>
        <w:trPr>
          <w:trHeight w:val="264"/>
        </w:trPr>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3440" w:type="dxa"/>
            <w:vAlign w:val="bottom"/>
          </w:tcPr>
          <w:p>
            <w:pPr>
              <w:spacing w:after="0"/>
              <w:rPr>
                <w:sz w:val="22"/>
                <w:szCs w:val="22"/>
                <w:color w:val="auto"/>
              </w:rPr>
            </w:pPr>
          </w:p>
        </w:tc>
        <w:tc>
          <w:tcPr>
            <w:tcW w:w="2060" w:type="dxa"/>
            <w:vAlign w:val="bottom"/>
          </w:tcPr>
          <w:p>
            <w:pPr>
              <w:ind w:left="1880"/>
              <w:spacing w:after="0"/>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gridSpan w:val="4"/>
          </w:tcPr>
          <w:p>
            <w:pPr>
              <w:jc w:val="right"/>
              <w:spacing w:after="0" w:line="244" w:lineRule="exact"/>
              <w:rPr>
                <w:sz w:val="20"/>
                <w:szCs w:val="20"/>
                <w:color w:val="auto"/>
              </w:rPr>
            </w:pPr>
            <w:r>
              <w:rPr>
                <w:rFonts w:ascii="Times New Roman" w:cs="Times New Roman" w:eastAsia="Times New Roman" w:hAnsi="Times New Roman"/>
                <w:sz w:val="12"/>
                <w:szCs w:val="12"/>
                <w:b w:val="1"/>
                <w:bCs w:val="1"/>
                <w:color w:val="auto"/>
                <w:w w:val="96"/>
              </w:rPr>
              <w:t>Number of Shares</w:t>
            </w:r>
            <w:r>
              <w:rPr>
                <w:rFonts w:ascii="Times New Roman" w:cs="Times New Roman" w:eastAsia="Times New Roman" w:hAnsi="Times New Roman"/>
                <w:sz w:val="23"/>
                <w:szCs w:val="23"/>
                <w:b w:val="1"/>
                <w:bCs w:val="1"/>
                <w:color w:val="auto"/>
                <w:w w:val="96"/>
                <w:vertAlign w:val="subscript"/>
              </w:rPr>
              <w:t>​</w:t>
            </w:r>
          </w:p>
        </w:tc>
      </w:tr>
      <w:tr>
        <w:trPr>
          <w:trHeight w:val="26"/>
        </w:trPr>
        <w:tc>
          <w:tcPr>
            <w:tcW w:w="300" w:type="dxa"/>
            <w:vAlign w:val="bottom"/>
            <w:shd w:val="clear" w:color="auto" w:fill="000000"/>
          </w:tcPr>
          <w:p>
            <w:pPr>
              <w:spacing w:after="0"/>
              <w:rPr>
                <w:sz w:val="2"/>
                <w:szCs w:val="2"/>
                <w:color w:val="auto"/>
              </w:rPr>
            </w:pPr>
          </w:p>
        </w:tc>
        <w:tc>
          <w:tcPr>
            <w:tcW w:w="3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Morgan Stanley &amp; Co. LLC</w:t>
            </w:r>
          </w:p>
        </w:tc>
        <w:tc>
          <w:tcPr>
            <w:tcW w:w="20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Jefferies LLC</w:t>
            </w:r>
          </w:p>
        </w:tc>
        <w:tc>
          <w:tcPr>
            <w:tcW w:w="2060" w:type="dxa"/>
            <w:vAlign w:val="bottom"/>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9"/>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Citigroup Global Markets Inc.</w:t>
            </w:r>
          </w:p>
        </w:tc>
        <w:tc>
          <w:tcPr>
            <w:tcW w:w="20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Guggenheim Securities, LLC</w:t>
            </w:r>
          </w:p>
        </w:tc>
        <w:tc>
          <w:tcPr>
            <w:tcW w:w="2060" w:type="dxa"/>
            <w:vAlign w:val="bottom"/>
            <w:tcBorders>
              <w:bottom w:val="single" w:sz="8" w:color="CCEEFF"/>
            </w:tcBorders>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tcBorders>
              <w:bottom w:val="single" w:sz="8" w:color="CCEEFF"/>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6"/>
        </w:trPr>
        <w:tc>
          <w:tcPr>
            <w:tcW w:w="3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w:t>
            </w:r>
          </w:p>
        </w:tc>
        <w:tc>
          <w:tcPr>
            <w:tcW w:w="2060" w:type="dxa"/>
            <w:vAlign w:val="bottom"/>
            <w:tcBorders>
              <w:bottom w:val="single" w:sz="8" w:color="CCEEFF"/>
            </w:tcBorders>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14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 allotment option described below. The offering of the shares of common stock by the underwriters is subject to receipt and acceptance and subject to the underwriters’ right to reject any order in whole or in part.</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In addition, we have requested that the underwriters make issuer directed allocations in the aggregate of             shares of our common stock to certain investors.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25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our common stock.</w:t>
      </w:r>
    </w:p>
    <w:p>
      <w:pPr>
        <w:spacing w:after="0" w:line="273"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72"/>
              </w:rPr>
              <w:t>Total</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Per Share</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No Exercise</w:t>
            </w:r>
          </w:p>
        </w:tc>
        <w:tc>
          <w:tcPr>
            <w:tcW w:w="8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Full Exercise</w:t>
            </w:r>
            <w:r>
              <w:rPr>
                <w:rFonts w:ascii="Times New Roman" w:cs="Times New Roman" w:eastAsia="Times New Roman" w:hAnsi="Times New Roman"/>
                <w:sz w:val="21"/>
                <w:szCs w:val="21"/>
                <w:b w:val="1"/>
                <w:bCs w:val="1"/>
                <w:color w:val="auto"/>
                <w:vertAlign w:val="subscript"/>
              </w:rPr>
              <w:t>​</w:t>
            </w:r>
          </w:p>
        </w:tc>
      </w:tr>
      <w:tr>
        <w:trPr>
          <w:trHeight w:val="20"/>
        </w:trPr>
        <w:tc>
          <w:tcPr>
            <w:tcW w:w="398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w:t>
            </w:r>
          </w:p>
        </w:tc>
        <w:tc>
          <w:tcPr>
            <w:tcW w:w="1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xml:space="preserve">​ ​​$           </w:t>
            </w:r>
          </w:p>
        </w:tc>
        <w:tc>
          <w:tcPr>
            <w:tcW w:w="7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 ​ ​$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Underwriting discounts and commissions to be paid by us</w:t>
            </w:r>
          </w:p>
        </w:tc>
        <w:tc>
          <w:tcPr>
            <w:tcW w:w="110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1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-403860</wp:posOffset>
            </wp:positionV>
            <wp:extent cx="383032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3032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estimated offering expenses payable by us, exclusive of the underwriting discounts and commissions, are approximately $            . We have also agreed to reimburse the underwriters for expenses relating to clearance of this offering with the Financial Industry Regulatory Authority up to $            .</w:t>
      </w:r>
    </w:p>
    <w:p>
      <w:pPr>
        <w:spacing w:after="0" w:line="8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underwriters have informed us that they do not intend sales to discretionary accounts to exceed 5% of the total number of shares of common stock offered by them.</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6" w:name="page197"/>
    <w:bookmarkEnd w:id="19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have applied to list our common stock on the Nasdaq Global Market under the trading symbol “ZBIO,” and this offering is contingent upon obtaining such approval.</w:t>
      </w:r>
    </w:p>
    <w:p>
      <w:pPr>
        <w:spacing w:after="0" w:line="7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and all of our directors and officers and the holders of substantially all of our outstanding shares of common stock or securities convertible into our common stock have agreed that without the prior written consent of Morgan Stanley &amp; Co. LLC and Jefferies LLC on behalf of the underwriters, we and they will not, and will not publicly disclose an intention to, during the period ending 180 days after the date of this prospectus (the “restricted period”):</w:t>
      </w:r>
    </w:p>
    <w:p>
      <w:pPr>
        <w:spacing w:after="0" w:line="64" w:lineRule="exact"/>
        <w:rPr>
          <w:sz w:val="20"/>
          <w:szCs w:val="20"/>
          <w:color w:val="auto"/>
        </w:rPr>
      </w:pPr>
    </w:p>
    <w:p>
      <w:pPr>
        <w:jc w:val="both"/>
        <w:ind w:left="1600" w:right="1179" w:hanging="143"/>
        <w:spacing w:after="0" w:line="252"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submit or file any registration statement with the SEC relating to the offering of any shares of common stock or any securities convertible into or exercisable or exchangeable for common stock; or</w:t>
      </w:r>
    </w:p>
    <w:p>
      <w:pPr>
        <w:spacing w:after="0" w:line="23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 or other arrangement that transfers to another, in whole or in part, any of the economic consequences of ownership of the common stock;</w:t>
      </w:r>
    </w:p>
    <w:p>
      <w:pPr>
        <w:spacing w:after="0" w:line="8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whether any such transaction described above is to be settled by delivery of common stock or such other securities, in cash or otherwise. In addition, we and each such person have agreed that, without the prior written consent of Morgan Stanley &amp; Co. LLC and Jefferies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The restrictions described in the immediately preceding paragraph do not apply to us with respect to:</w:t>
      </w:r>
    </w:p>
    <w:p>
      <w:pPr>
        <w:spacing w:after="0" w:line="91" w:lineRule="exact"/>
        <w:rPr>
          <w:sz w:val="20"/>
          <w:szCs w:val="20"/>
          <w:color w:val="auto"/>
        </w:rPr>
      </w:pPr>
    </w:p>
    <w:p>
      <w:pPr>
        <w:ind w:left="1600" w:hanging="143"/>
        <w:spacing w:after="0"/>
        <w:tabs>
          <w:tab w:leader="none" w:pos="16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of common stock to be sold to the underwriters;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by us of shares of common stock upon the exercise of an option or warrant or the conversion of a security outstanding on the date of this prospectus that is described herein;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facilitating the establishment of a trading plan on behalf of a shareholder, officer or director of our pursuant to Rule 10b5-1 under the Exchange Act for the transfer of shares of common stock,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(i) such plan does not provide for the transfer of common stock during the restricted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93"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restrictions on transfers or other dispositions by our directors, officers and securityholders described above do not apply to:</w:t>
      </w:r>
    </w:p>
    <w:p>
      <w:pPr>
        <w:spacing w:after="0" w:line="53" w:lineRule="exact"/>
        <w:rPr>
          <w:sz w:val="20"/>
          <w:szCs w:val="20"/>
          <w:color w:val="auto"/>
        </w:rPr>
      </w:pPr>
    </w:p>
    <w:p>
      <w:pPr>
        <w:jc w:val="both"/>
        <w:ind w:left="1600" w:right="1179" w:hanging="143"/>
        <w:spacing w:after="0" w:line="250" w:lineRule="auto"/>
        <w:tabs>
          <w:tab w:leader="none" w:pos="16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transactions relating to shares of common stock or other securities acquired in this offering or in open market transactions after the pricing of this offering;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certain cases, no filing under Section 16(a) of the Exchange Act or other public announcement shall be required or shall be voluntarily made in connection with subsequent sales of common stock or other securities acquired in this offering or in such open market transactions;</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1" w:lineRule="auto"/>
        <w:tabs>
          <w:tab w:leader="none" w:pos="16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of shares of common stock or any other securities (i) as a bona fide gift or for bona fide estate planning purposes, (ii) to an immediate family member (as defined below) or to any trust for the direct or indirect benefit of the undersigned or an immediate family member of the undersigned,</w:t>
      </w:r>
    </w:p>
    <w:p>
      <w:pPr>
        <w:jc w:val="both"/>
        <w:ind w:left="1600" w:right="1179" w:firstLine="4"/>
        <w:spacing w:after="0" w:line="245" w:lineRule="auto"/>
        <w:tabs>
          <w:tab w:leader="none" w:pos="1881" w:val="left"/>
        </w:tabs>
        <w:numPr>
          <w:ilvl w:val="1"/>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any corporation, partnership, limited liability company, investment fund, trust or other entity of which the undersigned and the immediate family of the undersigned are the legal and beneficial owner of all of the outstanding equity securities or similar interests, or (iv) by will, other testamentary document or intestate succession to the legal representative, heir, beneficiary or an immediate family member of the undersigned;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any transfer or distribution pursuant to this provision, (A) each donee, distributee or transferee shall sign and deliver a lock-up agreement substantially in the form of this agreement, (B) no filing under Section 16(a) of the Exchange Act or other public</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7" w:name="page198"/>
    <w:bookmarkEnd w:id="19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38" w:lineRule="auto"/>
        <w:rPr>
          <w:sz w:val="20"/>
          <w:szCs w:val="20"/>
          <w:color w:val="auto"/>
        </w:rPr>
      </w:pPr>
      <w:r>
        <w:rPr>
          <w:rFonts w:ascii="Times New Roman" w:cs="Times New Roman" w:eastAsia="Times New Roman" w:hAnsi="Times New Roman"/>
          <w:sz w:val="15"/>
          <w:szCs w:val="15"/>
          <w:color w:val="auto"/>
        </w:rPr>
        <w:t>announcement, reporting a reduction in beneficial ownership of shares of common stock, shall be voluntarily made during the restricted period, (C) other than in the case of preceding clauses (i) and (iv), no filing under Section 16(a) of the Exchange Act or other public announcement, reporting a reduction in beneficial ownership of shares of common stock, shall be required during the restricted period (other than a required filing on Schedule 13D, 13F or 13G) and, to the extent a filing under Section 16(a) of the Exchange Act is required during the restricted period as a result of transfers pursuant to clauses (i) and (iv) of this paragraph, such filing shall clearly indicate in the footnotes thereto that the filing relates to the circumstances described in clause (i) or clause (iv) hereof, respectively, and (D) such transfer shall not involve a disposition for value;</w:t>
      </w:r>
    </w:p>
    <w:p>
      <w:pPr>
        <w:spacing w:after="0" w:line="65" w:lineRule="exact"/>
        <w:rPr>
          <w:sz w:val="20"/>
          <w:szCs w:val="20"/>
          <w:color w:val="auto"/>
        </w:rPr>
      </w:pPr>
    </w:p>
    <w:p>
      <w:pPr>
        <w:jc w:val="both"/>
        <w:ind w:left="1600" w:right="1179" w:hanging="143"/>
        <w:spacing w:after="0" w:line="247" w:lineRule="auto"/>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transfers of shares of common stock or any other securities to a charitable organization or educational institution in a transaction not involving a disposition for value;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any transfer or distribution pursuant to this provision, (A) each transferee shall sign and deliver a lock-up agreement substantially in the form of this agreement and (B) no filing under Section 16(a) of the Exchange Act or other public announcement, reporting a reduction in beneficial ownership of shares of common stock, shall be voluntarily made during the restricted period and, to the extent a Form 4 or Form 5 filing under Section 16(a) of the Exchange Act is required during the restricted period as a result of transfers made pursuant to this provision, such filing shall clearly indicate in the footnotes thereto that the filing relates to the circumstances described in this provision;</w:t>
      </w:r>
    </w:p>
    <w:p>
      <w:pPr>
        <w:spacing w:after="0" w:line="72" w:lineRule="exact"/>
        <w:rPr>
          <w:rFonts w:ascii="Times New Roman" w:cs="Times New Roman" w:eastAsia="Times New Roman" w:hAnsi="Times New Roman"/>
          <w:sz w:val="15"/>
          <w:szCs w:val="15"/>
          <w:color w:val="auto"/>
        </w:rPr>
      </w:pPr>
    </w:p>
    <w:p>
      <w:pPr>
        <w:jc w:val="both"/>
        <w:ind w:left="1600" w:right="1179" w:hanging="143"/>
        <w:spacing w:after="0" w:line="246" w:lineRule="auto"/>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undersigned is a corporation, partnership, limited liability company, trust or other business entity, (i) transfers or distributions of shares of common stock or any other securities to current or former general or limited partners, managers or members, stockholders, other equityholders or direct or indirect affiliates (within the meaning of Rule 405 under the Securities Act) of the undersigned, or to the estates of any of the foregoing or (ii) transfers or distributions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any transfer or distribution pursuant to this provision, (A) each distributee or transferee shall sign and deliver a lock-up agreement substantially in the form of this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w:t>
      </w:r>
    </w:p>
    <w:p>
      <w:pPr>
        <w:spacing w:after="0" w:line="249" w:lineRule="exact"/>
        <w:rPr>
          <w:rFonts w:ascii="Times New Roman" w:cs="Times New Roman" w:eastAsia="Times New Roman" w:hAnsi="Times New Roman"/>
          <w:sz w:val="15"/>
          <w:szCs w:val="15"/>
          <w:color w:val="auto"/>
        </w:rPr>
      </w:pPr>
    </w:p>
    <w:p>
      <w:pPr>
        <w:jc w:val="both"/>
        <w:ind w:left="1600" w:right="1179" w:hanging="143"/>
        <w:spacing w:after="0" w:line="246" w:lineRule="auto"/>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transfer of shares of common stock or any other securities to us to satisfy any tax, including estimated tax, remittance, or other payment obligations of the undersigned arising in connection with a vesting event of our securities, upon the settlement of restricted stock units or the payment due for the exercise of options (including a transfer to us for the “net” or “cashless” exercise of options) or other rights to purchase our securities, in all such cases pursuant to equity awards granted under a stock incentive plan or other equity award plan of ours described herein;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remaining shares of common stock or securities convertible into common stock received upon such vesting, settlement or exercise shall be subject to the terms of this agreement; and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 including that (i) the securities remain subject to the terms of this agreement and (ii) that no securities were sold by the undersigned;</w:t>
      </w:r>
    </w:p>
    <w:p>
      <w:pPr>
        <w:spacing w:after="0" w:line="72"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establishment or amendment of a trading plan pursuant to Rule 10b5-1 under the Exchange Act for the transfer of shares of common stock;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such plan does not provide for the transfer of common stock during the restricted period, and (ii) to the extent a filing under Section 16(a) of the Exchange Act or other public announcement is required or voluntarily made during the restricted period by or on behalf of such director, officer or securityholder or us regarding the establishment of such plan, such announcement or filing shall include a statement to the effect that no transfer of common stock may be made under such plan during the restricted period and any such filing under</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8" w:name="page199"/>
    <w:bookmarkEnd w:id="19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spacing w:after="0" w:line="269" w:lineRule="auto"/>
        <w:rPr>
          <w:sz w:val="20"/>
          <w:szCs w:val="20"/>
          <w:color w:val="auto"/>
        </w:rPr>
      </w:pPr>
      <w:r>
        <w:rPr>
          <w:rFonts w:ascii="Times New Roman" w:cs="Times New Roman" w:eastAsia="Times New Roman" w:hAnsi="Times New Roman"/>
          <w:sz w:val="15"/>
          <w:szCs w:val="15"/>
          <w:color w:val="auto"/>
        </w:rPr>
        <w:t>Section 16(a) of the Exchange Act shall clearly indicate in the footnotes thereto that the filing relates to the circumstances described in this provision;</w:t>
      </w:r>
    </w:p>
    <w:p>
      <w:pPr>
        <w:spacing w:after="0" w:line="53" w:lineRule="exact"/>
        <w:rPr>
          <w:sz w:val="20"/>
          <w:szCs w:val="20"/>
          <w:color w:val="auto"/>
        </w:rPr>
      </w:pPr>
    </w:p>
    <w:p>
      <w:pPr>
        <w:jc w:val="both"/>
        <w:ind w:left="1600" w:right="1179" w:hanging="143"/>
        <w:spacing w:after="0" w:line="249"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transfer of shares of common stock or any other securities that occurs by operation of law pursuant to a qualified domestic order or in connection with a divorce settlement or other court order;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the transferee shall sign and deliver a lock-up agreement substantially in the form of this agreement, and (ii)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w:t>
      </w:r>
    </w:p>
    <w:p>
      <w:pPr>
        <w:spacing w:after="0" w:line="255"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transfers to us in connection with the repurchase of common stock in connection with the termination of such director, officer or securityholder’s employment with us pursuant to contractual agreements with us as in effect as of the date of this prospectus and described herein;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w:t>
      </w:r>
    </w:p>
    <w:p>
      <w:pPr>
        <w:spacing w:after="0" w:line="249"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conversion of shares of the Company’s convertible preferred stock into shares of common stock as described in this prospectus;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each case, such shares shall continue to be subject to the restrictions on transfer set forth in the applicable lock up agreement;</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transfer of shares of common stock or any other securities pursuant to a bona fide third- party tender offer, merger, consolidation or other similar transaction that is approved by the board of directors, made to all holders of common stock involving a change of control (as defined below);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in the event that the change of control is not completed, the common stock owned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undersigned shall remain subject to the restrictions contained in the applicable lock up agreement; or</w:t>
      </w:r>
    </w:p>
    <w:p>
      <w:pPr>
        <w:spacing w:after="0" w:line="247"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with the prior written consent of Morgan Stanley &amp; Co. LLC and Jefferies LLC on behalf of the underwriters.</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Morgan Stanley &amp; Co. LLC and Jefferies LLC, in their sole discretion, may release the common stock and other securities subject to the lock-up agreements described above in whole or in part at any time.</w:t>
      </w:r>
    </w:p>
    <w:p>
      <w:pPr>
        <w:spacing w:after="0" w:line="7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0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and the underwriters have agreed to indemnify each other against certain liabilities, including liabilities under the Securities Act.</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9" w:name="page200"/>
    <w:bookmarkEnd w:id="19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holders. Internet distributions will be allocated by the representatives to underwriters that may make internet distributions on the same basis as other allocations.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 Relationships</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3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Pricing of the Offering</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Selling Restrictions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Canada</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5"/>
          <w:szCs w:val="15"/>
          <w:i w:val="1"/>
          <w:iCs w:val="1"/>
          <w:color w:val="auto"/>
        </w:rPr>
        <w:t>Prospectus Exemptions</w:t>
      </w:r>
      <w:r>
        <w:rPr>
          <w:rFonts w:ascii="Times New Roman" w:cs="Times New Roman" w:eastAsia="Times New Roman" w:hAnsi="Times New Roman"/>
          <w:sz w:val="15"/>
          <w:szCs w:val="15"/>
          <w:color w:val="auto"/>
        </w:rPr>
        <w:t xml:space="preserve"> or subsection 73.3(1) of the </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xml:space="preserve"> (Ontario), and are permitted clients, as defined in National Instrument 31-103 </w:t>
      </w:r>
      <w:r>
        <w:rPr>
          <w:rFonts w:ascii="Times New Roman" w:cs="Times New Roman" w:eastAsia="Times New Roman" w:hAnsi="Times New Roman"/>
          <w:sz w:val="15"/>
          <w:szCs w:val="15"/>
          <w:i w:val="1"/>
          <w:iCs w:val="1"/>
          <w:color w:val="auto"/>
        </w:rPr>
        <w:t>Registration Requirements, Exemptions and Ongoing Registrant Obligations</w:t>
      </w:r>
      <w:r>
        <w:rPr>
          <w:rFonts w:ascii="Times New Roman" w:cs="Times New Roman" w:eastAsia="Times New Roman" w:hAnsi="Times New Roman"/>
          <w:sz w:val="15"/>
          <w:szCs w:val="15"/>
          <w:color w:val="auto"/>
        </w:rPr>
        <w:t>. Any resale of the shares must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made in accordance with an exemption from, or in a transaction not subject to, the prospectus requirements of applicable securities laws.</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0"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 xml:space="preserve">Pursuant to section 3A.3 of National Instrument 33-105 </w:t>
      </w:r>
      <w:r>
        <w:rPr>
          <w:rFonts w:ascii="Times New Roman" w:cs="Times New Roman" w:eastAsia="Times New Roman" w:hAnsi="Times New Roman"/>
          <w:sz w:val="15"/>
          <w:szCs w:val="15"/>
          <w:i w:val="1"/>
          <w:iCs w:val="1"/>
          <w:color w:val="auto"/>
        </w:rPr>
        <w:t>Underwriting Conflicts</w:t>
      </w:r>
      <w:r>
        <w:rPr>
          <w:rFonts w:ascii="Times New Roman" w:cs="Times New Roman" w:eastAsia="Times New Roman" w:hAnsi="Times New Roman"/>
          <w:sz w:val="15"/>
          <w:szCs w:val="15"/>
          <w:color w:val="auto"/>
        </w:rPr>
        <w:t xml:space="preserve"> (NI 33-105), the underwriters are not required to comply with the disclosure requirements of NI 33-105 regarding underwriter conflicts of interest in connection with this offering.</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European Economic Area</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relation to each Member State of the EEA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0" w:name="page201"/>
    <w:bookmarkEnd w:id="20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that Relevant State, all in accordance with the Prospectus Regulation, except that offers of securities may be made to the public in that Relevant State at any time under the following exemptions under the Prospectus Regulation:</w:t>
      </w:r>
    </w:p>
    <w:p>
      <w:pPr>
        <w:spacing w:after="0" w:line="89" w:lineRule="exact"/>
        <w:rPr>
          <w:sz w:val="20"/>
          <w:szCs w:val="20"/>
          <w:color w:val="auto"/>
        </w:rPr>
      </w:pPr>
    </w:p>
    <w:p>
      <w:pPr>
        <w:ind w:left="2020" w:hanging="270"/>
        <w:spacing w:after="0"/>
        <w:tabs>
          <w:tab w:leader="none" w:pos="202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the Prospectus Regulation;</w:t>
      </w:r>
    </w:p>
    <w:p>
      <w:pPr>
        <w:spacing w:after="0" w:line="124" w:lineRule="exact"/>
        <w:rPr>
          <w:rFonts w:ascii="Times New Roman" w:cs="Times New Roman" w:eastAsia="Times New Roman" w:hAnsi="Times New Roman"/>
          <w:sz w:val="15"/>
          <w:szCs w:val="15"/>
          <w:color w:val="auto"/>
        </w:rPr>
      </w:pPr>
    </w:p>
    <w:p>
      <w:pPr>
        <w:ind w:left="1460" w:right="1179" w:firstLine="290"/>
        <w:spacing w:after="0" w:line="254" w:lineRule="auto"/>
        <w:tabs>
          <w:tab w:leader="none" w:pos="2069"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the Prospectus Regulation), subject to obtaining the prior consent of the representatives; or</w:t>
      </w:r>
    </w:p>
    <w:p>
      <w:pPr>
        <w:spacing w:after="0" w:line="85" w:lineRule="exact"/>
        <w:rPr>
          <w:rFonts w:ascii="Times New Roman" w:cs="Times New Roman" w:eastAsia="Times New Roman" w:hAnsi="Times New Roman"/>
          <w:sz w:val="15"/>
          <w:szCs w:val="15"/>
          <w:color w:val="auto"/>
        </w:rPr>
      </w:pPr>
    </w:p>
    <w:p>
      <w:pPr>
        <w:ind w:left="2100" w:hanging="350"/>
        <w:spacing w:after="0"/>
        <w:tabs>
          <w:tab w:leader="none" w:pos="210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w:t>
      </w:r>
    </w:p>
    <w:p>
      <w:pPr>
        <w:spacing w:after="0" w:line="12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9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United Kingdom</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Each underwriter has represented and agreed that:</w:t>
      </w:r>
    </w:p>
    <w:p>
      <w:pPr>
        <w:spacing w:after="0" w:line="124" w:lineRule="exact"/>
        <w:rPr>
          <w:sz w:val="20"/>
          <w:szCs w:val="20"/>
          <w:color w:val="auto"/>
        </w:rPr>
      </w:pPr>
    </w:p>
    <w:p>
      <w:pPr>
        <w:jc w:val="both"/>
        <w:ind w:left="1460" w:right="1179" w:firstLine="290"/>
        <w:spacing w:after="0" w:line="239" w:lineRule="auto"/>
        <w:tabs>
          <w:tab w:leader="none" w:pos="2034"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us; and</w:t>
      </w:r>
    </w:p>
    <w:p>
      <w:pPr>
        <w:spacing w:after="0" w:line="96" w:lineRule="exact"/>
        <w:rPr>
          <w:rFonts w:ascii="Times New Roman" w:cs="Times New Roman" w:eastAsia="Times New Roman" w:hAnsi="Times New Roman"/>
          <w:sz w:val="15"/>
          <w:szCs w:val="15"/>
          <w:color w:val="auto"/>
        </w:rPr>
      </w:pPr>
    </w:p>
    <w:p>
      <w:pPr>
        <w:ind w:left="1460" w:right="1179" w:firstLine="290"/>
        <w:spacing w:after="0" w:line="254" w:lineRule="auto"/>
        <w:tabs>
          <w:tab w:leader="none" w:pos="2089"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complied and will comply with all applicable provisions of the FSMA with respect to anything done by it in relation to the shares in, from or otherwise involving the UK.</w:t>
      </w:r>
    </w:p>
    <w:p>
      <w:pPr>
        <w:spacing w:after="0" w:line="8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No shares have been offered or will be offered pursuant to the offering to the public in the UK prior to the publication of a prospectus in relation to the shares which has been approved by the Financial Conduct Authority, except that the shares may be offered to the public in the UK at any time:</w:t>
      </w:r>
    </w:p>
    <w:p>
      <w:pPr>
        <w:spacing w:after="0" w:line="89" w:lineRule="exact"/>
        <w:rPr>
          <w:sz w:val="20"/>
          <w:szCs w:val="20"/>
          <w:color w:val="auto"/>
        </w:rPr>
      </w:pPr>
    </w:p>
    <w:p>
      <w:pPr>
        <w:ind w:left="1460" w:right="1179" w:firstLine="290"/>
        <w:spacing w:after="0" w:line="254" w:lineRule="auto"/>
        <w:tabs>
          <w:tab w:leader="none" w:pos="2119"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UK Prospectus Regulation;</w:t>
      </w:r>
    </w:p>
    <w:p>
      <w:pPr>
        <w:spacing w:after="0" w:line="85" w:lineRule="exact"/>
        <w:rPr>
          <w:rFonts w:ascii="Times New Roman" w:cs="Times New Roman" w:eastAsia="Times New Roman" w:hAnsi="Times New Roman"/>
          <w:sz w:val="15"/>
          <w:szCs w:val="15"/>
          <w:color w:val="auto"/>
        </w:rPr>
      </w:pPr>
    </w:p>
    <w:p>
      <w:pPr>
        <w:jc w:val="both"/>
        <w:ind w:left="1460" w:right="1179" w:firstLine="290"/>
        <w:spacing w:after="0" w:line="249" w:lineRule="auto"/>
        <w:tabs>
          <w:tab w:leader="none" w:pos="211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9" w:lineRule="exact"/>
        <w:rPr>
          <w:rFonts w:ascii="Times New Roman" w:cs="Times New Roman" w:eastAsia="Times New Roman" w:hAnsi="Times New Roman"/>
          <w:sz w:val="15"/>
          <w:szCs w:val="15"/>
          <w:color w:val="auto"/>
        </w:rPr>
      </w:pPr>
    </w:p>
    <w:p>
      <w:pPr>
        <w:ind w:left="2100" w:hanging="350"/>
        <w:spacing w:after="0"/>
        <w:tabs>
          <w:tab w:leader="none" w:pos="210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Section 86 of the FSMA;</w:t>
      </w:r>
    </w:p>
    <w:p>
      <w:pPr>
        <w:spacing w:after="0" w:line="12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provided that no such offer of the shares shall require us or any of the representatives to publish a prospectus pursuant to Section 85 of the FSMA or supplement a prospectus pursuant to Article 23 of the UK Prospectus Regulation.</w:t>
      </w:r>
    </w:p>
    <w:p>
      <w:pPr>
        <w:spacing w:after="0" w:line="96"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shares in the UK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This prospectus is only for distribution to and directed at: (i) in the UK, persons having professional experience in matters relating to investments falling within Article 19(5) of the Financial Services and Markets Act 2000 (Financial Promotion) Order 2005, as amended, or the Order, and high net worth entities falling within Article 49(2)(a) to (d) of the Order; (ii) persons who are outside the UK; and (iii) any other person to whom it can otherwise be lawfully distributed, or all such persons together, Relevant Persons. Any investment</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1" w:name="page202"/>
    <w:bookmarkEnd w:id="20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or investment activity to which this prospectus relates is available only to and will be engaged in only with Relevant Persons, and any person who is not a Relevant Person should not rely on it.</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Hong Kong</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Japan</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Singapore</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w:t>
      </w:r>
    </w:p>
    <w:p>
      <w:pPr>
        <w:spacing w:after="0" w:line="3" w:lineRule="exact"/>
        <w:rPr>
          <w:sz w:val="20"/>
          <w:szCs w:val="20"/>
          <w:color w:val="auto"/>
        </w:rPr>
      </w:pPr>
    </w:p>
    <w:p>
      <w:pPr>
        <w:jc w:val="both"/>
        <w:ind w:left="1160" w:right="1179" w:firstLine="4"/>
        <w:spacing w:after="0" w:line="230" w:lineRule="auto"/>
        <w:tabs>
          <w:tab w:leader="none" w:pos="1355"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(as defined in Section 4A of the Securities and Futures Act (Chapter 289) of Singapore, as modified or amended from time to time (the “SFA”)) pursuant to Section 274 of the SFA,</w:t>
      </w:r>
    </w:p>
    <w:p>
      <w:pPr>
        <w:jc w:val="both"/>
        <w:ind w:left="1160" w:right="1179" w:firstLine="4"/>
        <w:spacing w:after="0" w:line="236" w:lineRule="auto"/>
        <w:tabs>
          <w:tab w:leader="none" w:pos="1394"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97"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Where the securities are subscribed or purchased under Section 275 of the SFA by a relevant person which is:</w:t>
      </w:r>
    </w:p>
    <w:p>
      <w:pPr>
        <w:spacing w:after="0" w:line="75" w:lineRule="exact"/>
        <w:rPr>
          <w:sz w:val="20"/>
          <w:szCs w:val="20"/>
          <w:color w:val="auto"/>
        </w:rPr>
      </w:pPr>
    </w:p>
    <w:p>
      <w:pPr>
        <w:jc w:val="both"/>
        <w:ind w:left="1460" w:right="1179" w:firstLine="290"/>
        <w:spacing w:after="0" w:line="241" w:lineRule="auto"/>
        <w:tabs>
          <w:tab w:leader="none" w:pos="2041"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5" w:lineRule="exact"/>
        <w:rPr>
          <w:rFonts w:ascii="Times New Roman" w:cs="Times New Roman" w:eastAsia="Times New Roman" w:hAnsi="Times New Roman"/>
          <w:sz w:val="15"/>
          <w:szCs w:val="15"/>
          <w:color w:val="auto"/>
        </w:rPr>
      </w:pPr>
    </w:p>
    <w:p>
      <w:pPr>
        <w:ind w:left="1460" w:right="1179" w:firstLine="290"/>
        <w:spacing w:after="0" w:line="269" w:lineRule="auto"/>
        <w:tabs>
          <w:tab w:leader="none" w:pos="2159"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of the trust is an individual who is an accredited investor;</w:t>
      </w:r>
    </w:p>
    <w:p>
      <w:pPr>
        <w:spacing w:after="0" w:line="75"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5" w:lineRule="exact"/>
        <w:rPr>
          <w:sz w:val="20"/>
          <w:szCs w:val="20"/>
          <w:color w:val="auto"/>
        </w:rPr>
      </w:pPr>
    </w:p>
    <w:p>
      <w:pPr>
        <w:ind w:left="1460" w:right="1179" w:firstLine="290"/>
        <w:spacing w:after="0" w:line="254" w:lineRule="auto"/>
        <w:tabs>
          <w:tab w:leader="none" w:pos="2103"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or to a relevant person, or to any person arising from an offer referred to in Section 275(1A) or Section 276(4)(i)(B) of the SFA;</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2" w:name="page203"/>
    <w:bookmarkEnd w:id="20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40" w:hanging="290"/>
        <w:spacing w:after="0"/>
        <w:tabs>
          <w:tab w:leader="none" w:pos="20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w:t>
      </w:r>
    </w:p>
    <w:p>
      <w:pPr>
        <w:spacing w:after="0" w:line="124" w:lineRule="exact"/>
        <w:rPr>
          <w:rFonts w:ascii="Times New Roman" w:cs="Times New Roman" w:eastAsia="Times New Roman" w:hAnsi="Times New Roman"/>
          <w:sz w:val="15"/>
          <w:szCs w:val="15"/>
          <w:color w:val="auto"/>
        </w:rPr>
      </w:pPr>
    </w:p>
    <w:p>
      <w:pPr>
        <w:ind w:left="2040" w:hanging="290"/>
        <w:spacing w:after="0"/>
        <w:tabs>
          <w:tab w:leader="none" w:pos="20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 or</w:t>
      </w:r>
    </w:p>
    <w:p>
      <w:pPr>
        <w:spacing w:after="0" w:line="124" w:lineRule="exact"/>
        <w:rPr>
          <w:rFonts w:ascii="Times New Roman" w:cs="Times New Roman" w:eastAsia="Times New Roman" w:hAnsi="Times New Roman"/>
          <w:sz w:val="15"/>
          <w:szCs w:val="15"/>
          <w:color w:val="auto"/>
        </w:rPr>
      </w:pPr>
    </w:p>
    <w:p>
      <w:pPr>
        <w:ind w:left="2040" w:hanging="290"/>
        <w:spacing w:after="0"/>
        <w:tabs>
          <w:tab w:leader="none" w:pos="20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Section 276(7) of the SFA.</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Switzerland</w:t>
      </w:r>
    </w:p>
    <w:p>
      <w:pPr>
        <w:spacing w:after="0" w:line="11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 and the offering of shares has not been and will not be authorized under the Swiss Federal Act on Collective Investment Schemes, or the CISA. The investor protection afforded to acquirers of interests in collective investment schemes under the CISA does not extend to acquirers of the shares.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Dubai International Financial Centre</w:t>
      </w:r>
    </w:p>
    <w:p>
      <w:pPr>
        <w:spacing w:after="0" w:line="11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Australia</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25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Any offer in Australia of the shares may only be made to persons, or Exempt Investors, who are “sophisticated investors” ​(within the meaning of section 708(8) of the Corporations Act), “professional</w:t>
      </w: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This prospectus contains general information only and does not take account of the investment objectives, financial situation or particular needs of any particular person. It does not contain any securities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3" w:name="page204"/>
    <w:bookmarkEnd w:id="20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Israel</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28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w:t>
      </w:r>
    </w:p>
    <w:p>
      <w:pPr>
        <w:spacing w:after="0" w:line="4" w:lineRule="exact"/>
        <w:rPr>
          <w:sz w:val="20"/>
          <w:szCs w:val="20"/>
          <w:color w:val="auto"/>
        </w:rPr>
      </w:pPr>
    </w:p>
    <w:p>
      <w:pPr>
        <w:jc w:val="both"/>
        <w:ind w:left="1160" w:right="1179" w:firstLine="4"/>
        <w:spacing w:after="0" w:line="245" w:lineRule="auto"/>
        <w:tabs>
          <w:tab w:leader="none" w:pos="1471"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4" w:name="page205"/>
    <w:bookmarkEnd w:id="20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validity of the shares of common stock offered by this prospectus will be passed upon for us by Ropes &amp; Gray, LLP, Boston, Massachusetts. Certain legal matters will be passed upon for the underwriters by Cooley LLP, New York, New York.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consolidated financial statements of Zenas BioPharma, Inc. as of December 31, 2023 and 2022, and for each of the years then ended,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site is www.sec.gov.</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Upon the effectiveness of the registration statement, we will be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accessed at the SEC’s website referenced above. We also intend to make this information available on the investor relations section of our website, which is located at www.zenasbio.com.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5" w:name="page206"/>
    <w:bookmarkEnd w:id="205"/>
    <w:p>
      <w:pPr>
        <w:ind w:left="1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p>
      <w:pPr>
        <w:spacing w:after="0" w:line="91"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3"/>
          <w:szCs w:val="13"/>
          <w:b w:val="1"/>
          <w:bCs w:val="1"/>
          <w:u w:val="single" w:color="auto"/>
          <w:color w:val="auto"/>
        </w:rPr>
        <w:t>Audited Consolidated Financial Statements for the Years Ended December 31, 2023 and 2022:</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Report</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-92710</wp:posOffset>
            </wp:positionV>
            <wp:extent cx="4241800" cy="977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41800" cy="97790"/>
                    </a:xfrm>
                    <a:prstGeom prst="rect">
                      <a:avLst/>
                    </a:prstGeom>
                    <a:noFill/>
                  </pic:spPr>
                </pic:pic>
              </a:graphicData>
            </a:graphic>
          </wp:anchor>
        </w:drawing>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606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Statements of Operations and Comprehensive Loss</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Statements of Changes in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606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Statements of Cash Flows</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Notes</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170497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04975" cy="6985"/>
                    </a:xfrm>
                    <a:prstGeom prst="rect">
                      <a:avLst/>
                    </a:prstGeom>
                    <a:noFill/>
                  </pic:spPr>
                </pic:pic>
              </a:graphicData>
            </a:graphic>
          </wp:anchor>
        </w:drawing>
      </w:r>
    </w:p>
    <w:p>
      <w:pPr>
        <w:spacing w:after="0" w:line="157"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5"/>
          <w:szCs w:val="15"/>
          <w:b w:val="1"/>
          <w:bCs w:val="1"/>
          <w:u w:val="single" w:color="auto"/>
          <w:color w:val="auto"/>
        </w:rPr>
        <w:t>Unaudited Condensed Consolidated Financial Statements for the Three Months Ended</w:t>
      </w:r>
    </w:p>
    <w:p>
      <w:pPr>
        <w:spacing w:after="0" w:line="20"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5"/>
          <w:szCs w:val="15"/>
          <w:b w:val="1"/>
          <w:bCs w:val="1"/>
          <w:u w:val="single" w:color="auto"/>
          <w:color w:val="auto"/>
        </w:rPr>
        <w:t>March 31, 2024 and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F-2</w:t>
      </w:r>
      <w:r>
        <w:rPr>
          <w:rFonts w:ascii="Times New Roman" w:cs="Times New Roman" w:eastAsia="Times New Roman" w:hAnsi="Times New Roman"/>
          <w:sz w:val="15"/>
          <w:szCs w:val="15"/>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F-3</w:t>
      </w:r>
      <w:r>
        <w:rPr>
          <w:rFonts w:ascii="Times New Roman" w:cs="Times New Roman" w:eastAsia="Times New Roman" w:hAnsi="Times New Roman"/>
          <w:sz w:val="15"/>
          <w:szCs w:val="15"/>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F-4</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F-5</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F-6</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F-7</w:t>
      </w:r>
      <w:r>
        <w:rPr>
          <w:rFonts w:ascii="Times New Roman" w:cs="Times New Roman" w:eastAsia="Times New Roman" w:hAnsi="Times New Roman"/>
          <w:sz w:val="15"/>
          <w:szCs w:val="15"/>
          <w:color w:val="auto"/>
        </w:rPr>
        <w:t>​</w:t>
      </w:r>
    </w:p>
    <w:p>
      <w:pPr>
        <w:spacing w:after="0" w:line="662" w:lineRule="exact"/>
        <w:rPr>
          <w:sz w:val="20"/>
          <w:szCs w:val="20"/>
          <w:color w:val="auto"/>
        </w:rPr>
      </w:pPr>
    </w:p>
    <w:p>
      <w:pPr>
        <w:sectPr>
          <w:pgSz w:w="11900" w:h="16838" w:orient="portrait"/>
          <w:cols w:equalWidth="0" w:num="2">
            <w:col w:w="7320" w:space="180"/>
            <w:col w:w="1519"/>
          </w:cols>
          <w:pgMar w:left="1440" w:top="106" w:right="1440"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5"/>
          <w:szCs w:val="15"/>
          <w:color w:val="0000EE"/>
        </w:rPr>
        <w:t>Condensed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-92710</wp:posOffset>
            </wp:positionV>
            <wp:extent cx="4241800" cy="977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41800" cy="97790"/>
                    </a:xfrm>
                    <a:prstGeom prst="rect">
                      <a:avLst/>
                    </a:prstGeom>
                    <a:noFill/>
                  </pic:spPr>
                </pic:pic>
              </a:graphicData>
            </a:graphic>
          </wp:anchor>
        </w:drawing>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Condensed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2717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41800" cy="27178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u w:val="single" w:color="auto"/>
          <w:color w:val="0000EE"/>
        </w:rPr>
        <w:t>Condensed Consolidated Statements of Changes in Convertible Preferred Stock and Stockholders’</w:t>
      </w:r>
    </w:p>
    <w:p>
      <w:pPr>
        <w:spacing w:after="0" w:line="14" w:lineRule="exact"/>
        <w:rPr>
          <w:sz w:val="20"/>
          <w:szCs w:val="20"/>
          <w:color w:val="auto"/>
        </w:rPr>
      </w:pPr>
    </w:p>
    <w:p>
      <w:pPr>
        <w:ind w:left="1320" w:hanging="156"/>
        <w:spacing w:after="0"/>
        <w:tabs>
          <w:tab w:leader="none" w:pos="132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Deficit</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Condensed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606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Notes</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F-35</w:t>
      </w:r>
      <w:r>
        <w:rPr>
          <w:rFonts w:ascii="Times New Roman" w:cs="Times New Roman" w:eastAsia="Times New Roman" w:hAnsi="Times New Roman"/>
          <w:sz w:val="15"/>
          <w:szCs w:val="15"/>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F-36</w:t>
      </w:r>
      <w:r>
        <w:rPr>
          <w:rFonts w:ascii="Times New Roman" w:cs="Times New Roman" w:eastAsia="Times New Roman" w:hAnsi="Times New Roman"/>
          <w:sz w:val="15"/>
          <w:szCs w:val="15"/>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F-37</w:t>
      </w:r>
      <w:r>
        <w:rPr>
          <w:rFonts w:ascii="Times New Roman" w:cs="Times New Roman" w:eastAsia="Times New Roman" w:hAnsi="Times New Roman"/>
          <w:sz w:val="15"/>
          <w:szCs w:val="15"/>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F-38</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F-39</w:t>
      </w:r>
      <w:r>
        <w:rPr>
          <w:rFonts w:ascii="Times New Roman" w:cs="Times New Roman" w:eastAsia="Times New Roman" w:hAnsi="Times New Roman"/>
          <w:sz w:val="15"/>
          <w:szCs w:val="15"/>
          <w:color w:val="auto"/>
        </w:rPr>
        <w:t>​</w:t>
      </w:r>
    </w:p>
    <w:p>
      <w:pPr>
        <w:sectPr>
          <w:pgSz w:w="11900" w:h="16838" w:orient="portrait"/>
          <w:cols w:equalWidth="0" w:num="2">
            <w:col w:w="7200" w:space="220"/>
            <w:col w:w="1599"/>
          </w:cols>
          <w:pgMar w:left="1440" w:top="106" w:right="1440" w:bottom="1440" w:gutter="0" w:footer="0" w:header="0"/>
          <w:type w:val="continuous"/>
        </w:sectPr>
      </w:pPr>
    </w:p>
    <w:bookmarkStart w:id="206" w:name="page207"/>
    <w:bookmarkEnd w:id="20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2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To the Shareholders and the Board of Directors of Zenas BioPharma, Inc. (formerly Zenas BioPharma Cayman Limited)</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26"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Zenas BioPharma, Inc. (the Company) as of December 31, 2023 and 2022, the related consolidated statements of operations and comprehensive loss, changes in convertible preferred stock and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 in conformity with U.S generally accepted accounting principles.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15"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We have served as the Company’s auditor since 2021.</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7" w:name="page208"/>
    <w:bookmarkEnd w:id="20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4"/>
                <w:szCs w:val="14"/>
                <w:color w:val="auto"/>
              </w:rPr>
            </w:pPr>
          </w:p>
        </w:tc>
        <w:tc>
          <w:tcPr>
            <w:tcW w:w="14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80" w:type="dxa"/>
            <w:vAlign w:val="bottom"/>
            <w:vMerge w:val="continue"/>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tcPr>
          <w:p>
            <w:pPr>
              <w:spacing w:after="0"/>
              <w:rPr>
                <w:sz w:val="15"/>
                <w:szCs w:val="15"/>
                <w:color w:val="auto"/>
              </w:rPr>
            </w:pPr>
          </w:p>
        </w:tc>
        <w:tc>
          <w:tcPr>
            <w:tcW w:w="38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56,857​ ​​​​$</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67,209​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2,947​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1,235​ ​</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59,804​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68,444​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193​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253​ ​</w:t>
            </w: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86​ ​​​​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7,276​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20"/>
                <w:szCs w:val="20"/>
                <w:color w:val="auto"/>
                <w:vertAlign w:val="superscript"/>
              </w:rPr>
              <w:t>$</w:t>
            </w:r>
          </w:p>
        </w:tc>
        <w:tc>
          <w:tcPr>
            <w:tcW w:w="72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2"/>
                <w:szCs w:val="12"/>
                <w:color w:val="auto"/>
              </w:rPr>
              <w:t xml:space="preserve">68,180​ </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6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2"/>
                <w:szCs w:val="12"/>
                <w:color w:val="auto"/>
              </w:rPr>
              <w:t xml:space="preserve">74,579​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44"/>
        </w:trPr>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Convertible Preferred Stock and Stockholders’ Deficit</w:t>
            </w:r>
          </w:p>
        </w:tc>
        <w:tc>
          <w:tcPr>
            <w:tcW w:w="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5080" w:type="dxa"/>
            <w:vAlign w:val="bottom"/>
            <w:vMerge w:val="continue"/>
          </w:tcPr>
          <w:p>
            <w:pPr>
              <w:spacing w:after="0"/>
              <w:rPr>
                <w:sz w:val="13"/>
                <w:szCs w:val="13"/>
                <w:color w:val="auto"/>
              </w:rPr>
            </w:pPr>
          </w:p>
        </w:tc>
        <w:tc>
          <w:tcPr>
            <w:tcW w:w="2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tcPr>
          <w:p>
            <w:pPr>
              <w:spacing w:after="0"/>
              <w:rPr>
                <w:sz w:val="13"/>
                <w:szCs w:val="13"/>
                <w:color w:val="auto"/>
              </w:rPr>
            </w:pPr>
          </w:p>
        </w:tc>
        <w:tc>
          <w:tcPr>
            <w:tcW w:w="30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3"/>
                <w:szCs w:val="13"/>
                <w:color w:val="auto"/>
              </w:rPr>
            </w:pPr>
          </w:p>
        </w:tc>
        <w:tc>
          <w:tcPr>
            <w:tcW w:w="3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Accounts payable (includes $21 and $1,934 owed to related parties,</w:t>
            </w: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5,396​​​​​$</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Accrued expenses (includes $404 and $3,672 owed to related parties,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17,306​​​​​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19,437​​</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23,258​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25,967​ ​</w:t>
            </w: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 at fair value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20,300​ ​​​​ ​</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43,815​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26,779​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7"/>
                <w:szCs w:val="17"/>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Series Seed convertible preferred stock, par value $0.0001 per share; 1,785,714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December 31, 2023 and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2022; liquidation preference of $1,000 as of December 31, 2023</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956​​​​​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Series A convertible preferred stock, par value $0.0001 per share; 17,589,380</w:t>
            </w: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December 31, 2023 and 2022;</w:t>
            </w: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liquidation preference of $56,071 as of December 31, 2023</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55,840​​​​​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Series B convertible preferred stock, par value $0.0001 per share; 81,242,587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and 77,052,632 shares authorized, issued and outstanding as of 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2023 and 2022, respectively; liquidation preference of $193,898 as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December 31, 2023</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193,290​​​​​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183,290​​</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deficit: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7"/>
                <w:szCs w:val="17"/>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Common stock, par value $0.0001 per share; 175,000,000 and 403,572,274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shares authorized as of December 31, 2023 and 2022, respectively;</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13,692,052 and 13,452,552 shares issued and outstanding as of 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2023 and 2022, respectively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4,644​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7"/>
                <w:szCs w:val="17"/>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37​ ​​​​ ​</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Accumulated deficit</w:t>
            </w:r>
          </w:p>
        </w:tc>
        <w:tc>
          <w:tcPr>
            <w:tcW w:w="16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(230,403)​​​​ ​ (193,279)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1640" w:type="dxa"/>
            <w:vAlign w:val="bottom"/>
            <w:gridSpan w:val="10"/>
          </w:tcPr>
          <w:p>
            <w:pPr>
              <w:ind w:left="20"/>
              <w:spacing w:after="0"/>
              <w:rPr>
                <w:sz w:val="20"/>
                <w:szCs w:val="20"/>
                <w:color w:val="auto"/>
              </w:rPr>
            </w:pPr>
            <w:r>
              <w:rPr>
                <w:rFonts w:ascii="Times New Roman" w:cs="Times New Roman" w:eastAsia="Times New Roman" w:hAnsi="Times New Roman"/>
                <w:sz w:val="15"/>
                <w:szCs w:val="15"/>
                <w:color w:val="auto"/>
              </w:rPr>
              <w:t>​​​ ​  (225,721)​​​​ ​  (192,286)​</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liabilities, convertible preferred stock and stockholders’ deficit</w:t>
            </w:r>
          </w:p>
        </w:tc>
        <w:tc>
          <w:tcPr>
            <w:tcW w:w="2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21"/>
                <w:szCs w:val="21"/>
                <w:color w:val="auto"/>
                <w:vertAlign w:val="superscript"/>
              </w:rPr>
              <w:t>$</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68,180​ </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74,579​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-4017645</wp:posOffset>
            </wp:positionV>
            <wp:extent cx="4241800" cy="1117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41800" cy="11176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-2559685</wp:posOffset>
            </wp:positionV>
            <wp:extent cx="4241800" cy="1257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-1276350</wp:posOffset>
            </wp:positionV>
            <wp:extent cx="4241800" cy="1257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-167005</wp:posOffset>
            </wp:positionV>
            <wp:extent cx="377444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-306070</wp:posOffset>
            </wp:positionV>
            <wp:extent cx="3492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-2692400</wp:posOffset>
            </wp:positionV>
            <wp:extent cx="3492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-2832100</wp:posOffset>
            </wp:positionV>
            <wp:extent cx="377444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-3201670</wp:posOffset>
            </wp:positionV>
            <wp:extent cx="3492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-4164330</wp:posOffset>
            </wp:positionV>
            <wp:extent cx="3492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-4771390</wp:posOffset>
            </wp:positionV>
            <wp:extent cx="377444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-5259705</wp:posOffset>
            </wp:positionV>
            <wp:extent cx="4241800" cy="1257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8" w:name="page209"/>
    <w:bookmarkEnd w:id="20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Loss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27"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Collaboration revenue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1020" w:type="dxa"/>
            <w:vAlign w:val="bottom"/>
            <w:gridSpan w:val="3"/>
          </w:tcPr>
          <w:p>
            <w:pPr>
              <w:jc w:val="right"/>
              <w:ind w:right="120"/>
              <w:spacing w:after="0" w:line="220" w:lineRule="exact"/>
              <w:rPr>
                <w:sz w:val="20"/>
                <w:szCs w:val="20"/>
                <w:color w:val="auto"/>
              </w:rPr>
            </w:pPr>
            <w:r>
              <w:rPr>
                <w:rFonts w:ascii="Times New Roman" w:cs="Times New Roman" w:eastAsia="Times New Roman" w:hAnsi="Times New Roman"/>
                <w:sz w:val="13"/>
                <w:szCs w:val="13"/>
                <w:color w:val="auto"/>
              </w:rPr>
              <w:t xml:space="preserve">50,000​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w:t>
            </w: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revenue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50,000​ ​​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Research and development (includes $3,041 and $8,149 from related</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parties, respectively)</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60,033​ ​​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61,689​ ​​</w:t>
            </w:r>
          </w:p>
        </w:tc>
        <w:tc>
          <w:tcPr>
            <w:tcW w:w="0" w:type="dxa"/>
            <w:vAlign w:val="bottom"/>
          </w:tcPr>
          <w:p>
            <w:pPr>
              <w:spacing w:after="0"/>
              <w:rPr>
                <w:sz w:val="1"/>
                <w:szCs w:val="1"/>
                <w:color w:val="auto"/>
              </w:rPr>
            </w:pPr>
          </w:p>
        </w:tc>
      </w:tr>
      <w:tr>
        <w:trPr>
          <w:trHeight w:val="183"/>
        </w:trPr>
        <w:tc>
          <w:tcPr>
            <w:tcW w:w="4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General and administrative (includes $8 and $103 from related parties,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17,114​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13,510​ ​​</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380" w:type="dxa"/>
            <w:vAlign w:val="bottom"/>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1020" w:type="dxa"/>
            <w:vAlign w:val="bottom"/>
            <w:gridSpan w:val="3"/>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7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80" w:type="dxa"/>
            <w:vAlign w:val="bottom"/>
            <w:gridSpan w:val="3"/>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020" w:type="dxa"/>
            <w:vAlign w:val="bottom"/>
            <w:gridSpan w:val="3"/>
          </w:tcPr>
          <w:p>
            <w:pPr>
              <w:jc w:val="right"/>
              <w:ind w:right="80"/>
              <w:spacing w:after="0" w:line="211" w:lineRule="exact"/>
              <w:rPr>
                <w:sz w:val="20"/>
                <w:szCs w:val="20"/>
                <w:color w:val="auto"/>
              </w:rPr>
            </w:pPr>
            <w:r>
              <w:rPr>
                <w:rFonts w:ascii="Times New Roman" w:cs="Times New Roman" w:eastAsia="Times New Roman" w:hAnsi="Times New Roman"/>
                <w:sz w:val="13"/>
                <w:szCs w:val="13"/>
                <w:color w:val="auto"/>
              </w:rPr>
              <w:t xml:space="preserve">87,147​ </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74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76,199​ </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380" w:type="dxa"/>
            <w:vAlign w:val="bottom"/>
            <w:gridSpan w:val="3"/>
            <w:shd w:val="clear" w:color="auto" w:fill="CCEEFF"/>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(37,147)</w:t>
            </w:r>
          </w:p>
        </w:tc>
        <w:tc>
          <w:tcPr>
            <w:tcW w:w="360" w:type="dxa"/>
            <w:vAlign w:val="bottom"/>
            <w:gridSpan w:val="2"/>
            <w:shd w:val="clear" w:color="auto" w:fill="CCEEFF"/>
          </w:tcPr>
          <w:p>
            <w:pPr>
              <w:jc w:val="right"/>
              <w:ind w:right="8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Fair value adjustments to convertible notes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Fair value adjustments to warrant liability</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(13,268)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income, net</w:t>
            </w:r>
          </w:p>
        </w:tc>
        <w:tc>
          <w:tcPr>
            <w:tcW w:w="380" w:type="dxa"/>
            <w:vAlign w:val="bottom"/>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360" w:type="dxa"/>
            <w:vAlign w:val="bottom"/>
            <w:gridSpan w:val="2"/>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380" w:type="dxa"/>
            <w:vAlign w:val="bottom"/>
            <w:gridSpan w:val="3"/>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360" w:type="dxa"/>
            <w:vAlign w:val="bottom"/>
            <w:gridSpan w:val="2"/>
          </w:tcPr>
          <w:p>
            <w:pPr>
              <w:jc w:val="right"/>
              <w:ind w:right="8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(43,083)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(36,823)</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380" w:type="dxa"/>
            <w:vAlign w:val="bottom"/>
            <w:gridSpan w:val="3"/>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36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380" w:type="dxa"/>
            <w:vAlign w:val="bottom"/>
            <w:gridSpan w:val="3"/>
            <w:shd w:val="clear" w:color="auto" w:fill="CCEEFF"/>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(37,124)</w:t>
            </w:r>
          </w:p>
        </w:tc>
        <w:tc>
          <w:tcPr>
            <w:tcW w:w="36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line="154" w:lineRule="exact"/>
              <w:rPr>
                <w:sz w:val="20"/>
                <w:szCs w:val="20"/>
                <w:color w:val="auto"/>
              </w:rPr>
            </w:pPr>
            <w:r>
              <w:rPr>
                <w:rFonts w:ascii="Times New Roman" w:cs="Times New Roman" w:eastAsia="Times New Roman" w:hAnsi="Times New Roman"/>
                <w:sz w:val="15"/>
                <w:szCs w:val="15"/>
                <w:color w:val="auto"/>
              </w:rPr>
              <w:t>Net loss per share attributable to common stockholders−basic and</w:t>
            </w: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540" w:type="dxa"/>
            <w:vAlign w:val="bottom"/>
            <w:vMerge w:val="continue"/>
          </w:tcPr>
          <w:p>
            <w:pPr>
              <w:spacing w:after="0"/>
              <w:rPr>
                <w:sz w:val="9"/>
                <w:szCs w:val="9"/>
                <w:color w:val="auto"/>
              </w:rPr>
            </w:pPr>
          </w:p>
        </w:tc>
        <w:tc>
          <w:tcPr>
            <w:tcW w:w="380" w:type="dxa"/>
            <w:vAlign w:val="bottom"/>
            <w:gridSpan w:val="3"/>
            <w:vMerge w:val="restart"/>
          </w:tcPr>
          <w:p>
            <w:pPr>
              <w:ind w:left="40"/>
              <w:spacing w:after="0" w:line="31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360" w:type="dxa"/>
            <w:vAlign w:val="bottom"/>
            <w:gridSpan w:val="2"/>
            <w:vMerge w:val="restart"/>
          </w:tcPr>
          <w:p>
            <w:pPr>
              <w:jc w:val="right"/>
              <w:ind w:right="120"/>
              <w:spacing w:after="0" w:line="31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38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common stock outstanding−basic and diluted</w:t>
            </w:r>
          </w:p>
        </w:tc>
        <w:tc>
          <w:tcPr>
            <w:tcW w:w="21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 xml:space="preserve"> ​  13,295,456​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 xml:space="preserve"> ​  12,956,618​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1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40" w:type="dxa"/>
            <w:vAlign w:val="bottom"/>
            <w:vMerge w:val="continue"/>
          </w:tcPr>
          <w:p>
            <w:pPr>
              <w:spacing w:after="0"/>
              <w:rPr>
                <w:sz w:val="12"/>
                <w:szCs w:val="12"/>
                <w:color w:val="auto"/>
              </w:rPr>
            </w:pPr>
          </w:p>
        </w:tc>
        <w:tc>
          <w:tcPr>
            <w:tcW w:w="38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(37,124)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1"/>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380" w:type="dxa"/>
            <w:vAlign w:val="bottom"/>
            <w:gridSpan w:val="3"/>
            <w:shd w:val="clear" w:color="auto" w:fill="CCEEFF"/>
          </w:tcPr>
          <w:p>
            <w:pPr>
              <w:ind w:left="40"/>
              <w:spacing w:after="0" w:line="231"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w:t>
            </w:r>
          </w:p>
        </w:tc>
        <w:tc>
          <w:tcPr>
            <w:tcW w:w="1020" w:type="dxa"/>
            <w:vAlign w:val="bottom"/>
            <w:gridSpan w:val="3"/>
            <w:shd w:val="clear" w:color="auto" w:fill="CCEEFF"/>
          </w:tcPr>
          <w:p>
            <w:pPr>
              <w:jc w:val="right"/>
              <w:ind w:right="80"/>
              <w:spacing w:after="0" w:line="231" w:lineRule="exact"/>
              <w:rPr>
                <w:sz w:val="20"/>
                <w:szCs w:val="20"/>
                <w:color w:val="auto"/>
              </w:rPr>
            </w:pPr>
            <w:r>
              <w:rPr>
                <w:rFonts w:ascii="Times New Roman" w:cs="Times New Roman" w:eastAsia="Times New Roman" w:hAnsi="Times New Roman"/>
                <w:sz w:val="14"/>
                <w:szCs w:val="14"/>
                <w:color w:val="auto"/>
              </w:rPr>
              <w:t xml:space="preserve">78​ </w:t>
            </w: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4"/>
                <w:szCs w:val="14"/>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380" w:type="dxa"/>
            <w:vAlign w:val="bottom"/>
            <w:gridSpan w:val="3"/>
          </w:tcPr>
          <w:p>
            <w:pPr>
              <w:ind w:left="4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(37,046)</w:t>
            </w:r>
          </w:p>
        </w:tc>
        <w:tc>
          <w:tcPr>
            <w:tcW w:w="360" w:type="dxa"/>
            <w:vAlign w:val="bottom"/>
            <w:gridSpan w:val="2"/>
          </w:tcPr>
          <w:p>
            <w:pPr>
              <w:jc w:val="right"/>
              <w:ind w:right="12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(119,323)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-1303655</wp:posOffset>
            </wp:positionV>
            <wp:extent cx="4889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-1303655</wp:posOffset>
            </wp:positionV>
            <wp:extent cx="364172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-1583055</wp:posOffset>
            </wp:positionV>
            <wp:extent cx="4889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-1583055</wp:posOffset>
            </wp:positionV>
            <wp:extent cx="364172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-2419985</wp:posOffset>
            </wp:positionV>
            <wp:extent cx="4889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-2419985</wp:posOffset>
            </wp:positionV>
            <wp:extent cx="364172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-3466465</wp:posOffset>
            </wp:positionV>
            <wp:extent cx="4889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-3466465</wp:posOffset>
            </wp:positionV>
            <wp:extent cx="364172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-3745865</wp:posOffset>
            </wp:positionV>
            <wp:extent cx="4889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-3745865</wp:posOffset>
            </wp:positionV>
            <wp:extent cx="363474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9" w:name="page210"/>
    <w:bookmarkEnd w:id="209"/>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Convertible Preferred Stock and Stockholders’ Deficit</w:t>
      </w:r>
    </w:p>
    <w:p>
      <w:pPr>
        <w:spacing w:after="0" w:line="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16"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8"/>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3"/>
              </w:rPr>
              <w:t>Convertible Preferred Stock</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vMerge w:val="restart"/>
          </w:tcPr>
          <w:p>
            <w:pPr>
              <w:jc w:val="center"/>
              <w:ind w:right="65"/>
              <w:spacing w:after="0" w:line="124" w:lineRule="exact"/>
              <w:rPr>
                <w:sz w:val="20"/>
                <w:szCs w:val="20"/>
                <w:color w:val="auto"/>
              </w:rPr>
            </w:pPr>
            <w:r>
              <w:rPr>
                <w:rFonts w:ascii="Times New Roman" w:cs="Times New Roman" w:eastAsia="Times New Roman" w:hAnsi="Times New Roman"/>
                <w:sz w:val="12"/>
                <w:szCs w:val="12"/>
                <w:b w:val="1"/>
                <w:bCs w:val="1"/>
                <w:color w:val="auto"/>
                <w:w w:val="87"/>
              </w:rPr>
              <w:t>Additional</w:t>
            </w:r>
          </w:p>
        </w:tc>
        <w:tc>
          <w:tcPr>
            <w:tcW w:w="500" w:type="dxa"/>
            <w:vAlign w:val="bottom"/>
            <w:gridSpan w:val="2"/>
            <w:vMerge w:val="restart"/>
          </w:tcPr>
          <w:p>
            <w:pPr>
              <w:jc w:val="center"/>
              <w:ind w:left="144"/>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2"/>
                <w:szCs w:val="12"/>
                <w:b w:val="1"/>
                <w:bCs w:val="1"/>
                <w:color w:val="auto"/>
                <w:w w:val="93"/>
              </w:rPr>
              <w:t>Series Seed</w:t>
            </w:r>
          </w:p>
        </w:tc>
        <w:tc>
          <w:tcPr>
            <w:tcW w:w="180" w:type="dxa"/>
            <w:vAlign w:val="bottom"/>
          </w:tcPr>
          <w:p>
            <w:pPr>
              <w:spacing w:after="0"/>
              <w:rPr>
                <w:sz w:val="6"/>
                <w:szCs w:val="6"/>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w w:val="84"/>
              </w:rPr>
              <w:t>Series A</w:t>
            </w:r>
          </w:p>
        </w:tc>
        <w:tc>
          <w:tcPr>
            <w:tcW w:w="340" w:type="dxa"/>
            <w:vAlign w:val="bottom"/>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w w:val="91"/>
              </w:rPr>
              <w:t>Series B</w:t>
            </w:r>
          </w:p>
        </w:tc>
        <w:tc>
          <w:tcPr>
            <w:tcW w:w="340" w:type="dxa"/>
            <w:vAlign w:val="bottom"/>
          </w:tcPr>
          <w:p>
            <w:pPr>
              <w:spacing w:after="0"/>
              <w:rPr>
                <w:sz w:val="6"/>
                <w:szCs w:val="6"/>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w w:val="96"/>
              </w:rPr>
              <w:t>Common Stock</w:t>
            </w:r>
          </w:p>
        </w:tc>
        <w:tc>
          <w:tcPr>
            <w:tcW w:w="80" w:type="dxa"/>
            <w:vAlign w:val="bottom"/>
          </w:tcPr>
          <w:p>
            <w:pPr>
              <w:spacing w:after="0"/>
              <w:rPr>
                <w:sz w:val="6"/>
                <w:szCs w:val="6"/>
                <w:color w:val="auto"/>
              </w:rPr>
            </w:pPr>
          </w:p>
        </w:tc>
        <w:tc>
          <w:tcPr>
            <w:tcW w:w="12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3"/>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gridSpan w:val="3"/>
            <w:vMerge w:val="restart"/>
          </w:tcPr>
          <w:p>
            <w:pPr>
              <w:jc w:val="center"/>
              <w:ind w:right="105"/>
              <w:spacing w:after="0" w:line="99" w:lineRule="exact"/>
              <w:rPr>
                <w:sz w:val="20"/>
                <w:szCs w:val="20"/>
                <w:color w:val="auto"/>
              </w:rPr>
            </w:pPr>
            <w:r>
              <w:rPr>
                <w:rFonts w:ascii="Times New Roman" w:cs="Times New Roman" w:eastAsia="Times New Roman" w:hAnsi="Times New Roman"/>
                <w:sz w:val="11"/>
                <w:szCs w:val="11"/>
                <w:b w:val="1"/>
                <w:bCs w:val="1"/>
                <w:color w:val="auto"/>
              </w:rPr>
              <w:t>Paid-in</w:t>
            </w:r>
          </w:p>
        </w:tc>
        <w:tc>
          <w:tcPr>
            <w:tcW w:w="740" w:type="dxa"/>
            <w:vAlign w:val="bottom"/>
            <w:gridSpan w:val="3"/>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vMerge w:val="restart"/>
          </w:tcPr>
          <w:p>
            <w:pPr>
              <w:spacing w:after="0"/>
              <w:rPr>
                <w:sz w:val="9"/>
                <w:szCs w:val="9"/>
                <w:color w:val="auto"/>
              </w:rPr>
            </w:pPr>
          </w:p>
        </w:tc>
        <w:tc>
          <w:tcPr>
            <w:tcW w:w="60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2"/>
              </w:rPr>
              <w:t>Accumulated</w:t>
            </w:r>
          </w:p>
        </w:tc>
        <w:tc>
          <w:tcPr>
            <w:tcW w:w="80" w:type="dxa"/>
            <w:vAlign w:val="bottom"/>
            <w:vMerge w:val="restart"/>
          </w:tcPr>
          <w:p>
            <w:pPr>
              <w:spacing w:after="0"/>
              <w:rPr>
                <w:sz w:val="9"/>
                <w:szCs w:val="9"/>
                <w:color w:val="auto"/>
              </w:rPr>
            </w:pPr>
          </w:p>
        </w:tc>
        <w:tc>
          <w:tcPr>
            <w:tcW w:w="700" w:type="dxa"/>
            <w:vAlign w:val="bottom"/>
            <w:gridSpan w:val="5"/>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20" w:type="dxa"/>
            <w:vAlign w:val="bottom"/>
            <w:vMerge w:val="continue"/>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70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gridSpan w:val="5"/>
          </w:tcPr>
          <w:p>
            <w:pPr>
              <w:jc w:val="right"/>
              <w:ind w:right="1"/>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Amount </w:t>
            </w:r>
            <w:r>
              <w:rPr>
                <w:rFonts w:ascii="Times New Roman" w:cs="Times New Roman" w:eastAsia="Times New Roman" w:hAnsi="Times New Roman"/>
                <w:sz w:val="21"/>
                <w:szCs w:val="21"/>
                <w:b w:val="1"/>
                <w:bCs w:val="1"/>
                <w:color w:val="auto"/>
                <w:vertAlign w:val="subscript"/>
              </w:rPr>
              <w:t>​​</w:t>
            </w:r>
          </w:p>
        </w:tc>
        <w:tc>
          <w:tcPr>
            <w:tcW w:w="108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 </w:t>
            </w:r>
            <w:r>
              <w:rPr>
                <w:rFonts w:ascii="Times New Roman" w:cs="Times New Roman" w:eastAsia="Times New Roman" w:hAnsi="Times New Roman"/>
                <w:sz w:val="21"/>
                <w:szCs w:val="21"/>
                <w:b w:val="1"/>
                <w:bCs w:val="1"/>
                <w:color w:val="auto"/>
                <w:vertAlign w:val="subscript"/>
              </w:rPr>
              <w:t>​​</w:t>
            </w:r>
          </w:p>
        </w:tc>
        <w:tc>
          <w:tcPr>
            <w:tcW w:w="1260" w:type="dxa"/>
            <w:vAlign w:val="bottom"/>
            <w:gridSpan w:val="6"/>
          </w:tcPr>
          <w:p>
            <w:pPr>
              <w:jc w:val="right"/>
              <w:ind w:right="54"/>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 </w:t>
            </w:r>
            <w:r>
              <w:rPr>
                <w:rFonts w:ascii="Times New Roman" w:cs="Times New Roman" w:eastAsia="Times New Roman" w:hAnsi="Times New Roman"/>
                <w:sz w:val="21"/>
                <w:szCs w:val="21"/>
                <w:b w:val="1"/>
                <w:bCs w:val="1"/>
                <w:color w:val="auto"/>
                <w:vertAlign w:val="subscript"/>
              </w:rPr>
              <w:t>​​</w:t>
            </w:r>
          </w:p>
        </w:tc>
        <w:tc>
          <w:tcPr>
            <w:tcW w:w="10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Amount </w:t>
            </w:r>
            <w:r>
              <w:rPr>
                <w:rFonts w:ascii="Times New Roman" w:cs="Times New Roman" w:eastAsia="Times New Roman" w:hAnsi="Times New Roman"/>
                <w:sz w:val="21"/>
                <w:szCs w:val="21"/>
                <w:b w:val="1"/>
                <w:bCs w:val="1"/>
                <w:color w:val="auto"/>
                <w:vertAlign w:val="subscript"/>
              </w:rPr>
              <w:t>​​</w:t>
            </w:r>
          </w:p>
        </w:tc>
        <w:tc>
          <w:tcPr>
            <w:tcW w:w="600" w:type="dxa"/>
            <w:vAlign w:val="bottom"/>
            <w:gridSpan w:val="3"/>
          </w:tcPr>
          <w:p>
            <w:pPr>
              <w:jc w:val="center"/>
              <w:ind w:right="65"/>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74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500" w:type="dxa"/>
            <w:vAlign w:val="bottom"/>
          </w:tcPr>
          <w:p>
            <w:pPr>
              <w:jc w:val="center"/>
              <w:ind w:right="84"/>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20" w:type="dxa"/>
            <w:vAlign w:val="bottom"/>
            <w:vMerge w:val="continue"/>
            <w:shd w:val="clear" w:color="auto" w:fill="CCEEFF"/>
          </w:tcPr>
          <w:p>
            <w:pPr>
              <w:spacing w:after="0"/>
              <w:rPr>
                <w:sz w:val="14"/>
                <w:szCs w:val="14"/>
                <w:color w:val="auto"/>
              </w:rPr>
            </w:pPr>
          </w:p>
        </w:tc>
        <w:tc>
          <w:tcPr>
            <w:tcW w:w="68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​1,785,714</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1520" w:type="dxa"/>
            <w:vAlign w:val="bottom"/>
            <w:gridSpan w:val="8"/>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956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​17,589,380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55,840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700" w:type="dxa"/>
            <w:vAlign w:val="bottom"/>
            <w:tcBorders>
              <w:left w:val="single" w:sz="8" w:color="CCEEFF"/>
            </w:tcBorders>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​13,452,552</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1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00" w:type="dxa"/>
            <w:vAlign w:val="bottom"/>
            <w:tcBorders>
              <w:righ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42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color w:val="auto"/>
              </w:rPr>
              <w:t>296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500" w:type="dxa"/>
            <w:vAlign w:val="bottom"/>
            <w:gridSpan w:val="2"/>
            <w:shd w:val="clear" w:color="auto" w:fill="CCEEFF"/>
          </w:tcPr>
          <w:p>
            <w:pPr>
              <w:ind w:left="400"/>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380" w:type="dxa"/>
            <w:vAlign w:val="bottom"/>
            <w:tcBorders>
              <w:righ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color w:val="auto"/>
                <w:w w:val="93"/>
              </w:rPr>
              <w:t>​</w:t>
            </w:r>
            <w:r>
              <w:rPr>
                <w:rFonts w:ascii="Times New Roman" w:cs="Times New Roman" w:eastAsia="Times New Roman" w:hAnsi="Times New Roman"/>
                <w:sz w:val="19"/>
                <w:szCs w:val="19"/>
                <w:color w:val="auto"/>
                <w:w w:val="93"/>
                <w:vertAlign w:val="superscript"/>
              </w:rPr>
              <w:t>$</w:t>
            </w:r>
          </w:p>
        </w:tc>
        <w:tc>
          <w:tcPr>
            <w:tcW w:w="660" w:type="dxa"/>
            <w:vAlign w:val="bottom"/>
            <w:gridSpan w:val="3"/>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0"/>
                <w:szCs w:val="10"/>
                <w:color w:val="auto"/>
              </w:rPr>
              <w:t>(73,997)</w:t>
            </w:r>
            <w:r>
              <w:rPr>
                <w:rFonts w:ascii="Times New Roman" w:cs="Times New Roman" w:eastAsia="Times New Roman" w:hAnsi="Times New Roman"/>
                <w:sz w:val="19"/>
                <w:szCs w:val="19"/>
                <w:color w:val="auto"/>
                <w:vertAlign w:val="subscript"/>
              </w:rPr>
              <w:t>​​​</w:t>
            </w: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(73,700)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B convertible preferred stock, net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of issuance costs of $608</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center"/>
              <w:ind w:left="16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6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​​​25,139,732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60" w:type="dxa"/>
            <w:vAlign w:val="bottom"/>
          </w:tcPr>
          <w:p>
            <w:pPr>
              <w:spacing w:after="0"/>
              <w:rPr>
                <w:sz w:val="14"/>
                <w:szCs w:val="14"/>
                <w:color w:val="auto"/>
              </w:rPr>
            </w:pPr>
          </w:p>
        </w:tc>
        <w:tc>
          <w:tcPr>
            <w:tcW w:w="50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59,391</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 ​</w:t>
            </w:r>
          </w:p>
        </w:tc>
        <w:tc>
          <w:tcPr>
            <w:tcW w:w="660" w:type="dxa"/>
            <w:vAlign w:val="bottom"/>
            <w:gridSpan w:val="3"/>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Series B convertible preferred stock,</w:t>
            </w: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0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upon conversion of debt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center"/>
              <w:ind w:left="16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​​​37,471,107</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2"/>
                <w:szCs w:val="12"/>
                <w:color w:val="auto"/>
              </w:rPr>
              <w:t>89,431</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 ​</w:t>
            </w:r>
          </w:p>
        </w:tc>
        <w:tc>
          <w:tcPr>
            <w:tcW w:w="660" w:type="dxa"/>
            <w:vAlign w:val="bottom"/>
            <w:gridSpan w:val="3"/>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B convertible preferred stock,</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upon exercise of warrant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center"/>
              <w:ind w:left="16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6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​​​14,441,793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60" w:type="dxa"/>
            <w:vAlign w:val="bottom"/>
          </w:tcPr>
          <w:p>
            <w:pPr>
              <w:spacing w:after="0"/>
              <w:rPr>
                <w:sz w:val="14"/>
                <w:szCs w:val="14"/>
                <w:color w:val="auto"/>
              </w:rPr>
            </w:pPr>
          </w:p>
        </w:tc>
        <w:tc>
          <w:tcPr>
            <w:tcW w:w="50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34,468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 ​</w:t>
            </w:r>
          </w:p>
        </w:tc>
        <w:tc>
          <w:tcPr>
            <w:tcW w:w="660" w:type="dxa"/>
            <w:vAlign w:val="bottom"/>
            <w:gridSpan w:val="3"/>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0" w:type="dxa"/>
            <w:vAlign w:val="bottom"/>
            <w:tcBorders>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580" w:type="dxa"/>
            <w:vAlign w:val="bottom"/>
            <w:gridSpan w:val="2"/>
            <w:shd w:val="clear" w:color="auto" w:fill="CCEEFF"/>
          </w:tcPr>
          <w:p>
            <w:pPr>
              <w:jc w:val="center"/>
              <w:ind w:left="164"/>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320" w:type="dxa"/>
            <w:vAlign w:val="bottom"/>
            <w:tcBorders>
              <w:right w:val="single" w:sz="8" w:color="CCEEFF"/>
            </w:tcBorders>
            <w:gridSpan w:val="2"/>
            <w:shd w:val="clear" w:color="auto" w:fill="CCEEFF"/>
          </w:tcPr>
          <w:p>
            <w:pPr>
              <w:ind w:left="6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660" w:type="dxa"/>
            <w:vAlign w:val="bottom"/>
            <w:gridSpan w:val="3"/>
            <w:shd w:val="clear" w:color="auto" w:fill="CCEEFF"/>
          </w:tcPr>
          <w:p>
            <w:pPr>
              <w:ind w:left="36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color w:val="auto"/>
                <w:vertAlign w:val="superscript"/>
              </w:rPr>
              <w:t>​</w:t>
            </w:r>
          </w:p>
        </w:tc>
        <w:tc>
          <w:tcPr>
            <w:tcW w:w="420" w:type="dxa"/>
            <w:vAlign w:val="bottom"/>
            <w:gridSpan w:val="2"/>
            <w:shd w:val="clear" w:color="auto" w:fill="CCEEFF"/>
          </w:tcPr>
          <w:p>
            <w:pPr>
              <w:ind w:left="22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700" w:type="dxa"/>
            <w:vAlign w:val="bottom"/>
            <w:tcBorders>
              <w:left w:val="single" w:sz="8" w:color="CCEEFF"/>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color w:val="auto"/>
                <w:vertAlign w:val="superscript"/>
              </w:rPr>
              <w:t>​</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4"/>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680" w:type="dxa"/>
            <w:vAlign w:val="bottom"/>
            <w:gridSpan w:val="2"/>
            <w:shd w:val="clear" w:color="auto" w:fill="CCEEFF"/>
          </w:tcPr>
          <w:p>
            <w:pPr>
              <w:jc w:val="right"/>
              <w:ind w:right="14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360" w:type="dxa"/>
            <w:vAlign w:val="bottom"/>
            <w:tcBorders>
              <w:right w:val="single" w:sz="8" w:color="CCEEFF"/>
            </w:tcBorders>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420" w:type="dxa"/>
            <w:vAlign w:val="bottom"/>
            <w:tcBorders>
              <w:right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1"/>
                <w:szCs w:val="11"/>
                <w:color w:val="auto"/>
              </w:rPr>
              <w:t>737</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color w:val="auto"/>
                <w:vertAlign w:val="subscript"/>
              </w:rPr>
              <w:t>​​</w:t>
            </w:r>
          </w:p>
        </w:tc>
        <w:tc>
          <w:tcPr>
            <w:tcW w:w="500" w:type="dxa"/>
            <w:vAlign w:val="bottom"/>
            <w:gridSpan w:val="2"/>
            <w:shd w:val="clear" w:color="auto" w:fill="CCEEFF"/>
          </w:tcPr>
          <w:p>
            <w:pPr>
              <w:ind w:left="400"/>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380" w:type="dxa"/>
            <w:vAlign w:val="bottom"/>
            <w:tcBorders>
              <w:right w:val="single" w:sz="8" w:color="CCEEFF"/>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660" w:type="dxa"/>
            <w:vAlign w:val="bottom"/>
            <w:gridSpan w:val="3"/>
            <w:shd w:val="clear" w:color="auto" w:fill="CCEEFF"/>
          </w:tcPr>
          <w:p>
            <w:pPr>
              <w:jc w:val="right"/>
              <w:ind w:right="27"/>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tcPr>
          <w:p>
            <w:pPr>
              <w:spacing w:after="0"/>
              <w:rPr>
                <w:sz w:val="16"/>
                <w:szCs w:val="16"/>
                <w:color w:val="auto"/>
              </w:rPr>
            </w:pPr>
          </w:p>
        </w:tc>
        <w:tc>
          <w:tcPr>
            <w:tcW w:w="500" w:type="dxa"/>
            <w:vAlign w:val="bottom"/>
            <w:gridSpan w:val="3"/>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36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500" w:type="dxa"/>
            <w:vAlign w:val="bottom"/>
            <w:gridSpan w:val="2"/>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11"/>
                <w:szCs w:val="11"/>
                <w:color w:val="auto"/>
              </w:rPr>
              <w:t>(119,282)</w:t>
            </w:r>
            <w:r>
              <w:rPr>
                <w:rFonts w:ascii="Times New Roman" w:cs="Times New Roman" w:eastAsia="Times New Roman" w:hAnsi="Times New Roman"/>
                <w:sz w:val="21"/>
                <w:szCs w:val="21"/>
                <w:color w:val="auto"/>
                <w:vertAlign w:val="subscript"/>
              </w:rPr>
              <w:t>​​​</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(119,282)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00" w:type="dxa"/>
            <w:vAlign w:val="bottom"/>
            <w:tcBorders>
              <w:right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tcBorders>
              <w:right w:val="single" w:sz="8" w:color="CCEEFF"/>
            </w:tcBorders>
            <w:gridSpan w:val="2"/>
            <w:shd w:val="clear" w:color="auto" w:fill="CCEEFF"/>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tcBorders>
              <w:lef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shd w:val="clear" w:color="auto" w:fill="CCEEFF"/>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360" w:type="dxa"/>
            <w:vAlign w:val="bottom"/>
            <w:tcBorders>
              <w:right w:val="single" w:sz="8" w:color="CCEEFF"/>
            </w:tcBorders>
            <w:gridSpan w:val="3"/>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Borders>
              <w:right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(41)</w:t>
            </w:r>
            <w:r>
              <w:rPr>
                <w:rFonts w:ascii="Times New Roman" w:cs="Times New Roman" w:eastAsia="Times New Roman" w:hAnsi="Times New Roman"/>
                <w:sz w:val="21"/>
                <w:szCs w:val="21"/>
                <w:color w:val="auto"/>
                <w:vertAlign w:val="subscript"/>
              </w:rPr>
              <w:t>​​​</w:t>
            </w:r>
          </w:p>
        </w:tc>
        <w:tc>
          <w:tcPr>
            <w:tcW w:w="10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680" w:type="dxa"/>
            <w:vAlign w:val="bottom"/>
            <w:gridSpan w:val="3"/>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​1,785,714</w:t>
            </w:r>
            <w:r>
              <w:rPr>
                <w:rFonts w:ascii="Times New Roman" w:cs="Times New Roman" w:eastAsia="Times New Roman" w:hAnsi="Times New Roman"/>
                <w:sz w:val="20"/>
                <w:szCs w:val="20"/>
                <w:color w:val="auto"/>
                <w:vertAlign w:val="subscript"/>
              </w:rPr>
              <w:t>​​​</w:t>
            </w:r>
          </w:p>
        </w:tc>
        <w:tc>
          <w:tcPr>
            <w:tcW w:w="12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980" w:type="dxa"/>
            <w:vAlign w:val="bottom"/>
            <w:gridSpan w:val="5"/>
          </w:tcPr>
          <w:p>
            <w:pPr>
              <w:ind w:left="20"/>
              <w:spacing w:after="0" w:line="178" w:lineRule="exact"/>
              <w:rPr>
                <w:sz w:val="20"/>
                <w:szCs w:val="20"/>
                <w:color w:val="auto"/>
              </w:rPr>
            </w:pPr>
            <w:r>
              <w:rPr>
                <w:rFonts w:ascii="Times New Roman" w:cs="Times New Roman" w:eastAsia="Times New Roman" w:hAnsi="Times New Roman"/>
                <w:sz w:val="11"/>
                <w:szCs w:val="11"/>
                <w:color w:val="auto"/>
              </w:rPr>
              <w:t>956</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​17,589,380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2360" w:type="dxa"/>
            <w:vAlign w:val="bottom"/>
            <w:gridSpan w:val="10"/>
          </w:tcPr>
          <w:p>
            <w:pPr>
              <w:jc w:val="right"/>
              <w:ind w:right="140"/>
              <w:spacing w:after="0" w:line="178" w:lineRule="exact"/>
              <w:rPr>
                <w:sz w:val="20"/>
                <w:szCs w:val="20"/>
                <w:color w:val="auto"/>
              </w:rPr>
            </w:pPr>
            <w:r>
              <w:rPr>
                <w:rFonts w:ascii="Times New Roman" w:cs="Times New Roman" w:eastAsia="Times New Roman" w:hAnsi="Times New Roman"/>
                <w:sz w:val="11"/>
                <w:szCs w:val="11"/>
                <w:color w:val="auto"/>
              </w:rPr>
              <w:t>55,840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​77,052,632</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183,290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​13,452,552</w:t>
            </w:r>
            <w:r>
              <w:rPr>
                <w:rFonts w:ascii="Times New Roman" w:cs="Times New Roman" w:eastAsia="Times New Roman" w:hAnsi="Times New Roman"/>
                <w:sz w:val="20"/>
                <w:szCs w:val="20"/>
                <w:color w:val="auto"/>
                <w:vertAlign w:val="subscript"/>
              </w:rPr>
              <w:t>​​​</w:t>
            </w:r>
          </w:p>
        </w:tc>
        <w:tc>
          <w:tcPr>
            <w:tcW w:w="16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2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line="178" w:lineRule="exact"/>
              <w:rPr>
                <w:sz w:val="20"/>
                <w:szCs w:val="20"/>
                <w:color w:val="auto"/>
              </w:rPr>
            </w:pPr>
            <w:r>
              <w:rPr>
                <w:rFonts w:ascii="Times New Roman" w:cs="Times New Roman" w:eastAsia="Times New Roman" w:hAnsi="Times New Roman"/>
                <w:sz w:val="11"/>
                <w:szCs w:val="11"/>
                <w:color w:val="auto"/>
              </w:rPr>
              <w:t>  1,033</w:t>
            </w:r>
            <w:r>
              <w:rPr>
                <w:rFonts w:ascii="Times New Roman" w:cs="Times New Roman" w:eastAsia="Times New Roman" w:hAnsi="Times New Roman"/>
                <w:sz w:val="20"/>
                <w:szCs w:val="20"/>
                <w:color w:val="auto"/>
                <w:vertAlign w:val="subscript"/>
              </w:rPr>
              <w:t>​​​</w:t>
            </w:r>
          </w:p>
        </w:tc>
        <w:tc>
          <w:tcPr>
            <w:tcW w:w="500" w:type="dxa"/>
            <w:vAlign w:val="bottom"/>
            <w:gridSpan w:val="2"/>
          </w:tcPr>
          <w:p>
            <w:pPr>
              <w:ind w:left="400"/>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3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1"/>
                <w:szCs w:val="11"/>
                <w:color w:val="auto"/>
              </w:rPr>
              <w:t>  (41)</w:t>
            </w:r>
            <w:r>
              <w:rPr>
                <w:rFonts w:ascii="Times New Roman" w:cs="Times New Roman" w:eastAsia="Times New Roman" w:hAnsi="Times New Roman"/>
                <w:sz w:val="20"/>
                <w:szCs w:val="20"/>
                <w:color w:val="auto"/>
                <w:vertAlign w:val="subscript"/>
              </w:rPr>
              <w:t>​​​</w:t>
            </w:r>
          </w:p>
        </w:tc>
        <w:tc>
          <w:tcPr>
            <w:tcW w:w="760" w:type="dxa"/>
            <w:vAlign w:val="bottom"/>
            <w:gridSpan w:val="4"/>
          </w:tcPr>
          <w:p>
            <w:pPr>
              <w:jc w:val="right"/>
              <w:ind w:right="27"/>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(193,279)</w:t>
            </w:r>
            <w:r>
              <w:rPr>
                <w:rFonts w:ascii="Times New Roman" w:cs="Times New Roman" w:eastAsia="Times New Roman" w:hAnsi="Times New Roman"/>
                <w:sz w:val="20"/>
                <w:szCs w:val="20"/>
                <w:color w:val="auto"/>
                <w:vertAlign w:val="subscript"/>
              </w:rPr>
              <w:t>​​​</w:t>
            </w:r>
          </w:p>
        </w:tc>
        <w:tc>
          <w:tcPr>
            <w:tcW w:w="640" w:type="dxa"/>
            <w:vAlign w:val="bottom"/>
            <w:gridSpan w:val="5"/>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(192,286)</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2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Issuance of Series B convertible preferred stock as</w:t>
            </w: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600" w:type="dxa"/>
            <w:vAlign w:val="bottom"/>
            <w:tcBorders>
              <w:left w:val="single" w:sz="8" w:color="CCEEFF"/>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payment of Xencor milestone, net of issuance</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shd w:val="clear" w:color="auto" w:fill="CCEEFF"/>
          </w:tcPr>
          <w:p>
            <w:pPr>
              <w:jc w:val="center"/>
              <w:ind w:left="16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60" w:type="dxa"/>
            <w:vAlign w:val="bottom"/>
            <w:gridSpan w:val="3"/>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11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4,189,955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00" w:type="dxa"/>
            <w:vAlign w:val="bottom"/>
            <w:gridSpan w:val="3"/>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2"/>
                <w:szCs w:val="12"/>
                <w:color w:val="auto"/>
              </w:rPr>
              <w:t>10,000</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3"/>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costs of $0</w:t>
            </w:r>
          </w:p>
        </w:tc>
        <w:tc>
          <w:tcPr>
            <w:tcW w:w="100" w:type="dxa"/>
            <w:vAlign w:val="bottom"/>
            <w:tcBorders>
              <w:right w:val="single" w:sz="8" w:color="CCEEFF"/>
            </w:tcBorders>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320" w:type="dxa"/>
            <w:vAlign w:val="bottom"/>
            <w:tcBorders>
              <w:right w:val="single" w:sz="8" w:color="CCEEFF"/>
            </w:tcBorders>
            <w:gridSpan w:val="2"/>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1120" w:type="dxa"/>
            <w:vAlign w:val="bottom"/>
            <w:gridSpan w:val="4"/>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60" w:type="dxa"/>
            <w:vAlign w:val="bottom"/>
            <w:tcBorders>
              <w:right w:val="single" w:sz="8" w:color="CCEEFF"/>
            </w:tcBorders>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20" w:type="dxa"/>
            <w:vAlign w:val="bottom"/>
            <w:tcBorders>
              <w:right w:val="single" w:sz="8" w:color="CCEEFF"/>
            </w:tcBorders>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380" w:type="dxa"/>
            <w:vAlign w:val="bottom"/>
            <w:tcBorders>
              <w:right w:val="single" w:sz="8" w:color="CCEEFF"/>
            </w:tcBorders>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Exercises of common stock options</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32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tcPr>
          <w:p>
            <w:pPr>
              <w:spacing w:after="0"/>
              <w:rPr>
                <w:sz w:val="16"/>
                <w:szCs w:val="16"/>
                <w:color w:val="auto"/>
              </w:rPr>
            </w:pPr>
          </w:p>
        </w:tc>
        <w:tc>
          <w:tcPr>
            <w:tcW w:w="1180" w:type="dxa"/>
            <w:vAlign w:val="bottom"/>
            <w:gridSpan w:val="5"/>
          </w:tcPr>
          <w:p>
            <w:pPr>
              <w:jc w:val="right"/>
              <w:ind w:right="140"/>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239,500</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color w:val="auto"/>
                <w:vertAlign w:val="subscript"/>
              </w:rPr>
              <w:t>​​</w:t>
            </w:r>
          </w:p>
        </w:tc>
        <w:tc>
          <w:tcPr>
            <w:tcW w:w="36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20" w:type="dxa"/>
            <w:vAlign w:val="bottom"/>
          </w:tcPr>
          <w:p>
            <w:pPr>
              <w:jc w:val="right"/>
              <w:spacing w:after="0" w:line="187" w:lineRule="exact"/>
              <w:rPr>
                <w:sz w:val="20"/>
                <w:szCs w:val="20"/>
                <w:color w:val="auto"/>
              </w:rPr>
            </w:pPr>
            <w:r>
              <w:rPr>
                <w:rFonts w:ascii="Times New Roman" w:cs="Times New Roman" w:eastAsia="Times New Roman" w:hAnsi="Times New Roman"/>
                <w:sz w:val="11"/>
                <w:szCs w:val="11"/>
                <w:color w:val="auto"/>
              </w:rPr>
              <w:t>116</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color w:val="auto"/>
                <w:vertAlign w:val="subscript"/>
              </w:rPr>
              <w:t>​​</w:t>
            </w:r>
          </w:p>
        </w:tc>
        <w:tc>
          <w:tcPr>
            <w:tcW w:w="500" w:type="dxa"/>
            <w:vAlign w:val="bottom"/>
            <w:gridSpan w:val="2"/>
          </w:tcPr>
          <w:p>
            <w:pPr>
              <w:ind w:left="400"/>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3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66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540" w:type="dxa"/>
            <w:vAlign w:val="bottom"/>
            <w:gridSpan w:val="4"/>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116​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18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0" w:type="dxa"/>
            <w:vAlign w:val="bottom"/>
            <w:tcBorders>
              <w:right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tcBorders>
              <w:right w:val="single" w:sz="8" w:color="CCEEFF"/>
            </w:tcBorders>
            <w:gridSpan w:val="2"/>
            <w:shd w:val="clear" w:color="auto" w:fill="CCEEFF"/>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tcBorders>
              <w:lef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shd w:val="clear" w:color="auto" w:fill="CCEEFF"/>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360" w:type="dxa"/>
            <w:vAlign w:val="bottom"/>
            <w:tcBorders>
              <w:right w:val="single" w:sz="8" w:color="CCEEFF"/>
            </w:tcBorders>
            <w:gridSpan w:val="3"/>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Borders>
              <w:right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3,495</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color w:val="auto"/>
                <w:vertAlign w:val="subscript"/>
              </w:rPr>
              <w:t>​​</w:t>
            </w:r>
          </w:p>
        </w:tc>
        <w:tc>
          <w:tcPr>
            <w:tcW w:w="500" w:type="dxa"/>
            <w:vAlign w:val="bottom"/>
            <w:gridSpan w:val="2"/>
            <w:shd w:val="clear" w:color="auto" w:fill="CCEEFF"/>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tcPr>
          <w:p>
            <w:pPr>
              <w:spacing w:after="0"/>
              <w:rPr>
                <w:sz w:val="16"/>
                <w:szCs w:val="16"/>
                <w:color w:val="auto"/>
              </w:rPr>
            </w:pPr>
          </w:p>
        </w:tc>
        <w:tc>
          <w:tcPr>
            <w:tcW w:w="500" w:type="dxa"/>
            <w:vAlign w:val="bottom"/>
            <w:gridSpan w:val="3"/>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36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500" w:type="dxa"/>
            <w:vAlign w:val="bottom"/>
            <w:gridSpan w:val="2"/>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11"/>
                <w:szCs w:val="11"/>
                <w:color w:val="auto"/>
              </w:rPr>
              <w:t>(37,124)</w:t>
            </w:r>
            <w:r>
              <w:rPr>
                <w:rFonts w:ascii="Times New Roman" w:cs="Times New Roman" w:eastAsia="Times New Roman" w:hAnsi="Times New Roman"/>
                <w:sz w:val="21"/>
                <w:szCs w:val="21"/>
                <w:color w:val="auto"/>
                <w:vertAlign w:val="subscript"/>
              </w:rPr>
              <w:t>​​​</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40" w:type="dxa"/>
            <w:vAlign w:val="bottom"/>
            <w:gridSpan w:val="4"/>
          </w:tcPr>
          <w:p>
            <w:pPr>
              <w:jc w:val="right"/>
              <w:spacing w:after="0" w:line="187" w:lineRule="exact"/>
              <w:rPr>
                <w:sz w:val="20"/>
                <w:szCs w:val="20"/>
                <w:color w:val="auto"/>
              </w:rPr>
            </w:pPr>
            <w:r>
              <w:rPr>
                <w:rFonts w:ascii="Times New Roman" w:cs="Times New Roman" w:eastAsia="Times New Roman" w:hAnsi="Times New Roman"/>
                <w:sz w:val="11"/>
                <w:szCs w:val="11"/>
                <w:color w:val="auto"/>
              </w:rPr>
              <w:t>(37,124)</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18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00" w:type="dxa"/>
            <w:vAlign w:val="bottom"/>
            <w:tcBorders>
              <w:right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tcBorders>
              <w:right w:val="single" w:sz="8" w:color="CCEEFF"/>
            </w:tcBorders>
            <w:gridSpan w:val="2"/>
            <w:shd w:val="clear" w:color="auto" w:fill="CCEEFF"/>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tcBorders>
              <w:lef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shd w:val="clear" w:color="auto" w:fill="CCEEFF"/>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360" w:type="dxa"/>
            <w:vAlign w:val="bottom"/>
            <w:tcBorders>
              <w:right w:val="single" w:sz="8" w:color="CCEEFF"/>
            </w:tcBorders>
            <w:gridSpan w:val="3"/>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Borders>
              <w:right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78​ </w:t>
            </w:r>
            <w:r>
              <w:rPr>
                <w:rFonts w:ascii="Times New Roman" w:cs="Times New Roman" w:eastAsia="Times New Roman" w:hAnsi="Times New Roman"/>
                <w:sz w:val="21"/>
                <w:szCs w:val="21"/>
                <w:color w:val="auto"/>
                <w:vertAlign w:val="subscript"/>
              </w:rPr>
              <w:t>​​​</w:t>
            </w:r>
          </w:p>
        </w:tc>
        <w:tc>
          <w:tcPr>
            <w:tcW w:w="10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680" w:type="dxa"/>
            <w:vAlign w:val="bottom"/>
            <w:gridSpan w:val="3"/>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​1,785,714</w:t>
            </w:r>
            <w:r>
              <w:rPr>
                <w:rFonts w:ascii="Times New Roman" w:cs="Times New Roman" w:eastAsia="Times New Roman" w:hAnsi="Times New Roman"/>
                <w:sz w:val="20"/>
                <w:szCs w:val="20"/>
                <w:color w:val="auto"/>
                <w:vertAlign w:val="subscript"/>
              </w:rPr>
              <w:t>​​​</w:t>
            </w:r>
          </w:p>
        </w:tc>
        <w:tc>
          <w:tcPr>
            <w:tcW w:w="12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980" w:type="dxa"/>
            <w:vAlign w:val="bottom"/>
            <w:gridSpan w:val="5"/>
          </w:tcPr>
          <w:p>
            <w:pPr>
              <w:ind w:left="20"/>
              <w:spacing w:after="0" w:line="178" w:lineRule="exact"/>
              <w:rPr>
                <w:sz w:val="20"/>
                <w:szCs w:val="20"/>
                <w:color w:val="auto"/>
              </w:rPr>
            </w:pPr>
            <w:r>
              <w:rPr>
                <w:rFonts w:ascii="Times New Roman" w:cs="Times New Roman" w:eastAsia="Times New Roman" w:hAnsi="Times New Roman"/>
                <w:sz w:val="11"/>
                <w:szCs w:val="11"/>
                <w:color w:val="auto"/>
              </w:rPr>
              <w:t>956</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​17,589,380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1120" w:type="dxa"/>
            <w:vAlign w:val="bottom"/>
            <w:gridSpan w:val="4"/>
          </w:tcPr>
          <w:p>
            <w:pPr>
              <w:jc w:val="right"/>
              <w:ind w:right="40"/>
              <w:spacing w:after="0" w:line="178" w:lineRule="exact"/>
              <w:rPr>
                <w:sz w:val="20"/>
                <w:szCs w:val="20"/>
                <w:color w:val="auto"/>
              </w:rPr>
            </w:pPr>
            <w:r>
              <w:rPr>
                <w:rFonts w:ascii="Times New Roman" w:cs="Times New Roman" w:eastAsia="Times New Roman" w:hAnsi="Times New Roman"/>
                <w:sz w:val="11"/>
                <w:szCs w:val="11"/>
                <w:color w:val="auto"/>
              </w:rPr>
              <w:t>55,840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​81,242,587</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1240" w:type="dxa"/>
            <w:vAlign w:val="bottom"/>
            <w:gridSpan w:val="6"/>
          </w:tcPr>
          <w:p>
            <w:pPr>
              <w:jc w:val="right"/>
              <w:ind w:right="140"/>
              <w:spacing w:after="0" w:line="178" w:lineRule="exact"/>
              <w:rPr>
                <w:sz w:val="20"/>
                <w:szCs w:val="20"/>
                <w:color w:val="auto"/>
              </w:rPr>
            </w:pPr>
            <w:r>
              <w:rPr>
                <w:rFonts w:ascii="Times New Roman" w:cs="Times New Roman" w:eastAsia="Times New Roman" w:hAnsi="Times New Roman"/>
                <w:sz w:val="11"/>
                <w:szCs w:val="11"/>
                <w:color w:val="auto"/>
              </w:rPr>
              <w:t>193,290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​13,692,052</w:t>
            </w:r>
            <w:r>
              <w:rPr>
                <w:rFonts w:ascii="Times New Roman" w:cs="Times New Roman" w:eastAsia="Times New Roman" w:hAnsi="Times New Roman"/>
                <w:sz w:val="20"/>
                <w:szCs w:val="20"/>
                <w:color w:val="auto"/>
                <w:vertAlign w:val="subscript"/>
              </w:rPr>
              <w:t>​​​</w:t>
            </w:r>
          </w:p>
        </w:tc>
        <w:tc>
          <w:tcPr>
            <w:tcW w:w="16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2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line="178" w:lineRule="exact"/>
              <w:rPr>
                <w:sz w:val="20"/>
                <w:szCs w:val="20"/>
                <w:color w:val="auto"/>
              </w:rPr>
            </w:pPr>
            <w:r>
              <w:rPr>
                <w:rFonts w:ascii="Times New Roman" w:cs="Times New Roman" w:eastAsia="Times New Roman" w:hAnsi="Times New Roman"/>
                <w:sz w:val="11"/>
                <w:szCs w:val="11"/>
                <w:color w:val="auto"/>
              </w:rPr>
              <w:t>4,644</w:t>
            </w:r>
            <w:r>
              <w:rPr>
                <w:rFonts w:ascii="Times New Roman" w:cs="Times New Roman" w:eastAsia="Times New Roman" w:hAnsi="Times New Roman"/>
                <w:sz w:val="20"/>
                <w:szCs w:val="20"/>
                <w:color w:val="auto"/>
                <w:vertAlign w:val="subscript"/>
              </w:rPr>
              <w:t>​​​</w:t>
            </w:r>
          </w:p>
        </w:tc>
        <w:tc>
          <w:tcPr>
            <w:tcW w:w="500" w:type="dxa"/>
            <w:vAlign w:val="bottom"/>
            <w:gridSpan w:val="2"/>
          </w:tcPr>
          <w:p>
            <w:pPr>
              <w:ind w:left="400"/>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3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1"/>
                <w:szCs w:val="11"/>
                <w:color w:val="auto"/>
              </w:rPr>
              <w:t xml:space="preserve">37​ </w:t>
            </w:r>
            <w:r>
              <w:rPr>
                <w:rFonts w:ascii="Times New Roman" w:cs="Times New Roman" w:eastAsia="Times New Roman" w:hAnsi="Times New Roman"/>
                <w:sz w:val="20"/>
                <w:szCs w:val="20"/>
                <w:color w:val="auto"/>
                <w:vertAlign w:val="subscript"/>
              </w:rPr>
              <w:t>​​​</w:t>
            </w: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1"/>
                <w:szCs w:val="11"/>
                <w:color w:val="auto"/>
                <w:w w:val="89"/>
              </w:rPr>
              <w:t>​</w:t>
            </w:r>
            <w:r>
              <w:rPr>
                <w:rFonts w:ascii="Times New Roman" w:cs="Times New Roman" w:eastAsia="Times New Roman" w:hAnsi="Times New Roman"/>
                <w:sz w:val="20"/>
                <w:szCs w:val="20"/>
                <w:color w:val="auto"/>
                <w:w w:val="89"/>
                <w:vertAlign w:val="superscript"/>
              </w:rPr>
              <w:t>$</w:t>
            </w:r>
          </w:p>
        </w:tc>
        <w:tc>
          <w:tcPr>
            <w:tcW w:w="660" w:type="dxa"/>
            <w:vAlign w:val="bottom"/>
            <w:gridSpan w:val="3"/>
          </w:tcPr>
          <w:p>
            <w:pPr>
              <w:jc w:val="right"/>
              <w:ind w:right="27"/>
              <w:spacing w:after="0" w:line="178" w:lineRule="exact"/>
              <w:rPr>
                <w:sz w:val="20"/>
                <w:szCs w:val="20"/>
                <w:color w:val="auto"/>
              </w:rPr>
            </w:pPr>
            <w:r>
              <w:rPr>
                <w:rFonts w:ascii="Times New Roman" w:cs="Times New Roman" w:eastAsia="Times New Roman" w:hAnsi="Times New Roman"/>
                <w:sz w:val="11"/>
                <w:szCs w:val="11"/>
                <w:color w:val="auto"/>
              </w:rPr>
              <w:t>(230,403)</w:t>
            </w:r>
            <w:r>
              <w:rPr>
                <w:rFonts w:ascii="Times New Roman" w:cs="Times New Roman" w:eastAsia="Times New Roman" w:hAnsi="Times New Roman"/>
                <w:sz w:val="20"/>
                <w:szCs w:val="20"/>
                <w:color w:val="auto"/>
                <w:vertAlign w:val="subscript"/>
              </w:rPr>
              <w:t>​​​</w:t>
            </w: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1"/>
                <w:szCs w:val="11"/>
                <w:color w:val="auto"/>
              </w:rPr>
              <w:t>(225,721)</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-2482850</wp:posOffset>
            </wp:positionV>
            <wp:extent cx="5881370" cy="24834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881370" cy="2483485"/>
                    </a:xfrm>
                    <a:prstGeom prst="rect">
                      <a:avLst/>
                    </a:prstGeom>
                    <a:noFill/>
                  </pic:spPr>
                </pic:pic>
              </a:graphicData>
            </a:graphic>
          </wp:anchor>
        </w:drawing>
      </w:r>
    </w:p>
    <w:p>
      <w:pPr>
        <w:spacing w:after="0" w:line="16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221220"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80"/>
          </w:cols>
          <w:pgMar w:left="300" w:top="98" w:right="919" w:bottom="1440" w:gutter="0" w:footer="0" w:header="0"/>
        </w:sectPr>
      </w:pPr>
    </w:p>
    <w:bookmarkStart w:id="210" w:name="page211"/>
    <w:bookmarkEnd w:id="21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231"/>
              <w:spacing w:after="0"/>
              <w:rPr>
                <w:sz w:val="20"/>
                <w:szCs w:val="20"/>
                <w:color w:val="auto"/>
              </w:rPr>
            </w:pPr>
            <w:r>
              <w:rPr>
                <w:rFonts w:ascii="Times New Roman" w:cs="Times New Roman" w:eastAsia="Times New Roman" w:hAnsi="Times New Roman"/>
                <w:sz w:val="12"/>
                <w:szCs w:val="12"/>
                <w:b w:val="1"/>
                <w:bCs w:val="1"/>
                <w:color w:val="auto"/>
                <w:w w:val="91"/>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4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7"/>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7"/>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(37,124)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(119,282)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10,000​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18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Depreciation expense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113​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 ​​</w:t>
            </w:r>
          </w:p>
        </w:tc>
      </w:tr>
      <w:tr>
        <w:trPr>
          <w:trHeight w:val="187"/>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3,495​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737​ ​​</w:t>
            </w:r>
          </w:p>
        </w:tc>
      </w:tr>
      <w:tr>
        <w:trPr>
          <w:trHeight w:val="18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Change in fair value of convertible notes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300​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29,876​ ​​</w:t>
            </w:r>
          </w:p>
        </w:tc>
      </w:tr>
      <w:tr>
        <w:trPr>
          <w:trHeight w:val="187"/>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13,268​ ​​</w:t>
            </w:r>
          </w:p>
        </w:tc>
      </w:tr>
      <w:tr>
        <w:trPr>
          <w:trHeight w:val="18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Non-cash lease expense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726​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 ​​</w:t>
            </w:r>
          </w:p>
        </w:tc>
      </w:tr>
      <w:tr>
        <w:trPr>
          <w:trHeight w:val="187"/>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Accounts payable</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Accrued expenses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(3,558)</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(30,529)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(65,652)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candidate license acquisitions and development milestones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(17)​​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Series B convertible preferred stock, net of issuance</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0"/>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costs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59,391​​​</w:t>
            </w:r>
          </w:p>
        </w:tc>
      </w:tr>
      <w:tr>
        <w:trPr>
          <w:trHeight w:val="187"/>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20,000​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9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20,116​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59,391​ ​​</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restricted cash</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78​ ​​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decrease in cash and restricted cash</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 (10,352)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restricted cash at beginning of period</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67,295​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Cash and restricted cash at end of period</w:t>
            </w:r>
          </w:p>
        </w:tc>
        <w:tc>
          <w:tcPr>
            <w:tcW w:w="3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880" w:type="dxa"/>
            <w:vAlign w:val="bottom"/>
            <w:gridSpan w:val="3"/>
          </w:tcPr>
          <w:p>
            <w:pPr>
              <w:jc w:val="right"/>
              <w:ind w:right="140"/>
              <w:spacing w:after="0" w:line="189" w:lineRule="exact"/>
              <w:rPr>
                <w:sz w:val="20"/>
                <w:szCs w:val="20"/>
                <w:color w:val="auto"/>
              </w:rPr>
            </w:pPr>
            <w:r>
              <w:rPr>
                <w:rFonts w:ascii="Times New Roman" w:cs="Times New Roman" w:eastAsia="Times New Roman" w:hAnsi="Times New Roman"/>
                <w:sz w:val="12"/>
                <w:szCs w:val="12"/>
                <w:color w:val="auto"/>
              </w:rPr>
              <w:t xml:space="preserve">56,943​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67,295​ </w:t>
            </w:r>
            <w:r>
              <w:rPr>
                <w:rFonts w:ascii="Times New Roman" w:cs="Times New Roman" w:eastAsia="Times New Roman" w:hAnsi="Times New Roman"/>
                <w:sz w:val="21"/>
                <w:szCs w:val="21"/>
                <w:color w:val="auto"/>
                <w:vertAlign w:val="subscript"/>
              </w:rPr>
              <w:t>​​</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3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 ​​ ​</w:t>
            </w:r>
          </w:p>
        </w:tc>
        <w:tc>
          <w:tcPr>
            <w:tcW w:w="8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obtained under operating lease arrangements</w:t>
            </w:r>
          </w:p>
        </w:tc>
        <w:tc>
          <w:tcPr>
            <w:tcW w:w="3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880" w:type="dxa"/>
            <w:vAlign w:val="bottom"/>
            <w:gridSpan w:val="3"/>
          </w:tcPr>
          <w:p>
            <w:pPr>
              <w:jc w:val="right"/>
              <w:ind w:right="14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2,179​ </w:t>
            </w:r>
            <w:r>
              <w:rPr>
                <w:rFonts w:ascii="Times New Roman" w:cs="Times New Roman" w:eastAsia="Times New Roman" w:hAnsi="Times New Roman"/>
                <w:sz w:val="21"/>
                <w:szCs w:val="21"/>
                <w:color w:val="auto"/>
                <w:vertAlign w:val="subscript"/>
              </w:rPr>
              <w:t>​​</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Series B convertible preferred stock from conversion of notes</w:t>
            </w:r>
          </w:p>
        </w:tc>
        <w:tc>
          <w:tcPr>
            <w:tcW w:w="320" w:type="dxa"/>
            <w:vAlign w:val="bottom"/>
            <w:gridSpan w:val="2"/>
            <w:shd w:val="clear" w:color="auto" w:fill="CCEEFF"/>
          </w:tcPr>
          <w:p>
            <w:pPr>
              <w:ind w:left="40"/>
              <w:spacing w:after="0" w:line="178"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perscript"/>
              </w:rPr>
              <w:t>$</w:t>
            </w:r>
          </w:p>
        </w:tc>
        <w:tc>
          <w:tcPr>
            <w:tcW w:w="880" w:type="dxa"/>
            <w:vAlign w:val="bottom"/>
            <w:gridSpan w:val="3"/>
            <w:shd w:val="clear" w:color="auto" w:fill="CCEEFF"/>
          </w:tcPr>
          <w:p>
            <w:pPr>
              <w:jc w:val="right"/>
              <w:ind w:right="140"/>
              <w:spacing w:after="0" w:line="178"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0"/>
                <w:szCs w:val="20"/>
                <w:color w:val="auto"/>
                <w:vertAlign w:val="superscript"/>
              </w:rPr>
              <w:t>$</w:t>
            </w:r>
          </w:p>
        </w:tc>
        <w:tc>
          <w:tcPr>
            <w:tcW w:w="58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2"/>
                <w:szCs w:val="12"/>
                <w:color w:val="auto"/>
              </w:rPr>
              <w:t xml:space="preserve">89,431​ </w:t>
            </w:r>
            <w:r>
              <w:rPr>
                <w:rFonts w:ascii="Times New Roman" w:cs="Times New Roman" w:eastAsia="Times New Roman" w:hAnsi="Times New Roman"/>
                <w:sz w:val="20"/>
                <w:szCs w:val="20"/>
                <w:color w:val="auto"/>
                <w:vertAlign w:val="subscript"/>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62"/>
        </w:trPr>
        <w:tc>
          <w:tcPr>
            <w:tcW w:w="49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Issuance of Series B convertible preferred stock upon exercise of warrants</w:t>
            </w:r>
          </w:p>
        </w:tc>
        <w:tc>
          <w:tcPr>
            <w:tcW w:w="3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8"/>
                <w:szCs w:val="18"/>
                <w:color w:val="auto"/>
                <w:vertAlign w:val="superscript"/>
              </w:rPr>
              <w:t>$</w:t>
            </w:r>
          </w:p>
        </w:tc>
        <w:tc>
          <w:tcPr>
            <w:tcW w:w="88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8"/>
                <w:szCs w:val="18"/>
                <w:color w:val="auto"/>
                <w:vertAlign w:val="superscript"/>
              </w:rPr>
              <w:t>$</w:t>
            </w:r>
          </w:p>
        </w:tc>
        <w:tc>
          <w:tcPr>
            <w:tcW w:w="5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1"/>
                <w:szCs w:val="11"/>
                <w:color w:val="auto"/>
              </w:rPr>
              <w:t xml:space="preserve">34,468​ </w:t>
            </w:r>
            <w:r>
              <w:rPr>
                <w:rFonts w:ascii="Times New Roman" w:cs="Times New Roman" w:eastAsia="Times New Roman" w:hAnsi="Times New Roman"/>
                <w:sz w:val="18"/>
                <w:szCs w:val="18"/>
                <w:color w:val="auto"/>
                <w:vertAlign w:val="subscript"/>
              </w:rPr>
              <w:t>​​</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offering costs in accrued expenses</w:t>
            </w:r>
          </w:p>
        </w:tc>
        <w:tc>
          <w:tcPr>
            <w:tcW w:w="320" w:type="dxa"/>
            <w:vAlign w:val="bottom"/>
            <w:gridSpan w:val="2"/>
            <w:shd w:val="clear" w:color="auto" w:fill="CCEEFF"/>
          </w:tcPr>
          <w:p>
            <w:pPr>
              <w:ind w:left="40"/>
              <w:spacing w:after="0" w:line="178"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perscript"/>
              </w:rPr>
              <w:t>$</w:t>
            </w:r>
          </w:p>
        </w:tc>
        <w:tc>
          <w:tcPr>
            <w:tcW w:w="880" w:type="dxa"/>
            <w:vAlign w:val="bottom"/>
            <w:gridSpan w:val="3"/>
            <w:shd w:val="clear" w:color="auto" w:fill="CCEEFF"/>
          </w:tcPr>
          <w:p>
            <w:pPr>
              <w:jc w:val="right"/>
              <w:ind w:right="140"/>
              <w:spacing w:after="0" w:line="178" w:lineRule="exact"/>
              <w:rPr>
                <w:sz w:val="20"/>
                <w:szCs w:val="20"/>
                <w:color w:val="auto"/>
              </w:rPr>
            </w:pPr>
            <w:r>
              <w:rPr>
                <w:rFonts w:ascii="Times New Roman" w:cs="Times New Roman" w:eastAsia="Times New Roman" w:hAnsi="Times New Roman"/>
                <w:sz w:val="12"/>
                <w:szCs w:val="12"/>
                <w:color w:val="auto"/>
              </w:rPr>
              <w:t xml:space="preserve">1,388​ </w:t>
            </w: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bscript"/>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62"/>
        </w:trPr>
        <w:tc>
          <w:tcPr>
            <w:tcW w:w="49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Purchases of property and equipment in accrued expenses</w:t>
            </w:r>
          </w:p>
        </w:tc>
        <w:tc>
          <w:tcPr>
            <w:tcW w:w="3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8"/>
                <w:szCs w:val="18"/>
                <w:color w:val="auto"/>
                <w:vertAlign w:val="superscript"/>
              </w:rPr>
              <w:t>$</w:t>
            </w:r>
          </w:p>
        </w:tc>
        <w:tc>
          <w:tcPr>
            <w:tcW w:w="88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1"/>
                <w:szCs w:val="11"/>
                <w:color w:val="auto"/>
              </w:rPr>
              <w:t xml:space="preserve">39​ </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1"/>
                <w:szCs w:val="11"/>
                <w:color w:val="auto"/>
              </w:rPr>
              <w:t>$</w:t>
            </w:r>
          </w:p>
        </w:tc>
        <w:tc>
          <w:tcPr>
            <w:tcW w:w="5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Disposal of property and equipment</w:t>
            </w:r>
          </w:p>
        </w:tc>
        <w:tc>
          <w:tcPr>
            <w:tcW w:w="320" w:type="dxa"/>
            <w:vAlign w:val="bottom"/>
            <w:gridSpan w:val="2"/>
            <w:shd w:val="clear" w:color="auto" w:fill="CCEEFF"/>
          </w:tcPr>
          <w:p>
            <w:pPr>
              <w:ind w:left="40"/>
              <w:spacing w:after="0" w:line="178"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perscript"/>
              </w:rPr>
              <w:t>$</w:t>
            </w:r>
          </w:p>
        </w:tc>
        <w:tc>
          <w:tcPr>
            <w:tcW w:w="880" w:type="dxa"/>
            <w:vAlign w:val="bottom"/>
            <w:gridSpan w:val="3"/>
            <w:shd w:val="clear" w:color="auto" w:fill="CCEEFF"/>
          </w:tcPr>
          <w:p>
            <w:pPr>
              <w:jc w:val="right"/>
              <w:ind w:right="140"/>
              <w:spacing w:after="0" w:line="178" w:lineRule="exact"/>
              <w:rPr>
                <w:sz w:val="20"/>
                <w:szCs w:val="20"/>
                <w:color w:val="auto"/>
              </w:rPr>
            </w:pP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0"/>
                <w:szCs w:val="20"/>
                <w:color w:val="auto"/>
                <w:vertAlign w:val="superscript"/>
              </w:rPr>
              <w:t>$</w:t>
            </w:r>
          </w:p>
        </w:tc>
        <w:tc>
          <w:tcPr>
            <w:tcW w:w="58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-1583055</wp:posOffset>
            </wp:positionV>
            <wp:extent cx="424180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-2447925</wp:posOffset>
            </wp:positionV>
            <wp:extent cx="424180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-2950210</wp:posOffset>
            </wp:positionV>
            <wp:extent cx="424180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-4624705</wp:posOffset>
            </wp:positionV>
            <wp:extent cx="424180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ind w:left="1160"/>
        <w:spacing w:after="0"/>
        <w:rPr>
          <w:sz w:val="20"/>
          <w:szCs w:val="20"/>
          <w:color w:val="auto"/>
        </w:rPr>
      </w:pPr>
      <w:r>
        <w:rPr>
          <w:rFonts w:ascii="Times New Roman" w:cs="Times New Roman" w:eastAsia="Times New Roman" w:hAnsi="Times New Roman"/>
          <w:sz w:val="13"/>
          <w:szCs w:val="13"/>
          <w:b w:val="1"/>
          <w:bCs w:val="1"/>
          <w:color w:val="auto"/>
        </w:rPr>
        <w:t>Reconciliation of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241800" cy="1257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Cash</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536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Total cash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 ​</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56,857​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67,209​ ​​</w:t>
            </w:r>
          </w:p>
        </w:tc>
      </w:tr>
      <w:tr>
        <w:trPr>
          <w:trHeight w:val="190"/>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86​ ​​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 ​​</w:t>
            </w: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280" w:type="dxa"/>
            <w:vAlign w:val="bottom"/>
            <w:gridSpan w:val="2"/>
          </w:tcPr>
          <w:p>
            <w:pPr>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860" w:type="dxa"/>
            <w:vAlign w:val="bottom"/>
            <w:gridSpan w:val="3"/>
          </w:tcPr>
          <w:p>
            <w:pPr>
              <w:jc w:val="right"/>
              <w:ind w:right="120"/>
              <w:spacing w:after="0" w:line="189" w:lineRule="exact"/>
              <w:rPr>
                <w:sz w:val="20"/>
                <w:szCs w:val="20"/>
                <w:color w:val="auto"/>
              </w:rPr>
            </w:pPr>
            <w:r>
              <w:rPr>
                <w:rFonts w:ascii="Times New Roman" w:cs="Times New Roman" w:eastAsia="Times New Roman" w:hAnsi="Times New Roman"/>
                <w:sz w:val="12"/>
                <w:szCs w:val="12"/>
                <w:color w:val="auto"/>
              </w:rPr>
              <w:t xml:space="preserve">56,943​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6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67,295​ </w:t>
            </w:r>
            <w:r>
              <w:rPr>
                <w:rFonts w:ascii="Times New Roman" w:cs="Times New Roman" w:eastAsia="Times New Roman" w:hAnsi="Times New Roman"/>
                <w:sz w:val="21"/>
                <w:szCs w:val="2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5380" w:space="720"/>
            <w:col w:w="2919"/>
          </w:cols>
          <w:pgMar w:left="1440" w:top="9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11" w:name="page212"/>
    <w:bookmarkEnd w:id="21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 Nature of Business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Organization</w:t>
      </w:r>
    </w:p>
    <w:p>
      <w:pPr>
        <w:spacing w:after="0" w:line="128"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(“Zenas Cayman”)) de -registered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primary focus is to transform the lives of patients with unmet medical needs by developing and commercializing immune-based therapies. The Company has in-licensed and is developing several product candidates for the treatment of various auto -immune and rare diseases. The Company is headquartered in Waltham, Massachusetts and operates in one segment, which is the business of acquiring and developing immune-based therapies for potential commercialization.</w:t>
      </w:r>
    </w:p>
    <w:p>
      <w:pPr>
        <w:spacing w:after="0" w:line="10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On December 27, 2019, Zenas formed Zenas BioPharma (HK) Limited (“Zenas HK”), a wholly owned subsidiary established in Hong Kong. On July 30, 2020, Zenas formed Zenas BioPharma (USA) LLC (“Zenas US”), a wholly owned subsidiary of Zenas. On November 11, 2021, Zenas HK formed Shanghai Zenas Biotechnology Co. Limited (“Zenas China”), a wholly foreign-owned enterprise of Zenas HK established in Shanghai, China. On November 15, 2023, Zenas formed Zenas Biopharma Securities Corporation, a wholly owned subsidiary of Zenas, which was incorporated as a Massachusetts Security Corporation.</w:t>
      </w:r>
    </w:p>
    <w:p>
      <w:pPr>
        <w:spacing w:after="0" w:line="261"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Since its inception, the Company has devoted its efforts principally to research and development and raising capital. The Company is subject to risks and uncertainties common to early-stage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 -party organizations, protection of proprietary technology, compliance with government regulations, and the ability to raise additional capital to fund operations. The Company’s revenues to date have been generated from payments received under the Company’s license agreement with Bristol- Myers Squibb Company (“BMS”) (see Note 8).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Redomicile</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On August 2, 2023, Zenas Cayman de -registered from the Cayman Islands and registered by way of continuation in the State of Delaware, whereby the Company filed a Certificate of Domestication to incorporate in the State of Delaware (the “Redomicile”) under the name of Zenas BioPharma, Inc. In connection with the Redomicile, (i) the existing holders of convertible preferred stock and ordinary stock holders of Zenas Cayman exchanged their shares of Zenas Cayman for the same number and classes of common stock and convertible preferred stock of the Company on a one-to-one basis, with rights identical to the exchanged shares of Zenas Cayman; and (ii) all outstanding stock awards of Zenas Cayman under the Zenas BioPharma (Cayman) Limited 2020 Equity Incentive Plan (the “2020 Plan”) exercisable for ordinary stock, became outstanding awards of the Company, exercisable for common stock, with no other changes to the underlying terms of the awards.</w:t>
      </w:r>
    </w:p>
    <w:p>
      <w:pPr>
        <w:spacing w:after="0" w:line="9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Upon completion of the Redomicile and name change, the historical consolidated financial statements of Zenas Cayman became the historical consolidated financial statements of Zenas BioPharma, Inc. For the period ended December 31, 2022, the ordinary stock is referred to as common stock throughout the consolidated financial statements and related footnotes for consistency with the presentation as of December 31, 2023. There was no impact on the consolidated financial statements as a result of the Redomicile and name change.</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2" w:name="page213"/>
    <w:bookmarkEnd w:id="21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 Nature of Business (Continued)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Going Concern</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The Company has incurred operating losses and negative cash flows since its inception, including net losses of $37.1 million and $119.3 million in the years ended December 31, 2023 and 2022, respectively. As of December 31, 2023, the Company had an accumulated deficit of $ 230.4 million. The Company has not generated any product revenue since inception and has relied on its ability to fund its operations through collaboration arrangements, private equity and convertible debt financings. Management expects operating losses and negative operating cash flows to continue for the foreseeable future as it continues its research and development efforts, advances its product candidates through preclinical and clinical development, enhances its platforms and programs, expands its product pipeline, seeks regulatory approval, prepares for commercialization, hires additional personnel, protects its intellectual property and grows its business. As the Company continues to incur losses, transitioning to profitability is dependent upon the successful development, approval, and commercialization of its product candidates and the generation of sufficient revenues to support its cost structure.</w:t>
      </w:r>
    </w:p>
    <w:p>
      <w:pPr>
        <w:spacing w:after="0" w:line="98"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The Company expects that its existing cash of $56.9 million as of December 31, 2023, together with the $179.0 million of gross proceeds from the Series C convertible preferred stock financing (“Series C Preferred Stock”) in May 2024 (see Note 18), will be sufficient to fund its operating expenses and capital expenditure requirements for at least twelve months from the date these consolidated financial statements were available to be issued. The accompanying consolidated financial statements have been prepared on a going concern basis, which contemplates the realization of assets and the satisfaction of liabilities and commitments in the normal course of business. The Company will need additional financing to support its continuing operations and to pursue its growth strategy. Until such time as the Company can generate significant revenue from product sales, if ever, it expects to finance its operations through a combination of private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w:t>
      </w:r>
    </w:p>
    <w:p>
      <w:pPr>
        <w:spacing w:after="0" w:line="103"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is seeking to complete an initial public offering (“IPO”) of its common stock. Upon the completion of an IPO, the Company’s outstanding convertible preferred stock will convert into shares of common stock (see Note 10).</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2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Company’s consolidated financial statements have been prepared in conformity with accounting principles generally accepted in the United States of America (“U.S. GAAP”) and reflect the operations of the Company and its wholly owned subsidiaries. All intercompany accounts, transactions and balances have been eliminated in consolidation.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management to make certain estimates and assumptions that affect the reported amounts of assets, liabilities, expenses, and related disclosures. The Company bases its estimates on historical experience, known trends and other market- specific factors or other relevant factors that it believes to be reasonable under the circumstances. The Company evaluates its estimates and assumptions on an ongoing basis using such factors and adjusts those estimates and assumptions as facts and circumstances dictate. Actual results may differ from those estimates or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3" w:name="page214"/>
    <w:bookmarkEnd w:id="21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assumptions. Significant estimates in these consolidated financial statements include estimates made in connection with accrued research and development expenses, stock-based compensation and valuations of common stock, convertible debt, and warrants.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Segment and Geographic Information</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focus is acquiring, developing and commercializing safer and more effective immune-based therapies. The Company’s chief operating decision maker, its chief executive officer, manages the Company’s operations on a consolidated basis for the purpose of allocating resources. As the Company has one reportable segment, all required segment financial information is presented in the consolidated financial statements. As of December 31, 2023 and 2022, the Company’s long-lived assets held outside of the United States were immaterial.</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Concentrations of Credit Risk and Off-Balance Sheet Risk</w:t>
      </w:r>
    </w:p>
    <w:p>
      <w:pPr>
        <w:spacing w:after="0" w:line="117"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concentrations of credit risk consist of cash on deposit. The Company maintains its cash at high-quality and accredited financial institutions in amounts that could exceed federally insured limits. The Company does not believe that it is subject to unusual credit risk beyond the normal credit risk associated with commercial banking relationships. The Company’s investment policy includes guidelines on the quality of the institutions and financial instruments and defines allowable investments that the Company believes minimizes the exposure to concentration of credit risk. The Company has no financial instruments with off-balance-sheet risk of loss. Since inception, the Company has not held any cash equivalents.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Significant Suppliers</w:t>
      </w:r>
    </w:p>
    <w:p>
      <w:pPr>
        <w:spacing w:after="0" w:line="12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is dependent on third-party manufacturers to supply products for research and development activities in its programs, including preclinical and clinical studies and testing. In particular, the Company relies on a single manufacturer, and expects to continue to rely on a single or small number of manufacturers to supply it with its requirements for the drug product related to these programs. These programs could be adversely affected by a significant interruption in the supply of drug substance and drug product.</w:t>
      </w:r>
    </w:p>
    <w:p>
      <w:pPr>
        <w:spacing w:after="0" w:line="3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w:t>
      </w:r>
    </w:p>
    <w:p>
      <w:pPr>
        <w:spacing w:after="0" w:line="128"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A subsidiary’s functional currency is the currency of the primary economic environment in which the subsidiary operates; normally, that is the currency of the environment in which a subsidiary primarily generates and expends cash. In making the determination of the appropriate functional currency for a subsidiary, the Company considers cash flow indicators, local market indicators, financing indicators and the subsidiary’s relationship with both the parent company and other subsidiaries. For subsidiaries that are primarily a direct and integral component or extension of the parent entity’s operations, the U.S. dollar is the functional currency.</w:t>
      </w:r>
    </w:p>
    <w:p>
      <w:pPr>
        <w:spacing w:after="0" w:line="99"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For each foreign subsidiary with a functional currency other than the U.S. dollar, assets and liabilities are translated at current exchange rates at the balance sheet date. Expense items are translated at average currency exchange rates in effect during each period. Adjustments resulting from the translation of these subsidiaries’ financial statements into U.S. dollars are excluded from the determination of net loss and are recorded in accumulated other comprehensive loss, a separate component of stockholders’ deficit. For foreign subsidiaries with the U.S. dollar as the functional currency, monetary assets and liabilities are re-measured into U.S. dollars at current exchange rates at the balance sheet date. Nonmonetary assets and liabilities are re-measured into U.S. dollars at historical exchange rates. Expense items are translated at average currency exchange rates in effect during each period.</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4" w:name="page215"/>
    <w:bookmarkEnd w:id="21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Realized and unrealized foreign currency transaction gains and losses are recorded in other (non-operating) income or expense in the consolidated statements of operations and comprehensive loss. Realized foreign currency transaction gains and losses were immaterial for each of the years ended December 31, 2023 and 2022.</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28"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considers all highly liquid investments with original or remaining maturity from the date of purchase of three months or less to be cash equivalents. Cash and cash equivalents include bank demand deposits. Since inception, the Company has not held any cash equivalents.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128"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Restricted cash consists of cash held as collateral for a letter of credit the Company issued as a security deposit for its lease of office space in Waltham, MA.</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15"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 xml:space="preserve">ASC Topic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w:t>
      </w:r>
    </w:p>
    <w:p>
      <w:pPr>
        <w:spacing w:after="0" w:line="279"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As a basis for considering market participant assumptions in fair value measurements, ASC 820 establishes a three-tiered value hierarchy that distinguishes between the following:</w:t>
      </w:r>
    </w:p>
    <w:p>
      <w:pPr>
        <w:spacing w:after="0" w:line="8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 xml:space="preserve">Level 1— </w:t>
      </w:r>
      <w:r>
        <w:rPr>
          <w:rFonts w:ascii="Times New Roman" w:cs="Times New Roman" w:eastAsia="Times New Roman" w:hAnsi="Times New Roman"/>
          <w:sz w:val="15"/>
          <w:szCs w:val="15"/>
          <w:color w:val="auto"/>
        </w:rPr>
        <w:t>Quoted market prices in active markets for identical assets or liabilities.</w:t>
      </w:r>
    </w:p>
    <w:p>
      <w:pPr>
        <w:spacing w:after="0" w:line="113" w:lineRule="exact"/>
        <w:rPr>
          <w:sz w:val="20"/>
          <w:szCs w:val="20"/>
          <w:color w:val="auto"/>
        </w:rPr>
      </w:pPr>
    </w:p>
    <w:p>
      <w:pPr>
        <w:jc w:val="both"/>
        <w:ind w:left="1460" w:right="1179"/>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Level 2— </w:t>
      </w:r>
      <w:r>
        <w:rPr>
          <w:rFonts w:ascii="Times New Roman" w:cs="Times New Roman" w:eastAsia="Times New Roman" w:hAnsi="Times New Roman"/>
          <w:sz w:val="15"/>
          <w:szCs w:val="15"/>
          <w:color w:val="auto"/>
        </w:rPr>
        <w:t>Inputs other than Level 1 inputs that are either directly or indirectly observable, such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quoted market prices, interest rates and yield curves.</w:t>
      </w:r>
    </w:p>
    <w:p>
      <w:pPr>
        <w:spacing w:after="0" w:line="81" w:lineRule="exact"/>
        <w:rPr>
          <w:sz w:val="20"/>
          <w:szCs w:val="20"/>
          <w:color w:val="auto"/>
        </w:rPr>
      </w:pPr>
    </w:p>
    <w:p>
      <w:pPr>
        <w:jc w:val="both"/>
        <w:ind w:left="1460" w:right="117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Level 3— </w:t>
      </w:r>
      <w:r>
        <w:rPr>
          <w:rFonts w:ascii="Times New Roman" w:cs="Times New Roman" w:eastAsia="Times New Roman" w:hAnsi="Times New Roman"/>
          <w:sz w:val="15"/>
          <w:szCs w:val="15"/>
          <w:color w:val="auto"/>
        </w:rPr>
        <w:t>Unobservable inputs for the asset or liability (i.e. supported by little or no market activity).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Level 3 inputs include management’s own assumptions about the assumptions that market participants would use in pricing the asset or liability (including assumptions about risk).</w:t>
      </w:r>
    </w:p>
    <w:p>
      <w:pPr>
        <w:spacing w:after="0" w:line="94"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 There were no changes to the valuation methods utilized by the Company during the years ended December 31, 2023 and 2022.</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reviews long-lived assets when events or changes in circumstances indicate the carrying value of the assets may not be recoverable. Recoverability is measured by comparison of an asset’s book value to the estimated undiscounted future net cash flows that the asset is expected to generate. If the estimated future undiscounted net cash flows are less than the book value, the asset is considered impaired, and the impairment loss to be recognized in income is measured as the amount by which the book value of the asset exceeds its fair</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5" w:name="page216"/>
    <w:bookmarkEnd w:id="21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value, which is measured based on the estimated discounted future net cash flows that the asset is expected to generate. There were no impairment losses recognized during the years ended December 31, 2023 and 2022.</w:t>
      </w:r>
    </w:p>
    <w:p>
      <w:pPr>
        <w:spacing w:after="0" w:line="3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Deferred Offering Costs</w:t>
      </w:r>
    </w:p>
    <w:p>
      <w:pPr>
        <w:spacing w:after="0" w:line="128"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capitalizes legal, professional accounting and other third-party fees that are directly associated with the planned IPO as other non-current assets until the IPO is consummated. After consummation of the IPO, these costs will be recorded in stockholders’ deficit as a reduction of additional paid-in-capital generated as a result of the offering. If the Company terminates its plan for an IPO, any costs deferred will be expensed immediately. As of December 31, 2023, the Company had $1.4 million in deferred offering costs, which were included in other assets and accrued expenses. No deferred offering costs were recorded as of December 31, 2022.</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Collaboration Revenue</w:t>
      </w:r>
    </w:p>
    <w:p>
      <w:pPr>
        <w:spacing w:after="0" w:line="12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enters into license and collaboration arrangements with third parties, under which the Company licenses or may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spacing w:after="0" w:line="97"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One of the Company’s collaboration agreements is a strategic license and collaboration agreement with BMS (see Note 8), under which the Company licenses rights to obexelimab in Japan, South Korea, Taiwan, Singapore, Hong Kong and Australia.</w:t>
      </w:r>
    </w:p>
    <w:p>
      <w:pPr>
        <w:spacing w:after="0" w:line="9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 xml:space="preserve">At contract inception, the Company analyzes its collaboration and license arrangements to assess whether such arrangements are within the scope of ASC Topic 808, </w:t>
      </w:r>
      <w:r>
        <w:rPr>
          <w:rFonts w:ascii="Times New Roman" w:cs="Times New Roman" w:eastAsia="Times New Roman" w:hAnsi="Times New Roman"/>
          <w:sz w:val="15"/>
          <w:szCs w:val="15"/>
          <w:i w:val="1"/>
          <w:iCs w:val="1"/>
          <w:color w:val="auto"/>
        </w:rPr>
        <w:t>Collaborative Arrangements</w:t>
      </w:r>
      <w:r>
        <w:rPr>
          <w:rFonts w:ascii="Times New Roman" w:cs="Times New Roman" w:eastAsia="Times New Roman" w:hAnsi="Times New Roman"/>
          <w:sz w:val="15"/>
          <w:szCs w:val="15"/>
          <w:color w:val="auto"/>
        </w:rPr>
        <w:t xml:space="preserve"> (“ASC 808”). This assessment is performed throughout the life of the arrangement based on changes in the responsibilities of all parties in the arrangement. For collaboration arrangements within the scope of ASC 808 that contain multiple units of account, the Company first determines which units of the collaboration are deemed to be within the scope of ASC 808 and which units of the collaboration are more reflective of a vendor-customer relationship and therefore within the scope of ASC Topic 606,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(“ASC 606”).</w:t>
      </w:r>
    </w:p>
    <w:p>
      <w:pPr>
        <w:spacing w:after="0" w:line="254"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Contracts are considered to be collaborative arrangements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For elements of collaboration arrangements that are accounted for pursuant to ASC 808, an appropriate recognition method is determined and applied consistently, either by analogy to authoritative accounting literature or by applying a reasonable and rational policy election. Payments received from or made to a partner that are the result of a collaborative relationship with a partner, instead of a customer relationship, such as co-development activities, are recorded as a reduction or increase to research and development expense, respectively.</w:t>
      </w:r>
    </w:p>
    <w:p>
      <w:pPr>
        <w:spacing w:after="0" w:line="9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For the units of account within the scope of ASC 606, to determine the appropriate amount of revenue to be recognized for the arrangements, the Company performs the following five steps: (i) identification of the promised goods or services in the contract; (ii) determination of whether the promised goods or services are performance obligations including whether they are distinct;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6" w:name="page217"/>
    <w:bookmarkEnd w:id="21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promised goods or services in the Company’s arrangements typically consist of a license to the Company’s intellectual property and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245"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estimates the transaction price based on the amount expected to be received for transferring the promised goods or services in the contract. The consideration may include fixed consideration and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98"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The Company’s contracts often include development and regulatory milestone payments that are assessed under the most likely amount method and constrained if it is probable that a significant revenue reversal would occur. Due to the uncertainty of research and development and regulatory based milestones that are not within the control of the Company, payment becomes probable upon achievement. At the end of each reporting period, the Company re-evaluates the probability of achievement of such development and clinical milestones and any related constraint, and if necessary, adjusts its estimate of the overall transaction price. Any such adjustments are recorded on a cumulative catch-up basis, which would affect research collaboration revenue in the period of adjustment. Any amounts due to the Company but not received as of period-end will be recorded to other current assets.</w:t>
      </w:r>
    </w:p>
    <w:p>
      <w:pPr>
        <w:spacing w:after="0" w:line="99"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For arrangements that include sales -based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arrangements.</w:t>
      </w:r>
    </w:p>
    <w:p>
      <w:pPr>
        <w:spacing w:after="0" w:line="269"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The Company allocates the transaction price based on the estimated standalone selling price. The Company must develop assumptions that require judgment to determine the stand- 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including a reasonable margin.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 The consideration allocated to each performance obligation is recognized as revenue when control is transferred for the related goods or services.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28"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Research and development costs include (i) employee-related expenses, including salaries, benefits, and stock- based compensation expense; (ii) external research and development expenses incurred under arrangements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7" w:name="page218"/>
    <w:bookmarkEnd w:id="21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with third parties, such as CRO agreements and consultants; (iii) costs associated with preclinical activities and (iv) lab supplies, lab expenses and an allocation of rent, depreciation, and infrastructure. Costs incurred in connection with research and development activities are expensed as incurred.</w:t>
      </w:r>
    </w:p>
    <w:p>
      <w:pPr>
        <w:spacing w:after="0" w:line="89"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Costs are considered incurred based on an evaluation of the progress to completion of specific tasks under each contract using information and data, such as patient enrollment or clinical site activations, provided by the Company’s clinical sites and vendors. These costs consist of direct and indirect costs associated with specific projects, as well as fees paid to various entities that perform certain research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Milestone payments under license agreements are accrued, with a corresponding expense being recognized, in the period in which the milestone is determined to be probable of achievement and the related amount is reasonably estimable. The Company monitors each of these factors and adjusts estimates accordingly. The Company has not experienced any material differences between accrued costs and actual costs incurred since its inception.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Asset Acquisitions and Acquired In-Process Research and Development Expense</w:t>
      </w:r>
    </w:p>
    <w:p>
      <w:pPr>
        <w:spacing w:after="0" w:line="12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Acquired IPR&amp;D that has no alternative future use as of the acquisition date is recognized as IPR&amp;D expense as of the acquisition date. The Company will recognize additional IPR&amp;D expenses in the future if and when the Company becomes obligated to make contingent milestone payments under the terms of the agreements by which it acquired the IPR&amp;D assets. The Company classifies payments made for the acquisition of IPR&amp;D assets, whether capitalized or expensed, as investing activities on its statement of cash flows.</w:t>
      </w:r>
    </w:p>
    <w:p>
      <w:pPr>
        <w:spacing w:after="0" w:line="234"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Contingent consideration in the form of milestone payments related to IPR&amp;D with no alternative future use are charged to expense when the related milestone is achieved and becomes payable. For the year ended December 31, 2023, the Company recognized $10.0 million of IPR&amp;D expense in connection with the consideration due under the 2021 Xencor Agreement (see Note 9). For the year ended December 31, 2022, the Company recognized $1.0 million of IPR&amp;D expense in connection with the consideration due under the Viridian Agreement (see Note 9).</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Comprehensive Loss</w:t>
      </w:r>
    </w:p>
    <w:p>
      <w:pPr>
        <w:spacing w:after="0" w:line="12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Comprehensive loss is defined as the change in equity of a business enterprise during a period from transactions and other events and circumstances from non-owner sources. Comprehensive loss consists of net loss and other comprehensive loss. During the years ended December 31, 2023 and 2022, the Company’s only element of other comprehensive loss was foreign currency translation adjustments.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determines if an arrangement is a lease at inception. Operating leases are included in right-of-use lease assets (“ROU assets”), current portion of lease obligations and long-term lease obligations on the Company’s consolidated balance sheet. Assets subject to finance leases are included in property and equipment, and the related lease obligation is included in other current liabilities and other long-term liabilities on the Company’s consolidated balance sheet. Lease assets are tested for impairment in the same manner as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8" w:name="page219"/>
    <w:bookmarkEnd w:id="21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long-lived assets used in operations. Lease expense for operating leases is recognized on a straight-line basis over the lease term as an operating expense, while expense for financing leases is recognized as depreciation expense (classified as an operating expense) and interest expense (classified as a non-operating expense) using the effective interest method. The Company has elected the short-term lease recognition exemption for short-term leases, which allows the Company not to recognize lease liabilities and ROU assets on the consolidated balance sheet for leases with an original term of twelve months or less.</w:t>
      </w:r>
    </w:p>
    <w:p>
      <w:pPr>
        <w:spacing w:after="0" w:line="97"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ROU assets represent the Company’s right to use an underlying asset for the lease term, and lease obligations represent the Company’s obligation to make lease payments arising from the lease. Operating lease liabilities and their corresponding ROU assets are initially recognized based on the present value of lease payments over the expected remaining lease term. When determining the lease term, the Company includes options to extend or terminate the lease when it is reasonably certain that the Company will exercise the option. Certain adjustments to the ROU asset may be required for items such as incentives received from the lessor. The interest rate implicit in lease contracts is typically not readily determinable. Therefore, the Company utilizes its incremental borrowing rate to discount lease payments. The incremental borrowing rate reflects the fixed rate at which the Company could borrow, on a collateralized basis, the amount of the lease payments in the same currency, for a similar term, in a similar economic environment. Prospectively, the Company will adjust the ROU assets for straight-line rent expense, or any incentives received and remeasures the lease liability at the net present value using the same incremental borrowing rate that was in effect as of the lease commencement or transition date. The Company generally accounts for non-lease components together with lease components. The Company expenses variable payments included in a lease arrangement as such expenses are incurred.</w:t>
      </w:r>
    </w:p>
    <w:p>
      <w:pPr>
        <w:spacing w:after="0" w:line="2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2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 xml:space="preserve">The Company accounts for income taxes in accordance with ASC Topic 740, </w:t>
      </w:r>
      <w:r>
        <w:rPr>
          <w:rFonts w:ascii="Times New Roman" w:cs="Times New Roman" w:eastAsia="Times New Roman" w:hAnsi="Times New Roman"/>
          <w:sz w:val="15"/>
          <w:szCs w:val="15"/>
          <w:i w:val="1"/>
          <w:iCs w:val="1"/>
          <w:color w:val="auto"/>
        </w:rPr>
        <w:t>Accounting for Income Taxes</w:t>
      </w:r>
      <w:r>
        <w:rPr>
          <w:rFonts w:ascii="Times New Roman" w:cs="Times New Roman" w:eastAsia="Times New Roman" w:hAnsi="Times New Roman"/>
          <w:sz w:val="15"/>
          <w:szCs w:val="15"/>
          <w:color w:val="auto"/>
        </w:rPr>
        <w:t>,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deferred tax assets will not be realized.</w:t>
      </w:r>
    </w:p>
    <w:p>
      <w:pPr>
        <w:spacing w:after="0" w:line="10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accounts for uncertain tax positions recognized in the consolidated financial statements by prescribing a “more likely than not” threshold for financial statement recognition and measurement of a tax position taken or expected to be taken in a tax return. There are no unrecognized tax benefits included in the Company’s consolidated balance sheets as of December 31, 2023 and 2022. The Company’s policy is to recognize interest and penalties related to income tax matters in income tax expense. The Company has not recognized interest or penalties related to uncertain tax positions in its consolidated statements of operations and comprehensive loss since inception.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The Company grants stock-based awards to employees, non-employee consultants and members of its board of directors (the “Board”). Stock -based compensation is recognized as expense for each stock -based award based on its estimated fair value. The Company’s share-based payments include stock options and grants of common stock. The value of the award is recognized as expense on a straight-line basis over the requisite service period, and expense is adjusted for pre-vesting forfeitures in the period in which the forfeitures occur. Stock-based compensation expense is classified in the accompanying consolidated statements of operations and comprehensive loss in the same manner in which the award recipient’s payroll costs are classified or in which the award recipients service payments are classified.</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9" w:name="page220"/>
    <w:bookmarkEnd w:id="21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The Company determines the fair value of each restricted stock award (“RSA”) at its grant date based on the estimated fair value of the Company’s common stock on that date as determined by the Board. The Company determines the fair value of each stock option award at its grant date using the Black-Scholes option pricing model, which requires inputs based on certain subjective assumptions. The Board determines the fair value of the Company’s common stock, taking into consideration its most recently available third-party valuations of common stock and as well as additional factors which may have changed since the date of the most recent contemporaneous valuation through the grant date. The Company has historically been a private company and lacks company-specific historical and implied volatility information. The Company estimates its expected stock volatility based on the historical volatility of a publicly traded set of representative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 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Convertible Preferred Stock</w:t>
      </w:r>
    </w:p>
    <w:p>
      <w:pPr>
        <w:spacing w:after="0" w:line="117"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The Company has classified convertible preferred stock as temporary equity (between liabilities and stockholders deficit) in the accompanying consolidated balance sheet because it could become redeemable due to certain change in control clauses that are outside of the Company’s control. The convertible preferred stock is not redeemable, except in the event of a deemed liquidation event (see Note 10, “Convertible Preferred Stock”).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Net Loss Per Share</w:t>
      </w:r>
    </w:p>
    <w:p>
      <w:pPr>
        <w:spacing w:after="0" w:line="128"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Basic net loss per share is computed by dividing net loss by the weighted-average number of common shares outstanding during the period. Diluted net loss per share is computed using the weighted-average number of common shares outstanding during the period and, if dilutive, the weighted-average number of potential shares of common stock. Net loss per share attributable to common stockholders is calculated using the two- class method, which is an earnings allocation formula that determines net loss per share for the holders of the Company’s common shares and participating securities. The Company’s convertible preferred stock contains participation rights in any dividend paid by the Company and is deemed to be a participating security. Net loss attributable to common stockholders and participating preferred shares are allocated to each share on an as-converted basis as if all of the earnings for the period had been distributed. The participating securities do not include a contractual obligation to share in losses of the Company and are not included in the calculation of net loss per share in the periods in which a net loss is recorded.</w:t>
      </w:r>
    </w:p>
    <w:p>
      <w:pPr>
        <w:spacing w:after="0" w:line="101"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common shares included in the computation of diluted net loss per share gives effect to all potentially dilutive common equivalent shares, including outstanding stock options and preferred stock.</w:t>
      </w:r>
    </w:p>
    <w:p>
      <w:pPr>
        <w:spacing w:after="0" w:line="97"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0" w:name="page221"/>
    <w:bookmarkEnd w:id="22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their effect is antidilutive. The Company reported a net loss attributable to common stockholders for the years ended December 31, 2023 and 2022.</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28"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Jumpstart Our Business Startups Act of 2012 (“JOBS Act”) permits an emerging growth company to take advantage of an extended transition period to comply with new or revised accounting standards applicable to public companies until those standards would otherwise apply to private companies. As an emerging growth company (“EGC”), the Company has elected to take advantage of this extended transition period for certain new accounting standards, and as a result of this election, its financial statements may not be comparable to companies that comply with public company effective dates. The JOBS Act also exempts the Company from having to provide an auditor attestation of internal controls over financial reporting under Sarbanes-Oxley Act Section 404(b).</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 xml:space="preserve">In November 2023, the Financial Accounting Standard Board (“FASB”) issued Accounting Standard Update (“ASU”) 2023-07, </w:t>
      </w:r>
      <w:r>
        <w:rPr>
          <w:rFonts w:ascii="Times New Roman" w:cs="Times New Roman" w:eastAsia="Times New Roman" w:hAnsi="Times New Roman"/>
          <w:sz w:val="15"/>
          <w:szCs w:val="15"/>
          <w:i w:val="1"/>
          <w:iCs w:val="1"/>
          <w:color w:val="auto"/>
        </w:rPr>
        <w:t>Segment Reporting (Topic 280)—Improvements to Reportable Segment Disclosures</w:t>
      </w:r>
      <w:r>
        <w:rPr>
          <w:rFonts w:ascii="Times New Roman" w:cs="Times New Roman" w:eastAsia="Times New Roman" w:hAnsi="Times New Roman"/>
          <w:sz w:val="15"/>
          <w:szCs w:val="15"/>
          <w:color w:val="auto"/>
        </w:rPr>
        <w:t>, which is intended to improve reportable segment disclosure requirements, primarily through additional disclosures about significant segment expenses. The standard is effective for the Company beginning in fiscal year 2024, with early adoption permitted. The amendments should be applied retroactively to all prior periods presented in the financial statements. The Company is currently evaluating the impact of ASU 2023-07 on the consolidated financial statements and related disclosures.</w:t>
      </w:r>
    </w:p>
    <w:p>
      <w:pPr>
        <w:spacing w:after="0" w:line="9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740)—Improvements to Income 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Disclosures</w:t>
      </w:r>
      <w:r>
        <w:rPr>
          <w:rFonts w:ascii="Times New Roman" w:cs="Times New Roman" w:eastAsia="Times New Roman" w:hAnsi="Times New Roman"/>
          <w:sz w:val="15"/>
          <w:szCs w:val="15"/>
          <w:color w:val="auto"/>
        </w:rPr>
        <w:t>. The new standard requires a company to expand its existing income tax disclosures,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specifically related to the rate reconciliation and income taxes paid. The standard is effective for the Company beginning in fiscal year 2025, with early adoption permitted. The Company does not expect to early adopt the new standard. The new standard is expected to be applied prospectively, but retrospective application is permitted. The Company is currently evaluating the impact of ASU 2023-09 on the consolidated financial statements and related disclosures.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w:t>
      </w:r>
    </w:p>
    <w:p>
      <w:pPr>
        <w:spacing w:after="0" w:line="126"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had no assets or liabilities utilizing fair value measurements as of December 31, 2022. The following table presents information about the Company’s financial assets and liabilities measured at fair value on a recurring basis (in thousands):</w:t>
      </w:r>
    </w:p>
    <w:p>
      <w:pPr>
        <w:spacing w:after="0" w:line="10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380" w:type="dxa"/>
            <w:vAlign w:val="bottom"/>
          </w:tcPr>
          <w:p>
            <w:pPr>
              <w:ind w:left="6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bottom w:val="single" w:sz="8" w:color="auto"/>
            </w:tcBorders>
            <w:gridSpan w:val="2"/>
          </w:tcPr>
          <w:p>
            <w:pPr>
              <w:spacing w:after="0"/>
              <w:rPr>
                <w:sz w:val="16"/>
                <w:szCs w:val="16"/>
                <w:color w:val="auto"/>
              </w:rPr>
            </w:pPr>
          </w:p>
        </w:tc>
        <w:tc>
          <w:tcPr>
            <w:tcW w:w="1180" w:type="dxa"/>
            <w:vAlign w:val="bottom"/>
            <w:tcBorders>
              <w:bottom w:val="single" w:sz="8" w:color="auto"/>
            </w:tcBorders>
            <w:gridSpan w:val="6"/>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Balance Sheet Classification</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1 </w:t>
            </w:r>
            <w:r>
              <w:rPr>
                <w:rFonts w:ascii="Times New Roman" w:cs="Times New Roman" w:eastAsia="Times New Roman" w:hAnsi="Times New Roman"/>
                <w:sz w:val="21"/>
                <w:szCs w:val="21"/>
                <w:b w:val="1"/>
                <w:bCs w:val="1"/>
                <w:color w:val="auto"/>
                <w:vertAlign w:val="subscript"/>
              </w:rPr>
              <w:t>​</w:t>
            </w: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2 </w:t>
            </w:r>
            <w:r>
              <w:rPr>
                <w:rFonts w:ascii="Times New Roman" w:cs="Times New Roman" w:eastAsia="Times New Roman" w:hAnsi="Times New Roman"/>
                <w:sz w:val="21"/>
                <w:szCs w:val="21"/>
                <w:b w:val="1"/>
                <w:bCs w:val="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Total   </w:t>
            </w:r>
            <w:r>
              <w:rPr>
                <w:rFonts w:ascii="Times New Roman" w:cs="Times New Roman" w:eastAsia="Times New Roman" w:hAnsi="Times New Roman"/>
                <w:sz w:val="21"/>
                <w:szCs w:val="21"/>
                <w:b w:val="1"/>
                <w:bCs w:val="1"/>
                <w:color w:val="auto"/>
                <w:vertAlign w:val="subscript"/>
              </w:rPr>
              <w:t>​</w:t>
            </w:r>
          </w:p>
        </w:tc>
      </w:tr>
      <w:tr>
        <w:trPr>
          <w:trHeight w:val="20"/>
        </w:trPr>
        <w:tc>
          <w:tcPr>
            <w:tcW w:w="2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tcBorders>
              <w:left w:val="single" w:sz="8" w:color="CCEEFF"/>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   ​​​</w:t>
            </w:r>
          </w:p>
        </w:tc>
        <w:tc>
          <w:tcPr>
            <w:tcW w:w="64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5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BMS Note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Non-current liability</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w:t>
            </w:r>
          </w:p>
        </w:tc>
        <w:tc>
          <w:tcPr>
            <w:tcW w:w="440" w:type="dxa"/>
            <w:vAlign w:val="bottom"/>
            <w:gridSpan w:val="2"/>
          </w:tcPr>
          <w:p>
            <w:pPr>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w:t>
            </w:r>
          </w:p>
        </w:tc>
        <w:tc>
          <w:tcPr>
            <w:tcW w:w="74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20,300</w:t>
            </w:r>
            <w:r>
              <w:rPr>
                <w:rFonts w:ascii="Times New Roman" w:cs="Times New Roman" w:eastAsia="Times New Roman" w:hAnsi="Times New Roman"/>
                <w:sz w:val="25"/>
                <w:szCs w:val="25"/>
                <w:color w:val="auto"/>
                <w:vertAlign w:val="subscript"/>
              </w:rPr>
              <w:t>​​</w:t>
            </w:r>
          </w:p>
        </w:tc>
        <w:tc>
          <w:tcPr>
            <w:tcW w:w="68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20,300</w:t>
            </w:r>
            <w:r>
              <w:rPr>
                <w:rFonts w:ascii="Times New Roman" w:cs="Times New Roman" w:eastAsia="Times New Roman" w:hAnsi="Times New Roman"/>
                <w:sz w:val="25"/>
                <w:szCs w:val="25"/>
                <w:color w:val="auto"/>
                <w:vertAlign w:val="subscript"/>
              </w:rPr>
              <w:t>​</w:t>
            </w:r>
          </w:p>
        </w:tc>
      </w:tr>
      <w:tr>
        <w:trPr>
          <w:trHeight w:val="20"/>
        </w:trPr>
        <w:tc>
          <w:tcPr>
            <w:tcW w:w="2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3"/>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w:t>
            </w:r>
          </w:p>
        </w:tc>
        <w:tc>
          <w:tcPr>
            <w:tcW w:w="44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w:t>
            </w:r>
          </w:p>
        </w:tc>
        <w:tc>
          <w:tcPr>
            <w:tcW w:w="160" w:type="dxa"/>
            <w:vAlign w:val="bottom"/>
            <w:tcBorders>
              <w:left w:val="single" w:sz="8" w:color="CCEEFF"/>
            </w:tcBorders>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5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20,300</w:t>
            </w:r>
            <w:r>
              <w:rPr>
                <w:rFonts w:ascii="Times New Roman" w:cs="Times New Roman" w:eastAsia="Times New Roman" w:hAnsi="Times New Roman"/>
                <w:sz w:val="23"/>
                <w:szCs w:val="23"/>
                <w:color w:val="auto"/>
                <w:vertAlign w:val="subscript"/>
              </w:rPr>
              <w:t>​​</w:t>
            </w:r>
          </w:p>
        </w:tc>
        <w:tc>
          <w:tcPr>
            <w:tcW w:w="22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2"/>
              </w:rPr>
              <w:t>20,300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-173990</wp:posOffset>
            </wp:positionV>
            <wp:extent cx="11874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41122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-452755</wp:posOffset>
            </wp:positionV>
            <wp:extent cx="11176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-452755</wp:posOffset>
            </wp:positionV>
            <wp:extent cx="11176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-452755</wp:posOffset>
            </wp:positionV>
            <wp:extent cx="11176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-452755</wp:posOffset>
            </wp:positionV>
            <wp:extent cx="11176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-452755</wp:posOffset>
            </wp:positionV>
            <wp:extent cx="11176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3"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During the years ended December 31, 2023 and 2022, there were no transfers between levels. The Company uses the carrying amounts of its prepaid expenses and other current assets, accounts payable and accrued expenses to approximate their fair value due to the short-term nature of these amounts.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Warrant Liability</w:t>
      </w:r>
    </w:p>
    <w:p>
      <w:pPr>
        <w:spacing w:after="0" w:line="117"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In connection with the 2021 Xencor Agreement, the Company issued a warrant to Xencor (the “Xencor Warrant”) that entitled Xencor to receive a number of shares of the Company’s convertible preferred stock in the Company’s next “Qualified Financing” as defined in the Xencor Warrant.</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1" w:name="page222"/>
    <w:bookmarkEnd w:id="22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 (Continued)</w:t>
      </w:r>
    </w:p>
    <w:p>
      <w:pPr>
        <w:spacing w:after="0" w:line="181"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 xml:space="preserve">The Company concluded that the warrant should be liability classified and accounted for at fair value pursuant to ASC Topic 480, </w:t>
      </w:r>
      <w:r>
        <w:rPr>
          <w:rFonts w:ascii="Times New Roman" w:cs="Times New Roman" w:eastAsia="Times New Roman" w:hAnsi="Times New Roman"/>
          <w:sz w:val="15"/>
          <w:szCs w:val="15"/>
          <w:i w:val="1"/>
          <w:iCs w:val="1"/>
          <w:color w:val="auto"/>
        </w:rPr>
        <w:t>Distinguishing Liabilities from Equity</w:t>
      </w:r>
      <w:r>
        <w:rPr>
          <w:rFonts w:ascii="Times New Roman" w:cs="Times New Roman" w:eastAsia="Times New Roman" w:hAnsi="Times New Roman"/>
          <w:sz w:val="15"/>
          <w:szCs w:val="15"/>
          <w:color w:val="auto"/>
        </w:rPr>
        <w:t>, as it is exercisable into shares that are redeemable outside of the control of the Company. The fair value of the warrant at issuance was determined to be $20.7 million. The Company reassessed the fair value of the Xencor Warrant at each reporting period up to and immediately prior to settlement or exercise and recorded the change in fair value as a component of other income (expense), net in the Company’s consolidated statements of operations and comprehensive loss. The Xencor Warrant was exercised in full in November 2022. Immediately prior to the exercise of the warrant, the Company reassessed the fair value, which was determined to be $34.5 million. For the year ended December 31, 2022, the Company recorded $13.3 million of expense as a result of the change in fair value of the Xencor Warrant.</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2021 Notes</w:t>
      </w:r>
    </w:p>
    <w:p>
      <w:pPr>
        <w:spacing w:after="0" w:line="115"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November 2021, the Company issued and sold an aggregate of $58.0 million of convertible promissory notes (the “2021 Notes”) to several investors, pursuant to a Note Purchase Agreement with each investor (see Note 7). In November 2022, concurrently with the issuance and sale of the Company’s Series B convertible preferred stock (“Series B Preferred Stock”), which was deemed to be a “Qualified Financing” as defined in the agreements governing the 2021 Notes, all of the outstanding principal plus accrued interest of the 2021 Notes was automatically converted into an aggregate of 37,471,107 shares of Series B Preferred Stock. Prior to the conversion, the 2021 Notes bore interest at a rate of 8.0% per annum, with a maturity date of May 19, 2023. Conversion into shares of preferred stock was mandatory upon the Company’s issuance of a new class or series of its preferred stock which is senior to the Company’s Series A convertible preferred stock (“Series A Preferred Stock”) as approved by the Board and the holders of Series A Preferred Stock, with aggregate gross proceeds of a specified amount (excluding conversion of the 2021 Notes or any other convertible securities).</w:t>
      </w:r>
    </w:p>
    <w:p>
      <w:pPr>
        <w:spacing w:after="0" w:line="9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 xml:space="preserve">Pursuant to ASC Topic 825,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the Company elected to record the 2021 Notes at fair value upon issuance and at every subsequent reporting date (until the 2021 Notes are converted, repaid or otherwise settled). The 2021 Notes qualified for the fair value option because no component of the 2021 Notes was required to be recorded as a component of stockholders’ deficit. As the Company elected the fair value option for the 2021 Notes, it did not accrue interest expense, as the fair value of the 2021 Notes included consideration of the 8.0% interest element. The Company recorded any change in fair value of the 2021 Notes as a component of other income (expense), net in its consolidated statements of operations and comprehensive loss.</w:t>
      </w:r>
    </w:p>
    <w:p>
      <w:pPr>
        <w:spacing w:after="0" w:line="10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recorded a $29.9 million change in fair value for the 2021 Note as a component of other income (expense), net in the Company’s consolidated statement of operations and comprehensive loss for the year ended December 31, 2022.</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BMS Note</w:t>
      </w:r>
    </w:p>
    <w:p>
      <w:pPr>
        <w:spacing w:after="0" w:line="12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August 2023, the Company entered into a $20.0 million convertible promissory note agreement with BMS (the “BMS Note”) in connection with its strategic license and collaboration agreement with BMS (the “BMS Agreement”) (see Note 8). The BMS Note contains various conversion features including mandatory conversion upon the occurrence of a qualified financing event, IPO, reverse merger, or special purpose acquisition company transaction and conversion at the option of BMS upon the occurrence of a non-qualified financing event. If the Company issues and sells its convertible preferred stock to accredited investors with total gross proceeds equal to at least $70.0 million (a “BMS Qualified Financing”), the outstanding principal and accrued interest of the BMS Note shall automatically convert into equity securities sold in the BMS Qualified Financing at a conversion price equal (i) to the outstanding principal and accrued interest under the BMS Note divided by (ii) the lowest cash price paid per equity security. Similarly, automatic conversion of the</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2" w:name="page223"/>
    <w:bookmarkEnd w:id="22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 (Continued)</w:t>
      </w:r>
    </w:p>
    <w:p>
      <w:pPr>
        <w:spacing w:after="0" w:line="181"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BMS Note upon an IPO would result in a conversion price equal to (i) the outstanding principal and accrued interest under the BMS Note divided by (ii) the price per share listed in the registration statement to be paid by the investors for the Company’s common stock. The Company elected the fair value option to account for the BMS Note. Changes in fair value are recorded as a component of other income (expense), net in the consolidated statements of operations and comprehensive loss.</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BMS Note is classified as a liability on the Company’s consolidated balance sheet and was initially recorded at fair value. The fair value of the BMS Note was estimated based on significant inputs not observable in the market, representing a Level 3 measurement within the fair value hierarchy. The Company used a scenario-based analysis to incorporate estimates and assumptions concerning the Company’s prospects and market indications into a model to estimate the fair value of the BMS Note. The most significant estimates and assumptions used as inputs were those concerning the timing and probability of possible scenarios for conversion or settlement of the BMS Note and the discount rate. The Company will subsequently remeasure the fair value of the BMS Note at each reporting period.</w:t>
      </w:r>
    </w:p>
    <w:p>
      <w:pPr>
        <w:spacing w:after="0" w:line="10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recorded a $0.3 million change in fair value for the BMS Note as a component of other income (expense), net in the Company’s consolidated statements of operations and comprehensive loss for the year ended December 31, 2023.</w:t>
      </w:r>
    </w:p>
    <w:p>
      <w:pPr>
        <w:spacing w:after="0" w:line="83"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table below presents changes in the Company’s liabilities with significant unobservable inputs (Level 3 liabilities) during the years ended December 31, 2023 and 2022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60" w:type="dxa"/>
            <w:vAlign w:val="bottom"/>
            <w:gridSpan w:val="8"/>
          </w:tcPr>
          <w:p>
            <w:pPr>
              <w:ind w:left="4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Convertible notes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Warrant liability</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6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59,555​ ​​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29,876​ ​​ ​</w:t>
            </w:r>
          </w:p>
        </w:tc>
        <w:tc>
          <w:tcPr>
            <w:tcW w:w="3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13,268​ ​</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Series B Preferred Stock in exchange for 2021 Notes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(89,431)​​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Series B Preferred Stock upon exercise of warrants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9"/>
                <w:szCs w:val="19"/>
                <w:color w:val="auto"/>
              </w:rPr>
            </w:pPr>
          </w:p>
        </w:tc>
        <w:tc>
          <w:tcPr>
            <w:tcW w:w="160" w:type="dxa"/>
            <w:vAlign w:val="bottom"/>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p>
        </w:tc>
        <w:tc>
          <w:tcPr>
            <w:tcW w:w="86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(34,468)</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6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 ​</w:t>
            </w:r>
          </w:p>
        </w:tc>
        <w:tc>
          <w:tcPr>
            <w:tcW w:w="320" w:type="dxa"/>
            <w:vAlign w:val="bottom"/>
            <w:shd w:val="clear" w:color="auto" w:fill="CCEEFF"/>
          </w:tcPr>
          <w:p>
            <w:pPr>
              <w:ind w:left="16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Issuance of BMS Note</w:t>
            </w:r>
          </w:p>
        </w:tc>
        <w:tc>
          <w:tcPr>
            <w:tcW w:w="16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ind w:left="200"/>
              <w:spacing w:after="0" w:line="161" w:lineRule="exact"/>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20,000​ ​​ ​</w:t>
            </w:r>
          </w:p>
        </w:tc>
        <w:tc>
          <w:tcPr>
            <w:tcW w:w="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68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300​ </w:t>
            </w:r>
            <w:r>
              <w:rPr>
                <w:rFonts w:ascii="Times New Roman" w:cs="Times New Roman" w:eastAsia="Times New Roman" w:hAnsi="Times New Roman"/>
                <w:sz w:val="25"/>
                <w:szCs w:val="25"/>
                <w:color w:val="auto"/>
                <w:vertAlign w:val="subscript"/>
              </w:rPr>
              <w:t>​​ ​</w:t>
            </w:r>
          </w:p>
        </w:tc>
        <w:tc>
          <w:tcPr>
            <w:tcW w:w="320" w:type="dxa"/>
            <w:vAlign w:val="bottom"/>
            <w:shd w:val="clear" w:color="auto" w:fill="CCEEFF"/>
          </w:tcPr>
          <w:p>
            <w:pPr>
              <w:ind w:left="16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8"/>
                <w:szCs w:val="18"/>
                <w:color w:val="auto"/>
              </w:rPr>
            </w:pPr>
          </w:p>
        </w:tc>
        <w:tc>
          <w:tcPr>
            <w:tcW w:w="160" w:type="dxa"/>
            <w:vAlign w:val="bottom"/>
          </w:tcPr>
          <w:p>
            <w:pPr>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6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 xml:space="preserve">20,300​ </w:t>
            </w:r>
            <w:r>
              <w:rPr>
                <w:rFonts w:ascii="Times New Roman" w:cs="Times New Roman" w:eastAsia="Times New Roman" w:hAnsi="Times New Roman"/>
                <w:sz w:val="23"/>
                <w:szCs w:val="23"/>
                <w:color w:val="auto"/>
                <w:vertAlign w:val="subscript"/>
              </w:rPr>
              <w:t>​​ ​</w:t>
            </w:r>
          </w:p>
        </w:tc>
        <w:tc>
          <w:tcPr>
            <w:tcW w:w="320" w:type="dxa"/>
            <w:vAlign w:val="bottom"/>
          </w:tcPr>
          <w:p>
            <w:pPr>
              <w:ind w:left="16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5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-613410</wp:posOffset>
            </wp:positionV>
            <wp:extent cx="371856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7185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-1157605</wp:posOffset>
            </wp:positionV>
            <wp:extent cx="371856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718560"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4. Other Assets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assets consisted of the following (in thousands):</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Prepaid clinical expenses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w:t>
      </w:r>
    </w:p>
    <w:p>
      <w:pPr>
        <w:spacing w:after="0" w:line="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5,788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4,122​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 ​​ ​ 1,388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32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680" w:type="dxa"/>
            <w:vAlign w:val="bottom"/>
            <w:gridSpan w:val="3"/>
          </w:tcPr>
          <w:p>
            <w:pPr>
              <w:ind w:left="140"/>
              <w:spacing w:after="0" w:line="201" w:lineRule="exact"/>
              <w:rPr>
                <w:sz w:val="20"/>
                <w:szCs w:val="20"/>
                <w:color w:val="auto"/>
              </w:rPr>
            </w:pPr>
            <w:r>
              <w:rPr>
                <w:rFonts w:ascii="Times New Roman" w:cs="Times New Roman" w:eastAsia="Times New Roman" w:hAnsi="Times New Roman"/>
                <w:sz w:val="23"/>
                <w:szCs w:val="23"/>
                <w:color w:val="auto"/>
                <w:vertAlign w:val="superscript"/>
              </w:rPr>
              <w:t>100</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3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126</w:t>
            </w:r>
            <w:r>
              <w:rPr>
                <w:rFonts w:ascii="Times New Roman" w:cs="Times New Roman" w:eastAsia="Times New Roman" w:hAnsi="Times New Roman"/>
                <w:sz w:val="23"/>
                <w:szCs w:val="23"/>
                <w:color w:val="auto"/>
                <w:vertAlign w:val="subscript"/>
              </w:rPr>
              <w:t>​</w:t>
            </w:r>
          </w:p>
        </w:tc>
      </w:tr>
      <w:tr>
        <w:trPr>
          <w:trHeight w:val="20"/>
        </w:trPr>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2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680" w:type="dxa"/>
            <w:vAlign w:val="bottom"/>
            <w:gridSpan w:val="3"/>
          </w:tcPr>
          <w:p>
            <w:pPr>
              <w:ind w:left="20"/>
              <w:spacing w:after="0" w:line="200" w:lineRule="exact"/>
              <w:rPr>
                <w:sz w:val="20"/>
                <w:szCs w:val="20"/>
                <w:color w:val="auto"/>
              </w:rPr>
            </w:pPr>
            <w:r>
              <w:rPr>
                <w:rFonts w:ascii="Times New Roman" w:cs="Times New Roman" w:eastAsia="Times New Roman" w:hAnsi="Times New Roman"/>
                <w:sz w:val="13"/>
                <w:szCs w:val="13"/>
                <w:color w:val="auto"/>
              </w:rPr>
              <w:t>7,276</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3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4,248</w:t>
            </w:r>
            <w:r>
              <w:rPr>
                <w:rFonts w:ascii="Times New Roman" w:cs="Times New Roman" w:eastAsia="Times New Roman" w:hAnsi="Times New Roman"/>
                <w:sz w:val="23"/>
                <w:szCs w:val="23"/>
                <w:color w:val="auto"/>
                <w:vertAlign w:val="subscript"/>
              </w:rPr>
              <w:t>​</w:t>
            </w:r>
          </w:p>
        </w:tc>
      </w:tr>
      <w:tr>
        <w:trPr>
          <w:trHeight w:val="20"/>
        </w:trPr>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720"/>
            <w:col w:w="2519"/>
          </w:cols>
          <w:pgMar w:left="1440" w:top="98" w:right="1440" w:bottom="1440" w:gutter="0" w:footer="0" w:header="0"/>
          <w:type w:val="continuous"/>
        </w:sect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23" w:name="page224"/>
    <w:bookmarkEnd w:id="22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2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5. Accrued Expenses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Accrued expenses consisted of the following (in thousands):</w:t>
      </w:r>
    </w:p>
    <w:p>
      <w:pPr>
        <w:sectPr>
          <w:pgSz w:w="11900" w:h="16838" w:orient="portrait"/>
          <w:cols w:equalWidth="0" w:num="1">
            <w:col w:w="9019"/>
          </w:cols>
          <w:pgMar w:left="1440" w:top="98" w:right="1440" w:bottom="1440" w:gutter="0" w:footer="0" w:header="0"/>
        </w:sectPr>
      </w:pP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Employee compensation and benefits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External research, development and manufacturing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Professional and consultant fees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w:t>
      </w:r>
    </w:p>
    <w:p>
      <w:pPr>
        <w:spacing w:after="0" w:line="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accrued expenses</w:t>
      </w:r>
    </w:p>
    <w:p>
      <w:pPr>
        <w:spacing w:after="0" w:line="3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6. Leases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320" w:type="dxa"/>
            <w:vAlign w:val="bottom"/>
            <w:tcBorders>
              <w:bottom w:val="single" w:sz="8" w:color="auto"/>
            </w:tcBorders>
          </w:tcPr>
          <w:p>
            <w:pPr>
              <w:spacing w:after="0"/>
              <w:rPr>
                <w:sz w:val="16"/>
                <w:szCs w:val="16"/>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6"/>
                <w:szCs w:val="16"/>
                <w:color w:val="auto"/>
              </w:rPr>
            </w:pPr>
          </w:p>
        </w:tc>
        <w:tc>
          <w:tcPr>
            <w:tcW w:w="680" w:type="dxa"/>
            <w:vAlign w:val="bottom"/>
            <w:gridSpan w:val="3"/>
          </w:tcPr>
          <w:p>
            <w:pPr>
              <w:jc w:val="right"/>
              <w:ind w:right="10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 ​</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2022   </w:t>
            </w:r>
            <w:r>
              <w:rPr>
                <w:rFonts w:ascii="Times New Roman" w:cs="Times New Roman" w:eastAsia="Times New Roman" w:hAnsi="Times New Roman"/>
                <w:sz w:val="21"/>
                <w:szCs w:val="21"/>
                <w:b w:val="1"/>
                <w:bCs w:val="1"/>
                <w:color w:val="auto"/>
                <w:vertAlign w:val="subscript"/>
              </w:rPr>
              <w:t>​</w:t>
            </w:r>
          </w:p>
        </w:tc>
      </w:tr>
      <w:tr>
        <w:trPr>
          <w:trHeight w:val="20"/>
        </w:trPr>
        <w:tc>
          <w:tcPr>
            <w:tcW w:w="20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5,122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4,331​</w:t>
            </w:r>
          </w:p>
        </w:tc>
      </w:tr>
      <w:tr>
        <w:trPr>
          <w:trHeight w:val="209"/>
        </w:trPr>
        <w:tc>
          <w:tcPr>
            <w:tcW w:w="1020" w:type="dxa"/>
            <w:vAlign w:val="bottom"/>
            <w:gridSpan w:val="6"/>
          </w:tcPr>
          <w:p>
            <w:pPr>
              <w:ind w:left="60"/>
              <w:spacing w:after="0"/>
              <w:rPr>
                <w:sz w:val="20"/>
                <w:szCs w:val="20"/>
                <w:color w:val="auto"/>
              </w:rPr>
            </w:pPr>
            <w:r>
              <w:rPr>
                <w:rFonts w:ascii="Times New Roman" w:cs="Times New Roman" w:eastAsia="Times New Roman" w:hAnsi="Times New Roman"/>
                <w:sz w:val="15"/>
                <w:szCs w:val="15"/>
                <w:color w:val="auto"/>
              </w:rPr>
              <w:t>​ ​​ ​  9,398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14,375​</w:t>
            </w:r>
          </w:p>
        </w:tc>
      </w:tr>
      <w:tr>
        <w:trPr>
          <w:trHeight w:val="209"/>
        </w:trPr>
        <w:tc>
          <w:tcPr>
            <w:tcW w:w="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2,379</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629​</w:t>
            </w:r>
          </w:p>
        </w:tc>
      </w:tr>
      <w:tr>
        <w:trPr>
          <w:trHeight w:val="209"/>
        </w:trPr>
        <w:tc>
          <w:tcPr>
            <w:tcW w:w="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301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680" w:type="dxa"/>
            <w:vAlign w:val="bottom"/>
            <w:gridSpan w:val="3"/>
          </w:tcPr>
          <w:p>
            <w:pPr>
              <w:jc w:val="right"/>
              <w:ind w:right="40"/>
              <w:spacing w:after="0" w:line="201" w:lineRule="exact"/>
              <w:rPr>
                <w:sz w:val="20"/>
                <w:szCs w:val="20"/>
                <w:color w:val="auto"/>
              </w:rPr>
            </w:pPr>
            <w:r>
              <w:rPr>
                <w:rFonts w:ascii="Times New Roman" w:cs="Times New Roman" w:eastAsia="Times New Roman" w:hAnsi="Times New Roman"/>
                <w:sz w:val="23"/>
                <w:szCs w:val="23"/>
                <w:color w:val="auto"/>
                <w:vertAlign w:val="superscript"/>
              </w:rPr>
              <w:t>106</w:t>
            </w: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102</w:t>
            </w:r>
            <w:r>
              <w:rPr>
                <w:rFonts w:ascii="Times New Roman" w:cs="Times New Roman" w:eastAsia="Times New Roman" w:hAnsi="Times New Roman"/>
                <w:sz w:val="23"/>
                <w:szCs w:val="23"/>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9"/>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17,306</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19,437</w:t>
            </w:r>
            <w:r>
              <w:rPr>
                <w:rFonts w:ascii="Times New Roman" w:cs="Times New Roman" w:eastAsia="Times New Roman" w:hAnsi="Times New Roman"/>
                <w:sz w:val="23"/>
                <w:szCs w:val="23"/>
                <w:color w:val="auto"/>
                <w:vertAlign w:val="subscript"/>
              </w:rPr>
              <w:t>​</w:t>
            </w:r>
          </w:p>
        </w:tc>
      </w:tr>
      <w:tr>
        <w:trPr>
          <w:trHeight w:val="20"/>
        </w:trPr>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45" w:lineRule="exact"/>
        <w:rPr>
          <w:sz w:val="20"/>
          <w:szCs w:val="20"/>
          <w:color w:val="auto"/>
        </w:rPr>
      </w:pPr>
    </w:p>
    <w:p>
      <w:pPr>
        <w:sectPr>
          <w:pgSz w:w="11900" w:h="16838" w:orient="portrait"/>
          <w:cols w:equalWidth="0" w:num="2">
            <w:col w:w="5620" w:space="720"/>
            <w:col w:w="2679"/>
          </w:cols>
          <w:pgMar w:left="1440" w:top="98" w:right="1440" w:bottom="1440" w:gutter="0" w:footer="0" w:header="0"/>
          <w:type w:val="continuous"/>
        </w:sect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On September 8, 2021, Zenas US entered into a lease agreement for office space in Waltham, Massachusetts (the “Waltham Lease”), commencing on March 1, 2022. The Waltham Lease was classified as an operating lease, and has a lease term of 3.3 years with total fixed payments of approximately $1.8 million over that period. Zenas US has an irrevocable letter of credit agreement for the benefit of its landlord for the Waltham Lease in the amount of $0.1 million.</w:t>
      </w:r>
    </w:p>
    <w:p>
      <w:pPr>
        <w:spacing w:after="0" w:line="91"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On June 28, 2022, Zenas China entered into a lease agreement for office space in Shanghai, China (the “Shanghai Lease”), commencing on September 10, 2022. The Shanghai Lease was classified as an operating lease, and has a lease term of 3.0 years with total fixed payments of $0.8 million over that period, and an option to extend the lease term for an additional three years. Zenas China’s exercise of the option to extend the lease term was not considered reasonably certain as of the execution of the lease.</w:t>
      </w:r>
    </w:p>
    <w:p>
      <w:pPr>
        <w:spacing w:after="0" w:line="91"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The Company recognizes monthly operating lease expense on a straight-line basis over the term of the lease as general and administrative expenses in the consolidated statements of operations and comprehensive loss. Variable lease expense relates primarily to office lease common area maintenance, insurance, and property taxes, is expensed as incurred, and is excluded from the calculation of the lease liabilities and right-of-use-assets. Variable lease expense for the years ended December 31, 2023 and 2022 was $0.1 million and less than $0.1 million respectively.</w:t>
      </w:r>
    </w:p>
    <w:p>
      <w:pPr>
        <w:spacing w:after="0" w:line="107"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Supplemental balance sheet information related to operating lease assets and liabilities was as follows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ind w:left="58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8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20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assets</w:t>
            </w:r>
          </w:p>
        </w:tc>
        <w:tc>
          <w:tcPr>
            <w:tcW w:w="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rPr>
              <w:t>821​</w:t>
            </w:r>
          </w:p>
        </w:tc>
        <w:tc>
          <w:tcPr>
            <w:tcW w:w="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1,548​</w:t>
            </w: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7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auto"/>
              </w:rPr>
              <w:t>813​</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5"/>
                <w:szCs w:val="15"/>
                <w:color w:val="auto"/>
              </w:rPr>
              <w:t>1,527​</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remaining term in years</w:t>
            </w:r>
          </w:p>
        </w:tc>
        <w:tc>
          <w:tcPr>
            <w:tcW w:w="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rPr>
              <w:t>1.6​</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5"/>
                <w:szCs w:val="15"/>
                <w:color w:val="auto"/>
              </w:rPr>
              <w:t>2.5​</w:t>
            </w:r>
          </w:p>
        </w:tc>
      </w:tr>
      <w:tr>
        <w:trPr>
          <w:trHeight w:val="231"/>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discount rate used to measure lease liabilities</w:t>
            </w:r>
          </w:p>
        </w:tc>
        <w:tc>
          <w:tcPr>
            <w:tcW w:w="7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​  18.39%</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 18.32%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-550545</wp:posOffset>
            </wp:positionV>
            <wp:extent cx="384429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44290" cy="6985"/>
                    </a:xfrm>
                    <a:prstGeom prst="rect">
                      <a:avLst/>
                    </a:prstGeom>
                    <a:noFill/>
                  </pic:spPr>
                </pic:pic>
              </a:graphicData>
            </a:graphic>
          </wp:anchor>
        </w:drawing>
      </w:r>
    </w:p>
    <w:p>
      <w:pPr>
        <w:spacing w:after="0" w:line="75" w:lineRule="exact"/>
        <w:rPr>
          <w:sz w:val="20"/>
          <w:szCs w:val="20"/>
          <w:color w:val="auto"/>
        </w:rPr>
      </w:pPr>
    </w:p>
    <w:p>
      <w:pPr>
        <w:jc w:val="both"/>
        <w:ind w:left="1160" w:right="1179"/>
        <w:spacing w:after="0" w:line="272" w:lineRule="auto"/>
        <w:rPr>
          <w:sz w:val="20"/>
          <w:szCs w:val="20"/>
          <w:color w:val="auto"/>
        </w:rPr>
      </w:pPr>
      <w:r>
        <w:rPr>
          <w:rFonts w:ascii="Times New Roman" w:cs="Times New Roman" w:eastAsia="Times New Roman" w:hAnsi="Times New Roman"/>
          <w:sz w:val="15"/>
          <w:szCs w:val="15"/>
          <w:color w:val="auto"/>
        </w:rPr>
        <w:t>For the years ended December 31, 2023 and 2022, the total lease cost for operating leases (recorded in general and administrative expenses in the Company’s consolidated statements of operations and comprehensive loss) was $0.9 million and $0.7 million, respectively.</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24" w:name="page225"/>
    <w:bookmarkEnd w:id="22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6. Leases (Continued)</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Maturities of the operating lease liabilities as of December 31, 2023 are as follows (in thousands):</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5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760" w:type="dxa"/>
            <w:vAlign w:val="bottom"/>
            <w:gridSpan w:val="4"/>
          </w:tcPr>
          <w:p>
            <w:pP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Amount </w:t>
            </w:r>
            <w:r>
              <w:rPr>
                <w:rFonts w:ascii="Times New Roman" w:cs="Times New Roman" w:eastAsia="Times New Roman" w:hAnsi="Times New Roman"/>
                <w:sz w:val="23"/>
                <w:szCs w:val="23"/>
                <w:b w:val="1"/>
                <w:bCs w:val="1"/>
                <w:color w:val="auto"/>
                <w:vertAlign w:val="subscript"/>
              </w:rPr>
              <w:t>​</w:t>
            </w:r>
          </w:p>
        </w:tc>
      </w:tr>
      <w:tr>
        <w:trPr>
          <w:trHeight w:val="20"/>
        </w:trPr>
        <w:tc>
          <w:tcPr>
            <w:tcW w:w="5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813​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36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438​ </w:t>
            </w:r>
            <w:r>
              <w:rPr>
                <w:rFonts w:ascii="Times New Roman" w:cs="Times New Roman" w:eastAsia="Times New Roman" w:hAnsi="Times New Roman"/>
                <w:sz w:val="25"/>
                <w:szCs w:val="25"/>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future minimum lease payments</w:t>
            </w: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1,251​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5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Less: imputed interest</w:t>
            </w:r>
          </w:p>
        </w:tc>
        <w:tc>
          <w:tcPr>
            <w:tcW w:w="36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(438)</w:t>
            </w:r>
            <w:r>
              <w:rPr>
                <w:rFonts w:ascii="Times New Roman" w:cs="Times New Roman" w:eastAsia="Times New Roman" w:hAnsi="Times New Roman"/>
                <w:sz w:val="25"/>
                <w:szCs w:val="25"/>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lease liabilities</w:t>
            </w:r>
          </w:p>
        </w:tc>
        <w:tc>
          <w:tcPr>
            <w:tcW w:w="360" w:type="dxa"/>
            <w:vAlign w:val="bottom"/>
            <w:gridSpan w:val="2"/>
            <w:shd w:val="clear" w:color="auto" w:fill="CCEEFF"/>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813​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89953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89953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-732155</wp:posOffset>
            </wp:positionV>
            <wp:extent cx="11176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2"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There were no right-of-use assets obtained under new operating lease arrangements during the year ended December 31, 2023. During the year ended December 31, 2022, the amount of right-of-use assets obtained under new operating lease arrangements was $2.2 million. Cash paid for lease liabilities (included in cash flows used in operating activities in the consolidated statements of cash flow) was $0.9 million and $0.7 million for the years ended December 31, 2023 and 2022, respectively.</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7. Convertible Notes</w:t>
      </w:r>
    </w:p>
    <w:p>
      <w:pPr>
        <w:spacing w:after="0" w:line="12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On November 19, 2021, the Company issued the 2021 Notes in the principal amount of $58.0 million. In November 2022, concurrently with the issuance and sale of the Company’s Series B Preferred Stock, which was deemed to be a “Qualified Financing” as defined in the agreements governing the 2021 Notes, all of the outstanding principal plus accrued interest of the 2021 Notes was automatically converted into an aggregate of 37,471,107 shares of Series B Preferred Stock. Prior to the conversion, the 2021 Notes bore interest at a rate of 8.0% per annum, with a maturity date of May 19, 2023. Conversion into shares of preferred stock was mandatory upon a Qualified Financing, which is defined as the Company’s issuance of a new class or series of its preferred stock which is senior to the Company’s Series A Preferred Stock as approved by the Board and the holders of Series A Preferred Stock, with aggregate gross proceeds of a specified amount (excluding conversion of the 2021 Notes or any other convertible securities).</w:t>
      </w:r>
    </w:p>
    <w:p>
      <w:pPr>
        <w:spacing w:after="0" w:line="9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August 2023, concurrently with the execution of the BMS Agreement (see Note 8), the Company issued the BMS Note in the principal amount of $20.0 million. The BMS Note has a stated interest rate of 8.5% per annum and a maturity date of August 30, 2026. Upon the occurrence a qualified financing, which is an event in which the Company issues and sells its convertible preferred stock to accredited investors with total gross proceeds equal to at least $70.0 million, the outstanding principal and accrued interest of the BMS Note shall automatically convert into the equity securities sold in the qualified financing at a conversion price equal to (i) the outstanding principal and accrued interest under the BMS Note divided by (ii) the lowest cash price paid per equity security.</w:t>
      </w:r>
    </w:p>
    <w:p>
      <w:pPr>
        <w:spacing w:after="0" w:line="99"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The Company elected to record the BMS Note at fair value upon issuance and to subsequently remeasure the fair value at every reporting date (until the BMS Note is converted, repaid or otherwise settled). The Company records any change in fair value to the BMS Note as a component of other income (expense), net in its consolidated statements of operations and comprehensive loss. Refer to Note 3 above for the fair value of the BMS Note.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Collaboration Revenue</w:t>
      </w:r>
    </w:p>
    <w:p>
      <w:pPr>
        <w:spacing w:after="0" w:line="126"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In August 2023, the Company entered into a license agreement with Bristol-Myers Squibb (the “BMS Agreement”),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5" w:name="page226"/>
    <w:bookmarkEnd w:id="22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Collaboration Revenue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Territory”) and (ii) develop and manufacture obexelimab and the BMS Product outside the BMS Territory provided that obexelimab and the BMS Product are solely used in the BMS Territory.</w:t>
      </w:r>
    </w:p>
    <w:p>
      <w:pPr>
        <w:spacing w:after="0" w:line="75"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Pursuant to the BMS Agreement, BMS paid the Company a one-time non-refundable upfront cash payment of $50.0 million. The Company is entitled to receive further separate development and regulatory milestone payments from BMS up to approximately $79.5 million. The Company is also entitled to receive one-time sales milestone payments up to $70.0 million upon BMS achieving certain net sales milestones in a given year in the BMS Territory. The Company is also eligible to receive tiered high single-digit to low double-digit royalties on net sales in the BMS Territory, subject to specified reductions.</w:t>
      </w:r>
    </w:p>
    <w:p>
      <w:pPr>
        <w:spacing w:after="0" w:line="99"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The Company will continue to perform and oversee the ongoing Phase 3 Clinical Study of obexelimab in the IgG4-RD indication and BMS will participate in the performance of the study. BMS also has the right to participate in other global clinical studies that the Company chooses to perform. Pursuant to such global studies, including the IgG4-RD study, the Company and BMS have defined roles with specified activities assigned to each party in their respective jurisdictions. These activities are overseen by a joint steering committee, which has equal representation of the parties.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BMS is responsible for the development and commercialization of obexelimab within the BMS Territory, including the performance of any local studies within its jurisdiction that it chooses to perform, while the Company retains responsibility for the development and commercialization for the remainder of the world. The Company is responsible for manufacturing the clinical supply and commercial supply of obexelimab, each at cost plus single-digit margin.</w:t>
      </w:r>
    </w:p>
    <w:p>
      <w:pPr>
        <w:spacing w:after="0" w:line="10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evaluated the BMS Agreement to determine whether it is a collaborative arrangement in the scope of ASC 808. The Company concluded that the BMS Agreement is a collaborative arrangement under ASC 808 as both parties are active participants in the global clinical trial and are exposed to significant risks and rewards of those activities. The Company determined that the BMS Agreement contained two material components: (i) the license granted to BMS to develop, manufacture and commercialize obexelimab within the BMS Territory, and related activities in the BMS Territory, including manufacturing and (ii) the global development of obexelimab, which at execution, solely relates to the ongoing Phase 3 clinical trial for IgG4-RD. The Company used the criteria specified in ASC 606 to determine whether the components of the BMS Agreement are performance obligations to a customer and concluded that BMS is the Company’s customer for the license and related activities in the BMS Territory under ASC 606. The global development activities under the agreement do not represent a transaction with a customer and reimbursement payments received by the Company for global development activities are accounted for as a reduction of the related research and development expenses. The Company recorded $4.1 million as a reduction to research and development expense during the year ended December 31, 2023, with $1.3 million included in prepaid expenses and other current assets on the Company’s consolidated balance sheet as of December 31, 2023.</w:t>
      </w:r>
    </w:p>
    <w:p>
      <w:pPr>
        <w:spacing w:after="0" w:line="225"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evaluated the license and related activities under ASC 606 as these transactions are considered transactions with a customer, and identified four material promises at the outset of the BMS Agreement, which consists of (1) the exclusive license, (2) the initial technology transfer, (3) clinical manufacturing supply related to development in the BMS Territory and (4) commercial manufacturing supply related to commercialization within the BMS Territory. The Company determined that the exclusive license and initial technology transfer were not distinct from each other, as the exclusive license has limited value without the corresponding technology transfer. As such, for the purposes of ASC 606, the Company determined that the two material promises, the exclusive license and the initial technology transfer, should be combined into one distinct performance obligation. The Company further evaluated the material promise associated with the clinical manufacturing supply and the commercial manufacturing supply, within the BMS Territory, concluding that because BMS is not obligated to purchase any minimum amount, the clinical manufacturing supply and commercial manufacturing supply represent a purchase option and not a performance obligation.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6" w:name="page227"/>
    <w:bookmarkEnd w:id="22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Collaboration Revenue (Continued)</w:t>
      </w:r>
    </w:p>
    <w:p>
      <w:pPr>
        <w:spacing w:after="0" w:line="181"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 Company further concluded that the customer option is not priced at a significant and incremental discount at the execution of the arrangement and therefore does not represent a material right. Therefore, each of the clinical and commercial manufacturing activities were excluded as performance obligations at the outset of the arrangement.</w:t>
      </w:r>
    </w:p>
    <w:p>
      <w:pPr>
        <w:spacing w:after="0" w:line="95"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transaction price of the BMS Agreement was determined to be $50.0 million, which consisted of the upfront cash payment, and was allocated to the one combined performance obligation. The other potential consideration, which includes development, regulatory and sales milestone payments that the Company is eligible to receive were excluded from the transaction price, as all milestones were not deemed probable of achievement and were therefore fully constrained. The Company issued the BMS Note in connection with the BMS Agreement, and the BMS Note was recorded at fair value separate from the transaction price of the BMS Agreement (see Note 3). The Company reevaluates the transaction price at the end of each reporting period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253"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evaluated the license under ASC 606 and concluded that the license is a functional intellectual property license. The Company determined that BMS benefited from the license along with the initial technology transfer at the time of transfer, and therefore the related performance obligation is satisfied at a point in time. The Company satisfied the performance obligation through delivery of the license and initial technology transfer prior to December 31, 2023 and recognized the upfront payment of $50.0 million as revenue during the year ended December 31, 2023. There was no revenue recognized during the year ended December 31, 2022.</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License and Option Agreements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Xencor, Inc.</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2020 Xencor Agreement</w:t>
      </w:r>
    </w:p>
    <w:p>
      <w:pPr>
        <w:spacing w:after="0" w:line="12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September 2020, the Company entered into a license agreement (the “2020 Xencor Agreement”) with Xencor, Inc. (“Xencor”), to obtain (a) an exclusive, royalty-bearing, sublicensable worldwide license under certain patent rights controlled by Xencor and (b) a non-exclusive payment bearing license under certain know-how controlled by Xencor to research, develop, manufacture, market and sell three antibody product candidates, including ZB002. The 2020 Xencor Agreement became effective in November 2020, upon the Company’s issuance of 5,041,542 shares of its Series A Preferred Stock, which had a fair value of $16.1 million to Xencor as initial consideration. The Company concluded that as no processes or other activities that would constitute a business were acquired, and the acquired assets did not have an alternative future use, the upfront consideration was expensed to acquired IPR&amp;D during the year ended December 31, 2020.</w:t>
      </w:r>
    </w:p>
    <w:p>
      <w:pPr>
        <w:spacing w:after="0" w:line="238"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is required to pay Xencor tiered royalties on annual net sales of successfully commercialized products utilizing the licensed assets. The royalty percentage rates vary by geographic areas as defined in the 2020 Xencor Agreement and range from the mid-single digits to the mid-teens.</w:t>
      </w:r>
    </w:p>
    <w:p>
      <w:pPr>
        <w:spacing w:after="0" w:line="89"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 Company is also obligated to reimburse Xencor for third-party costs incurred by Xencor for certain patent filings, prosecution and maintenance as further specified in the 2020 Xencor Agreement. During the years ended December 31, 2023 and 2022, the Company incurred immaterial costs related to the 2020 Xencor Agreement.</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2021 Xencor Agreement</w:t>
      </w:r>
    </w:p>
    <w:p>
      <w:pPr>
        <w:spacing w:after="0" w:line="12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In May 2021, the Company entered into a license agreement (the “2021 Xencor Agreement”) with Xencor to obtain an (a) exclusive, royalty-bearing, sublicensable worldwide license under certain patent rights controlled</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7" w:name="page228"/>
    <w:bookmarkEnd w:id="22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License and Option Agreements (Continued)</w:t>
      </w:r>
    </w:p>
    <w:p>
      <w:pPr>
        <w:spacing w:after="0" w:line="181"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by Xencor and (b) a non-exclusive payment bearing license under certain know-how controlled by Xencor to research, develop, manufacture, market and sell obexelimab. The 2021 Xencor Agreement became effective in November 2021, upon the execution of an amendment to the 2021 Xencor Agreement and the Company’s concurrent issuance of a warrant to Xencor as initial consideration. See Note 3, “Fair Value Measurement” for details regarding the Xencor Warrant. The Company concluded that as no processes or other activities that would constitute a business were acquired, and the acquired assets did not have an alternative future use, the upfront consideration of $20.7 million was expensed to acquired IPR&amp;D during the year ended December 31, 2021.</w:t>
      </w:r>
    </w:p>
    <w:p>
      <w:pPr>
        <w:spacing w:after="0" w:line="9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is obligated to make specified development, regulatory and commercial milestone payments of up to $10.0 million at Xencor’s option either in cash or fully-paid newly issued shares. The Company is obligated to make regulatory milestone payments up to $75.0 million. The Company is also obligated to make one- time sales milestone payments up to $385.0 million upon achieving milestone events of net sales in a given calendar year in the territory equal to certain threshold amounts. In addition, the Company is required to pay Xencor tiered royalties on annual net sales of successfully commercialized products utilizing obexelimab, with the royalty rates varying based on regions and ranging from the mid-single digits to the mid-teens.</w:t>
      </w:r>
    </w:p>
    <w:p>
      <w:pPr>
        <w:spacing w:after="0" w:line="254"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April 2023, the Company incurred a $10.0 million development milestone pursuant to the 2021 Xencor Agreement, which Xencor elected to receive in the form of the Company’s Series B Preferred Stock. See Note 10, “Convertible Preferred Stock,” for details. The milestone was recorded as acquired in-process research and development expense in the Company’s consolidated statements of operations and comprehensive loss.</w:t>
      </w:r>
    </w:p>
    <w:p>
      <w:pPr>
        <w:spacing w:after="0" w:line="3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Dianthus Therapeutics Inc.</w:t>
      </w:r>
    </w:p>
    <w:p>
      <w:pPr>
        <w:spacing w:after="0" w:line="117"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September 2020, the Company entered into an agreement (the “Dianthus Option Agreement”) with Dianthus Therapeutics Inc. (“Dianthus”), a therapeutic antibody company. Under the terms of the Dianthus Option Agreement, the Company obtained an exclusive option to negotiate and enter into exclusive license agreements with Dianthus for the rights to research, develop, manufacture, market and sell products related to either or both of two antibody product candidates based on Dianthus’ proprietary technology in China, Hong Kong, Macau and Taiwan (the “Zenas Territories”). Dianthus retains all rights to develop and commercialize the product candidate subjects of the two options outside of the Zenas Territories. Upon execution of the Dianthus Option Agreement, the Company issued 156,848 shares of its common stock to Dianthus as initial consideration, which was recorded to acquired IPR&amp;D expense during the year ended December 31, 2020.</w:t>
      </w:r>
    </w:p>
    <w:p>
      <w:pPr>
        <w:spacing w:after="0" w:line="249"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Under the Dianthus Option Agreement, Dianthus will notify the Company when it has identified each of two antibody product candidates, and the Company will then have sixty (60) days to notify Dianthus if the Company intends to exercise each of the options. In September 2021, Dianthus notified the Company that it had identified the first lead antibody product candidate pursuant to the Dianthus Option Agreement, ZB005 (also known as DNTH103). In October 2021, the Company notified Dianthus of its intention to exercise its option to ZB005 pursuant to the Dianthus Option Agreement. This notification resulted in a $1.0 million milestone obligation to Dianthus, which was expensed in 2021 upon exercise and subsequently paid during the year ended December 31, 2022. The Company and Dianthus executed a license agreement for ZB005 in June 2022 (the “Dianthus License Agreement”). As of December 31, 2023, Dianthus had not notified the Company of its identification of the second antibody product candidate.</w:t>
      </w:r>
    </w:p>
    <w:p>
      <w:pPr>
        <w:spacing w:after="0" w:line="103"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is also required to reimburse Dianthus for a specified percentage of certain third-party costs which Dianthus incurs in its initial discovery and development activities related to each of the two options. To date, the Company has only exercised its option with respect to the ZB005 program, and as a result, it has only reimbursed Dianthus with respect to costs associated with the ZB005 program. During the years ended December 31, 2023 and 2022, the Company incurred $3.0 million and $6.9 million of reimbursable expenses, respectively, which are recorded within research and development expenses in the consolidated statements of</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8" w:name="page229"/>
    <w:bookmarkEnd w:id="22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License and Option Agreements (Continued)</w:t>
      </w:r>
    </w:p>
    <w:p>
      <w:pPr>
        <w:spacing w:after="0" w:line="18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operations and comprehensive loss. Of these amounts, less than $0.1 million and $1.6 million were recorded in accounts payable, and $0.4 million and $3.7 million in accrued expenses, on the Company’s consolidated balance sheets as of December 31, 2023 and 2022, respectively.</w:t>
      </w:r>
    </w:p>
    <w:p>
      <w:pPr>
        <w:spacing w:after="0" w:line="94"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The binding key terms included in the Dianthus License Agreement, and that would be included in a future license agreement if the Company exercises its option with respect to a second research program, also include the Company’s obligation to make specified development milestone payments to Dianthus, one time only, regardless of the number of assets the Company in-licenses from Dianthus with respect to such research program. The milestone obligations for each research program would total up to $11.0 million, based on achievement of each of the specified milestone events. If the Company successfully commercializes a product(s) under a license agreement, the Company will be obligated to make tiered royalty payments, on a product-by-product basis, to Dianthus on annual net sales of such products. Royalties will be calculated as specified percentages of annual net sales, ranging from the mid-single digits to the low-double digits, with each specified tiered level of annual net sales having a specified percentage.</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Viridian Therapeutics, Inc.</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In October 2020, the Company entered into a license agreement (the “Viridian Agreement”) with Viridian Therapeutics, Inc. (“Viridian”), to obtain an exclusive, royalty-bearing, sublicensable license to research, develop, manufacture, market and sell certain antibody product candidates based on Viridian’s proprietary technology. The Company’s license rights are limited to non-oncology indications and to the Zenas Territories. Viridian retains its rights to develop and commercialize such product candidates outside of the Zenas Territories. Upon execution of the Viridian Agreement, the Company issued 336,103 shares of its common stock to Viridian as initial consideration which was recorded as acquired in-process research and development expense in its consolidated statements of operations and comprehensive loss for the year ended December 31, 2020.</w:t>
      </w:r>
    </w:p>
    <w:p>
      <w:pPr>
        <w:spacing w:after="0" w:line="94"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Company is obligated to make development milestone payments to Viridian, totaling up to $12.0 million, based on achievement of each of the specified milestone events. The Company is also required to pay Viridian tiered royalties on annual net sales of successfully commercialized products utilizing the licensed technology. The royalty percentage rates range from the mid-single digits to the low-double digits. During the year ended December 31, 2023, the Company incurred and paid no milestones to Viridian. During the year ended December 31, 2022, the Company incurred and paid to Viridian a milestone of $1.0 million, which is recorded as acquired in-process research and development expense in the Company’s consolidated statements of operations and comprehensive loss.</w:t>
      </w:r>
    </w:p>
    <w:p>
      <w:pPr>
        <w:spacing w:after="0" w:line="101"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During the year ended December 31, 2021, the Company and Viridian entered into two letter agreements to authorize initiation of certain manufacturing and development activities related to the licensed product candidate, ZB001 (also known as VRDN-001). In each of the letter agreements the Company requested, and Viridian agreed, to engage a third-party contract manufacturer (the “CMO”) to initiate certain work with respect to activities pursuant to one or more statements of work under existing agreements between Viridian and the two CMOs. In May 2022, the Company entered into a manufacturing development and supply agreement with Viridian. The Company paid Viridian for all amounts the CMOs invoice to Viridian for the specified activities. The first letter agreement subsequently was amended three times to add further activities and costs to those detailed in the original letter agreement. During the years ended December 31, 2023 and 2022, the Company recognized an immaterial amount and $1.3 million of expenses, respectively, which were recorded in research and development expenses in the consolidated statements of operations. Of these amounts, less than $0.1 million was included in accrued expenses on the Company’s consolidated balance sheet as of December 31, 2023. There were no research and development expenses included in accrued expenses as of December 31, 2022. As of December 31, 2023, Viridian had not notified the Company of any additional antibody product candidate.</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9" w:name="page230"/>
    <w:bookmarkEnd w:id="22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Convertible Preferred Stock</w:t>
      </w:r>
    </w:p>
    <w:p>
      <w:pPr>
        <w:spacing w:after="0" w:line="126"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In September 2020, the Company issued and sold 1,785,714 shares of Series Seed convertible preferred stock (“Series Seed”) in a private financing transaction, at a purchase price of $0.56 per share, for total net cash proceeds of $1.0 million.</w:t>
      </w:r>
    </w:p>
    <w:p>
      <w:pPr>
        <w:spacing w:after="0" w:line="78"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In November 2020, the Company issued 5,041,542 shares of Series A Preferred Stock to Xencor as initial consideration for the 2020 Xencor Agreement (which is more fully described in Note 9, “License and Option Agreements”). Also in November 2020, the Company issued and sold 12,547,838 shares of Series A Preferred Stock in a private financing transaction, at a purchase price of $3.1878 per share, for total net cash proceeds of $39.9 million.</w:t>
      </w:r>
    </w:p>
    <w:p>
      <w:pPr>
        <w:spacing w:after="0" w:line="8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November 2022, the Company issued and sold 25,139,732 shares of Series B Preferred Stock in a private financing transaction, at a purchase price of $2.38666 per share, for total net cash proceeds of $59.4 million. Concurrent with the issuance and sale of the Series B Preferred Stock, which was deemed to be a qualified financing as defined in the convertible note agreement and resulted in the principal plus accrued interest being automatically converted into Series B Preferred Stock, the outstanding convertible notes were exchanged for 37,471,107 shares of Series B Preferred Stock. At the same time, the Xencor Warrant, which was issued as initial consideration for the 2021 Xencor Agreement, was deemed exercised for 14,441,793 shares of Series B Preferred Stock.</w:t>
      </w:r>
    </w:p>
    <w:p>
      <w:pPr>
        <w:spacing w:after="0" w:line="88"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In April 2023, the Company incurred a $10.0 million development milestone pursuant to the 2021 Xencor Agreement. See Note 9, “License and Option Agreements,” for details. Xencor elected to receive payment in the form of the Company’s Series B Preferred Stock and the Company issued 4,189,955 shares of Series B Preferred Stock as payment for the development milestone in June 2023.</w:t>
      </w:r>
    </w:p>
    <w:p>
      <w:pPr>
        <w:spacing w:after="0" w:line="84"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Upon the issuance of Series Seed, Series A and Series B Preferred Stock (collectively “Preferred Stock”), the Company assessed the embedded conversion and liquidation features of the shares and determined that such features did not require the Company to separately account for these features.</w:t>
      </w:r>
    </w:p>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Preferred Stock consisted of the following (in thousands, except share amounts):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tcPr>
          <w:p>
            <w:pPr>
              <w:ind w:left="11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1"/>
              </w:rPr>
              <w:t>Preferred</w:t>
            </w:r>
          </w:p>
        </w:tc>
        <w:tc>
          <w:tcPr>
            <w:tcW w:w="180" w:type="dxa"/>
            <w:vAlign w:val="bottom"/>
          </w:tcPr>
          <w:p>
            <w:pPr>
              <w:spacing w:after="0"/>
              <w:rPr>
                <w:sz w:val="11"/>
                <w:szCs w:val="11"/>
                <w:color w:val="auto"/>
              </w:rPr>
            </w:pP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
              <w:spacing w:after="0" w:line="137" w:lineRule="exact"/>
              <w:rPr>
                <w:sz w:val="20"/>
                <w:szCs w:val="20"/>
                <w:color w:val="auto"/>
              </w:rPr>
            </w:pPr>
            <w:r>
              <w:rPr>
                <w:rFonts w:ascii="Times New Roman" w:cs="Times New Roman" w:eastAsia="Times New Roman" w:hAnsi="Times New Roman"/>
                <w:sz w:val="12"/>
                <w:szCs w:val="12"/>
                <w:b w:val="1"/>
                <w:bCs w:val="1"/>
                <w:color w:val="auto"/>
                <w:w w:val="93"/>
              </w:rPr>
              <w:t>Common Stock</w:t>
            </w:r>
          </w:p>
        </w:tc>
      </w:tr>
      <w:tr>
        <w:trPr>
          <w:trHeight w:val="132"/>
        </w:trPr>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Stock</w:t>
            </w:r>
          </w:p>
        </w:tc>
        <w:tc>
          <w:tcPr>
            <w:tcW w:w="18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Issued and</w:t>
            </w:r>
          </w:p>
        </w:tc>
        <w:tc>
          <w:tcPr>
            <w:tcW w:w="180" w:type="dxa"/>
            <w:vAlign w:val="bottom"/>
          </w:tcPr>
          <w:p>
            <w:pPr>
              <w:spacing w:after="0"/>
              <w:rPr>
                <w:sz w:val="11"/>
                <w:szCs w:val="11"/>
                <w:color w:val="auto"/>
              </w:rPr>
            </w:pPr>
          </w:p>
        </w:tc>
        <w:tc>
          <w:tcPr>
            <w:tcW w:w="6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Carrying</w:t>
            </w:r>
          </w:p>
        </w:tc>
        <w:tc>
          <w:tcPr>
            <w:tcW w:w="180" w:type="dxa"/>
            <w:vAlign w:val="bottom"/>
          </w:tcPr>
          <w:p>
            <w:pPr>
              <w:spacing w:after="0"/>
              <w:rPr>
                <w:sz w:val="11"/>
                <w:szCs w:val="11"/>
                <w:color w:val="auto"/>
              </w:rPr>
            </w:pP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80" w:type="dxa"/>
            <w:vAlign w:val="bottom"/>
          </w:tcPr>
          <w:p>
            <w:pPr>
              <w:spacing w:after="0"/>
              <w:rPr>
                <w:sz w:val="11"/>
                <w:szCs w:val="11"/>
                <w:color w:val="auto"/>
              </w:rPr>
            </w:pPr>
          </w:p>
        </w:tc>
        <w:tc>
          <w:tcPr>
            <w:tcW w:w="820" w:type="dxa"/>
            <w:vAlign w:val="bottom"/>
            <w:gridSpan w:val="2"/>
          </w:tcPr>
          <w:p>
            <w:pPr>
              <w:jc w:val="right"/>
              <w:ind w:right="41"/>
              <w:spacing w:after="0" w:line="132" w:lineRule="exact"/>
              <w:rPr>
                <w:sz w:val="20"/>
                <w:szCs w:val="20"/>
                <w:color w:val="auto"/>
              </w:rPr>
            </w:pPr>
            <w:r>
              <w:rPr>
                <w:rFonts w:ascii="Times New Roman" w:cs="Times New Roman" w:eastAsia="Times New Roman" w:hAnsi="Times New Roman"/>
                <w:sz w:val="12"/>
                <w:szCs w:val="12"/>
                <w:b w:val="1"/>
                <w:bCs w:val="1"/>
                <w:color w:val="auto"/>
                <w:w w:val="95"/>
              </w:rPr>
              <w:t>Issuable Upon</w:t>
            </w:r>
          </w:p>
        </w:tc>
      </w:tr>
      <w:tr>
        <w:trPr>
          <w:trHeight w:val="173"/>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tcPr>
          <w:p>
            <w:pPr>
              <w:ind w:left="114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Authorized</w:t>
            </w:r>
          </w:p>
        </w:tc>
        <w:tc>
          <w:tcPr>
            <w:tcW w:w="9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Outstanding</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100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Conversion  </w:t>
            </w:r>
            <w:r>
              <w:rPr>
                <w:rFonts w:ascii="Times New Roman" w:cs="Times New Roman" w:eastAsia="Times New Roman" w:hAnsi="Times New Roman"/>
                <w:sz w:val="20"/>
                <w:szCs w:val="20"/>
                <w:b w:val="1"/>
                <w:bCs w:val="1"/>
                <w:color w:val="auto"/>
                <w:vertAlign w:val="subscript"/>
              </w:rPr>
              <w:t>​</w:t>
            </w:r>
          </w:p>
        </w:tc>
      </w:tr>
      <w:tr>
        <w:trPr>
          <w:trHeight w:val="20"/>
        </w:trPr>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Seed Preferred Stock</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1,785,714​​</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1,785,714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1,785,714</w:t>
            </w:r>
            <w:r>
              <w:rPr>
                <w:rFonts w:ascii="Times New Roman" w:cs="Times New Roman" w:eastAsia="Times New Roman" w:hAnsi="Times New Roman"/>
                <w:sz w:val="15"/>
                <w:szCs w:val="15"/>
                <w:b w:val="1"/>
                <w:bCs w:val="1"/>
                <w:color w:val="auto"/>
              </w:rPr>
              <w:t>​</w:t>
            </w:r>
          </w:p>
        </w:tc>
      </w:tr>
      <w:tr>
        <w:trPr>
          <w:trHeight w:val="190"/>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 17,589,380​​</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17,589,380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56,071​​</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17,589,380</w:t>
            </w:r>
            <w:r>
              <w:rPr>
                <w:rFonts w:ascii="Times New Roman" w:cs="Times New Roman" w:eastAsia="Times New Roman" w:hAnsi="Times New Roman"/>
                <w:sz w:val="15"/>
                <w:szCs w:val="15"/>
                <w:b w:val="1"/>
                <w:bCs w:val="1"/>
                <w:color w:val="auto"/>
              </w:rPr>
              <w:t>​</w:t>
            </w:r>
          </w:p>
        </w:tc>
      </w:tr>
      <w:tr>
        <w:trPr>
          <w:trHeight w:val="22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1020" w:type="dxa"/>
            <w:vAlign w:val="bottom"/>
            <w:gridSpan w:val="5"/>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81,242,587</w:t>
            </w:r>
            <w:r>
              <w:rPr>
                <w:rFonts w:ascii="Times New Roman" w:cs="Times New Roman" w:eastAsia="Times New Roman" w:hAnsi="Times New Roman"/>
                <w:sz w:val="25"/>
                <w:szCs w:val="25"/>
                <w:color w:val="auto"/>
                <w:vertAlign w:val="subscript"/>
              </w:rPr>
              <w:t>​​</w:t>
            </w:r>
          </w:p>
        </w:tc>
        <w:tc>
          <w:tcPr>
            <w:tcW w:w="960" w:type="dxa"/>
            <w:vAlign w:val="bottom"/>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81,242,587 </w:t>
            </w:r>
            <w:r>
              <w:rPr>
                <w:rFonts w:ascii="Times New Roman" w:cs="Times New Roman" w:eastAsia="Times New Roman" w:hAnsi="Times New Roman"/>
                <w:sz w:val="25"/>
                <w:szCs w:val="25"/>
                <w:color w:val="auto"/>
                <w:vertAlign w:val="subscript"/>
              </w:rPr>
              <w:t>​​</w:t>
            </w:r>
          </w:p>
        </w:tc>
        <w:tc>
          <w:tcPr>
            <w:tcW w:w="840" w:type="dxa"/>
            <w:vAlign w:val="bottom"/>
            <w:gridSpan w:val="4"/>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193,290</w:t>
            </w:r>
            <w:r>
              <w:rPr>
                <w:rFonts w:ascii="Times New Roman" w:cs="Times New Roman" w:eastAsia="Times New Roman" w:hAnsi="Times New Roman"/>
                <w:sz w:val="25"/>
                <w:szCs w:val="25"/>
                <w:color w:val="auto"/>
                <w:vertAlign w:val="subscript"/>
              </w:rPr>
              <w:t>​​</w:t>
            </w:r>
          </w:p>
        </w:tc>
        <w:tc>
          <w:tcPr>
            <w:tcW w:w="800" w:type="dxa"/>
            <w:vAlign w:val="bottom"/>
            <w:tcBorders>
              <w:left w:val="single" w:sz="8" w:color="CCEEFF"/>
            </w:tcBorders>
            <w:gridSpan w:val="3"/>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193,898</w:t>
            </w:r>
            <w:r>
              <w:rPr>
                <w:rFonts w:ascii="Times New Roman" w:cs="Times New Roman" w:eastAsia="Times New Roman" w:hAnsi="Times New Roman"/>
                <w:sz w:val="25"/>
                <w:szCs w:val="25"/>
                <w:color w:val="auto"/>
                <w:vertAlign w:val="subscript"/>
              </w:rPr>
              <w:t>​​</w:t>
            </w:r>
          </w:p>
        </w:tc>
        <w:tc>
          <w:tcPr>
            <w:tcW w:w="12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81,242,587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tcBorders>
              <w:lef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020" w:type="dxa"/>
            <w:vAlign w:val="bottom"/>
            <w:gridSpan w:val="5"/>
          </w:tcPr>
          <w:p>
            <w:pPr>
              <w:jc w:val="right"/>
              <w:ind w:righ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color w:val="auto"/>
                <w:vertAlign w:val="subscript"/>
              </w:rPr>
              <w:t>​​</w:t>
            </w:r>
          </w:p>
        </w:tc>
        <w:tc>
          <w:tcPr>
            <w:tcW w:w="96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​100,617,681 </w:t>
            </w:r>
            <w:r>
              <w:rPr>
                <w:rFonts w:ascii="Times New Roman" w:cs="Times New Roman" w:eastAsia="Times New Roman" w:hAnsi="Times New Roman"/>
                <w:sz w:val="23"/>
                <w:szCs w:val="23"/>
                <w:color w:val="auto"/>
                <w:vertAlign w:val="subscript"/>
              </w:rPr>
              <w:t>​​</w:t>
            </w:r>
          </w:p>
        </w:tc>
        <w:tc>
          <w:tcPr>
            <w:tcW w:w="84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250,086</w:t>
            </w:r>
            <w:r>
              <w:rPr>
                <w:rFonts w:ascii="Times New Roman" w:cs="Times New Roman" w:eastAsia="Times New Roman" w:hAnsi="Times New Roman"/>
                <w:sz w:val="23"/>
                <w:szCs w:val="23"/>
                <w:color w:val="auto"/>
                <w:vertAlign w:val="subscript"/>
              </w:rPr>
              <w:t>​​</w:t>
            </w:r>
          </w:p>
        </w:tc>
        <w:tc>
          <w:tcPr>
            <w:tcW w:w="800" w:type="dxa"/>
            <w:vAlign w:val="bottom"/>
            <w:gridSpan w:val="3"/>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250,969</w:t>
            </w:r>
            <w:r>
              <w:rPr>
                <w:rFonts w:ascii="Times New Roman" w:cs="Times New Roman" w:eastAsia="Times New Roman" w:hAnsi="Times New Roman"/>
                <w:sz w:val="23"/>
                <w:szCs w:val="23"/>
                <w:color w:val="auto"/>
                <w:vertAlign w:val="subscript"/>
              </w:rPr>
              <w:t>​​</w:t>
            </w:r>
          </w:p>
        </w:tc>
        <w:tc>
          <w:tcPr>
            <w:tcW w:w="880" w:type="dxa"/>
            <w:vAlign w:val="bottom"/>
            <w:gridSpan w:val="5"/>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b w:val="1"/>
                <w:bCs w:val="1"/>
                <w:color w:val="auto"/>
                <w:vertAlign w:val="subscript"/>
              </w:rPr>
              <w:t>​</w:t>
            </w: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jc w:val="right"/>
              <w:ind w:right="13"/>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December 31, 2022</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20"/>
              <w:spacing w:after="0" w:line="137"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80" w:type="dxa"/>
            <w:vAlign w:val="bottom"/>
          </w:tcPr>
          <w:p>
            <w:pPr>
              <w:spacing w:after="0"/>
              <w:rPr>
                <w:sz w:val="11"/>
                <w:szCs w:val="11"/>
                <w:color w:val="auto"/>
              </w:rPr>
            </w:pPr>
          </w:p>
        </w:tc>
        <w:tc>
          <w:tcPr>
            <w:tcW w:w="880" w:type="dxa"/>
            <w:vAlign w:val="bottom"/>
            <w:gridSpan w:val="3"/>
          </w:tcPr>
          <w:p>
            <w:pPr>
              <w:jc w:val="center"/>
              <w:ind w:right="61"/>
              <w:spacing w:after="0" w:line="137" w:lineRule="exact"/>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r>
      <w:tr>
        <w:trPr>
          <w:trHeight w:val="132"/>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20"/>
              <w:spacing w:after="0" w:line="132" w:lineRule="exact"/>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center"/>
              <w:ind w:right="101"/>
              <w:spacing w:after="0" w:line="132" w:lineRule="exact"/>
              <w:rPr>
                <w:sz w:val="20"/>
                <w:szCs w:val="20"/>
                <w:color w:val="auto"/>
              </w:rPr>
            </w:pPr>
            <w:r>
              <w:rPr>
                <w:rFonts w:ascii="Times New Roman" w:cs="Times New Roman" w:eastAsia="Times New Roman" w:hAnsi="Times New Roman"/>
                <w:sz w:val="12"/>
                <w:szCs w:val="12"/>
                <w:b w:val="1"/>
                <w:bCs w:val="1"/>
                <w:color w:val="auto"/>
                <w:w w:val="94"/>
              </w:rPr>
              <w:t>Issued and</w:t>
            </w:r>
          </w:p>
        </w:tc>
        <w:tc>
          <w:tcPr>
            <w:tcW w:w="80" w:type="dxa"/>
            <w:vAlign w:val="bottom"/>
          </w:tcPr>
          <w:p>
            <w:pPr>
              <w:spacing w:after="0"/>
              <w:rPr>
                <w:sz w:val="11"/>
                <w:szCs w:val="11"/>
                <w:color w:val="auto"/>
              </w:rPr>
            </w:pPr>
          </w:p>
        </w:tc>
        <w:tc>
          <w:tcPr>
            <w:tcW w:w="6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Carrying</w:t>
            </w:r>
          </w:p>
        </w:tc>
        <w:tc>
          <w:tcPr>
            <w:tcW w:w="120" w:type="dxa"/>
            <w:vAlign w:val="bottom"/>
          </w:tcPr>
          <w:p>
            <w:pPr>
              <w:spacing w:after="0"/>
              <w:rPr>
                <w:sz w:val="11"/>
                <w:szCs w:val="11"/>
                <w:color w:val="auto"/>
              </w:rPr>
            </w:pP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right"/>
              <w:ind w:right="30"/>
              <w:spacing w:after="0" w:line="132" w:lineRule="exact"/>
              <w:rPr>
                <w:sz w:val="20"/>
                <w:szCs w:val="20"/>
                <w:color w:val="auto"/>
              </w:rPr>
            </w:pPr>
            <w:r>
              <w:rPr>
                <w:rFonts w:ascii="Times New Roman" w:cs="Times New Roman" w:eastAsia="Times New Roman" w:hAnsi="Times New Roman"/>
                <w:sz w:val="12"/>
                <w:szCs w:val="12"/>
                <w:b w:val="1"/>
                <w:bCs w:val="1"/>
                <w:color w:val="auto"/>
                <w:w w:val="87"/>
              </w:rPr>
              <w:t>Issuable Upon</w:t>
            </w:r>
          </w:p>
        </w:tc>
      </w:tr>
      <w:tr>
        <w:trPr>
          <w:trHeight w:val="173"/>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4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Authorized  </w:t>
            </w:r>
            <w:r>
              <w:rPr>
                <w:rFonts w:ascii="Times New Roman" w:cs="Times New Roman" w:eastAsia="Times New Roman" w:hAnsi="Times New Roman"/>
                <w:sz w:val="20"/>
                <w:szCs w:val="20"/>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5"/>
                <w:szCs w:val="15"/>
                <w:color w:val="auto"/>
              </w:rPr>
            </w:pPr>
          </w:p>
        </w:tc>
        <w:tc>
          <w:tcPr>
            <w:tcW w:w="84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Outstanding  </w:t>
            </w:r>
            <w:r>
              <w:rPr>
                <w:rFonts w:ascii="Times New Roman" w:cs="Times New Roman" w:eastAsia="Times New Roman" w:hAnsi="Times New Roman"/>
                <w:sz w:val="20"/>
                <w:szCs w:val="20"/>
                <w:b w:val="1"/>
                <w:bCs w:val="1"/>
                <w:color w:val="auto"/>
                <w:vertAlign w:val="subscript"/>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4"/>
          </w:tcPr>
          <w:p>
            <w:pPr>
              <w:jc w:val="right"/>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Conversion  </w:t>
            </w:r>
            <w:r>
              <w:rPr>
                <w:rFonts w:ascii="Times New Roman" w:cs="Times New Roman" w:eastAsia="Times New Roman" w:hAnsi="Times New Roman"/>
                <w:sz w:val="20"/>
                <w:szCs w:val="20"/>
                <w:b w:val="1"/>
                <w:bCs w:val="1"/>
                <w:color w:val="auto"/>
                <w:vertAlign w:val="subscript"/>
              </w:rPr>
              <w:t>​</w:t>
            </w:r>
          </w:p>
        </w:tc>
      </w:tr>
      <w:tr>
        <w:trPr>
          <w:trHeight w:val="20"/>
        </w:trPr>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tcBorders>
              <w:left w:val="single" w:sz="8" w:color="CCEEFF"/>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Seed Preferred Stock</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1,785,714​​</w:t>
            </w:r>
          </w:p>
        </w:tc>
        <w:tc>
          <w:tcPr>
            <w:tcW w:w="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1,785,714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2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4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1,785,714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​​17,589,380​​</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17,589,380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56,071​​</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​17,589,380 ​</w:t>
            </w:r>
          </w:p>
        </w:tc>
      </w:tr>
      <w:tr>
        <w:trPr>
          <w:trHeight w:val="22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​77,052,632</w:t>
            </w:r>
            <w:r>
              <w:rPr>
                <w:rFonts w:ascii="Times New Roman" w:cs="Times New Roman" w:eastAsia="Times New Roman" w:hAnsi="Times New Roman"/>
                <w:sz w:val="25"/>
                <w:szCs w:val="25"/>
                <w:color w:val="auto"/>
                <w:vertAlign w:val="subscript"/>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8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77,052,632 </w:t>
            </w:r>
            <w:r>
              <w:rPr>
                <w:rFonts w:ascii="Times New Roman" w:cs="Times New Roman" w:eastAsia="Times New Roman" w:hAnsi="Times New Roman"/>
                <w:sz w:val="25"/>
                <w:szCs w:val="25"/>
                <w:color w:val="auto"/>
                <w:vertAlign w:val="subscript"/>
              </w:rPr>
              <w:t>​​</w:t>
            </w:r>
          </w:p>
        </w:tc>
        <w:tc>
          <w:tcPr>
            <w:tcW w:w="840" w:type="dxa"/>
            <w:vAlign w:val="bottom"/>
            <w:gridSpan w:val="4"/>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183,290</w:t>
            </w:r>
            <w:r>
              <w:rPr>
                <w:rFonts w:ascii="Times New Roman" w:cs="Times New Roman" w:eastAsia="Times New Roman" w:hAnsi="Times New Roman"/>
                <w:sz w:val="25"/>
                <w:szCs w:val="25"/>
                <w:color w:val="auto"/>
                <w:vertAlign w:val="subscript"/>
              </w:rPr>
              <w:t>​​</w:t>
            </w:r>
          </w:p>
        </w:tc>
        <w:tc>
          <w:tcPr>
            <w:tcW w:w="800" w:type="dxa"/>
            <w:vAlign w:val="bottom"/>
            <w:tcBorders>
              <w:left w:val="single" w:sz="8" w:color="CCEEFF"/>
            </w:tcBorders>
            <w:gridSpan w:val="3"/>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183,898</w:t>
            </w:r>
            <w:r>
              <w:rPr>
                <w:rFonts w:ascii="Times New Roman" w:cs="Times New Roman" w:eastAsia="Times New Roman" w:hAnsi="Times New Roman"/>
                <w:sz w:val="25"/>
                <w:szCs w:val="25"/>
                <w:color w:val="auto"/>
                <w:vertAlign w:val="subscript"/>
              </w:rPr>
              <w:t>​​</w:t>
            </w:r>
          </w:p>
        </w:tc>
        <w:tc>
          <w:tcPr>
            <w:tcW w:w="840" w:type="dxa"/>
            <w:vAlign w:val="bottom"/>
            <w:tcBorders>
              <w:left w:val="single" w:sz="8" w:color="CCEEFF"/>
            </w:tcBorders>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​77,052,632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tcBorders>
              <w:lef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​96,427,726</w:t>
            </w:r>
            <w:r>
              <w:rPr>
                <w:rFonts w:ascii="Times New Roman" w:cs="Times New Roman" w:eastAsia="Times New Roman" w:hAnsi="Times New Roman"/>
                <w:sz w:val="23"/>
                <w:szCs w:val="23"/>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40" w:type="dxa"/>
            <w:vAlign w:val="bottom"/>
            <w:gridSpan w:val="2"/>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​96,427,726 </w:t>
            </w:r>
            <w:r>
              <w:rPr>
                <w:rFonts w:ascii="Times New Roman" w:cs="Times New Roman" w:eastAsia="Times New Roman" w:hAnsi="Times New Roman"/>
                <w:sz w:val="23"/>
                <w:szCs w:val="23"/>
                <w:color w:val="auto"/>
                <w:vertAlign w:val="subscript"/>
              </w:rPr>
              <w:t>​​</w:t>
            </w:r>
          </w:p>
        </w:tc>
        <w:tc>
          <w:tcPr>
            <w:tcW w:w="84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240,086</w:t>
            </w:r>
            <w:r>
              <w:rPr>
                <w:rFonts w:ascii="Times New Roman" w:cs="Times New Roman" w:eastAsia="Times New Roman" w:hAnsi="Times New Roman"/>
                <w:sz w:val="23"/>
                <w:szCs w:val="23"/>
                <w:color w:val="auto"/>
                <w:vertAlign w:val="subscript"/>
              </w:rPr>
              <w:t>​​</w:t>
            </w:r>
          </w:p>
        </w:tc>
        <w:tc>
          <w:tcPr>
            <w:tcW w:w="800" w:type="dxa"/>
            <w:vAlign w:val="bottom"/>
            <w:gridSpan w:val="3"/>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240,969</w:t>
            </w:r>
            <w:r>
              <w:rPr>
                <w:rFonts w:ascii="Times New Roman" w:cs="Times New Roman" w:eastAsia="Times New Roman" w:hAnsi="Times New Roman"/>
                <w:sz w:val="23"/>
                <w:szCs w:val="23"/>
                <w:color w:val="auto"/>
                <w:vertAlign w:val="subscript"/>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​96,427,726 </w:t>
            </w:r>
            <w:r>
              <w:rPr>
                <w:rFonts w:ascii="Times New Roman" w:cs="Times New Roman" w:eastAsia="Times New Roman" w:hAnsi="Times New Roman"/>
                <w:sz w:val="23"/>
                <w:szCs w:val="23"/>
                <w:color w:val="auto"/>
                <w:vertAlign w:val="subscript"/>
              </w:rPr>
              <w:t>​</w:t>
            </w: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-1290320</wp:posOffset>
            </wp:positionV>
            <wp:extent cx="1397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-585470</wp:posOffset>
            </wp:positionV>
            <wp:extent cx="11176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-585470</wp:posOffset>
            </wp:positionV>
            <wp:extent cx="11176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-585470</wp:posOffset>
            </wp:positionV>
            <wp:extent cx="11176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09994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099945" cy="6985"/>
                    </a:xfrm>
                    <a:prstGeom prst="rect">
                      <a:avLst/>
                    </a:prstGeom>
                    <a:noFill/>
                  </pic:spPr>
                </pic:pic>
              </a:graphicData>
            </a:graphic>
          </wp:anchor>
        </w:drawing>
      </w:r>
    </w:p>
    <w:p>
      <w:pPr>
        <w:spacing w:after="0" w:line="1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holders of preferred stock have the following rights, preferences and privileges:</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Voting</w:t>
      </w:r>
    </w:p>
    <w:p>
      <w:pPr>
        <w:spacing w:after="0" w:line="126" w:lineRule="exact"/>
        <w:rPr>
          <w:sz w:val="20"/>
          <w:szCs w:val="20"/>
          <w:color w:val="auto"/>
        </w:rPr>
      </w:pPr>
    </w:p>
    <w:p>
      <w:pPr>
        <w:ind w:left="1160" w:right="1179"/>
        <w:spacing w:after="0" w:line="254" w:lineRule="auto"/>
        <w:rPr>
          <w:sz w:val="20"/>
          <w:szCs w:val="20"/>
          <w:color w:val="auto"/>
        </w:rPr>
      </w:pPr>
      <w:r>
        <w:rPr>
          <w:rFonts w:ascii="Times New Roman" w:cs="Times New Roman" w:eastAsia="Times New Roman" w:hAnsi="Times New Roman"/>
          <w:sz w:val="15"/>
          <w:szCs w:val="15"/>
          <w:color w:val="auto"/>
        </w:rPr>
        <w:t>The holder of each share of Preferred Stock is entitled to one vote for each share of common stock into which it would convert and to vote with the common stock on all matters.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0" w:name="page231"/>
    <w:bookmarkEnd w:id="23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Convertible Preferred Stock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Conversion</w:t>
      </w:r>
    </w:p>
    <w:p>
      <w:pPr>
        <w:spacing w:after="0" w:line="126"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Each share of convertible preferred stock shall be automatically converted into a share of common stock, upon affirmative vote of majority of the holders of each series or upon the closing of an initial public offering of the Company’s common stock which results in a specified minimum amount of gross cash proceeds. The conversion ratio is initially one share of common stock for each share of convertible preferred stock and shall be adjusted in the event of a split or reverse split of the Company’s common stock, an issuance or declaration of dividends to holders of the Company’s common stock, a reorganization or merger transaction, or certain issuances of shares of common stock which are dilutive to holders of the Company’s preferred stock. Holders of preferred stock have the right to one vote for each share of the Company’s common stock into which such holder’s shares of preferred stock could then convert.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26"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Holders of Series B Preferred Stock will be entitled to receive dividends, only when, as and if declared by the Board, at the annual rate of 6% of the Series B Preferred Stock issue price, payable in preference to and satisfied before any dividend or distribution on any other class or series of the Company’s shares (except for certain exempted distributions) . If any assets or funds remain after dividends have been distributed to holders of Series B Preferred Stock, holders of Series A Preferred Stock will be entitled to receive dividends, only when, as and if declared by the Board, at the annual rate of 6% of the Series A issue price, payable in preference to and satisfied before any dividend or distribution on any other class or series of the Company’s shares (except for certain exempted distributions). If any assets or funds remain after dividends have been distributed to holders of Series A Preferred Stock, holders of Series Seed Preferred Stock will be entitled to receive dividends, only when, as and if declared by the Board, at the annual rate of 6% of the Series Seed issue price, payable in preference to and satisfied before any dividend or distribution on any other class or series of the Company’s shares (except for certain exempted distributions). The right to receive dividends on shares of all series of preferred stock is not cumulative, and no such right accrues to holders of such shares. There have been no dividends declared or paid as of December 31, 2023.</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Liquidation Preference</w:t>
      </w:r>
    </w:p>
    <w:p>
      <w:pPr>
        <w:spacing w:after="0" w:line="126"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In the event of a voluntary or involuntary liquidation, dissolution or winding up of the Company or a deemed liquidation event, holders of Series B Preferred Stock prior and in preference to any distribution to holders of Series A Preferred Stock, Series Seed Preferred Stock and common shares, would be entitled to be paid the issue price they originally paid to acquire their shares, plus any declared but unpaid dividends. After full payment to holders of Series B Preferred Stock, holders of Series A Preferred Stock prior and in preference to any distribution to holders of Series Seed Preferred Stock and common shares, would be entitled to be paid the issue price they originally paid to acquire their shares, plus any declared and unpaid dividends. After full payment to holders of Series B Preferred Stock and Series A Preferred Stock, holders of Series Seed Preferred Stock prior and in preference to any distribution to holders of common shares, would be entitled to be paid the issue price they originally paid to acquire their shares, plus any declared and unpaid dividends. Any remaining amounts after payment to holders of preferred stock, would be paid to holders of common shares. A deemed liquidation event is defined (in the Company’s Third Amended Articles of Association) as any consolidation, amalgamation, scheme of arrangement or merger of the Company (and any of its subsidiaries) or other reorganization resulting in loss of more than 50% voting power; the sale, transfer, lease or other disposition of all or substantially all of the Company’s assets; or the exclusive licensing of all or substantially all of the Company’s intellectual property.</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Redemption</w:t>
      </w:r>
    </w:p>
    <w:p>
      <w:pPr>
        <w:spacing w:after="0" w:line="12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Preferred Stock does not have redemption rights, except for the contingent redemption upon the occurrence of a Liquidation Event.</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1" w:name="page232"/>
    <w:bookmarkEnd w:id="23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11. Common Stock</w:t>
      </w:r>
    </w:p>
    <w:p>
      <w:pPr>
        <w:spacing w:after="0" w:line="126"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In August 2023, all outstanding shares of ordinary stock of Zenas Cayman were exchanged for shares of common stock upon the Redomicile and incorporation in the State of Delaware as Zenas BioPharma, Inc. The Company was authorized to issue 175,000,000 and 403,572,274 shares of $0.0001 par value common stock and ordinary stock as of December 31, 2023 and 2022, respectively. The voting, dividend and liquidation rights of the holders of the Company’s common stock are subject to and qualified by the rights, powers and preference of the holders of the preferred stock set forth above.</w:t>
      </w:r>
    </w:p>
    <w:p>
      <w:pPr>
        <w:spacing w:after="0" w:line="107"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The holders of the common stock are entitled to one vote for each share of common stock held at all meetings of stockholders (and written actions in lieu of meetings), and there are not any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convertible preferred stock.</w:t>
      </w:r>
    </w:p>
    <w:p>
      <w:pPr>
        <w:spacing w:after="0" w:line="10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had reserved the following shares of common stock for the potential conversion of outstanding convertible preferred stock and exercise of stock options:</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500" w:type="dxa"/>
            <w:vAlign w:val="bottom"/>
            <w:tcBorders>
              <w:bottom w:val="single" w:sz="8" w:color="auto"/>
            </w:tcBorders>
          </w:tcPr>
          <w:p>
            <w:pPr>
              <w:spacing w:after="0"/>
              <w:rPr>
                <w:sz w:val="16"/>
                <w:szCs w:val="16"/>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outstanding shares of convertible preferred stock</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​​100,617,681​​ ​​ 96,427,726</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Options to purchase common stock</w:t>
            </w:r>
          </w:p>
        </w:tc>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9"/>
          </w:tcPr>
          <w:p>
            <w:pPr>
              <w:jc w:val="right"/>
              <w:spacing w:after="0"/>
              <w:rPr>
                <w:sz w:val="20"/>
                <w:szCs w:val="20"/>
                <w:color w:val="auto"/>
              </w:rPr>
            </w:pPr>
            <w:r>
              <w:rPr>
                <w:rFonts w:ascii="Times New Roman" w:cs="Times New Roman" w:eastAsia="Times New Roman" w:hAnsi="Times New Roman"/>
                <w:sz w:val="15"/>
                <w:szCs w:val="15"/>
                <w:color w:val="auto"/>
              </w:rPr>
              <w:t>​​ 20,691,247​​ ​​ 17,774,295​</w:t>
            </w:r>
          </w:p>
        </w:tc>
      </w:tr>
      <w:tr>
        <w:trPr>
          <w:trHeight w:val="22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Remaining shares reserved for future issuance</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1520" w:type="dxa"/>
            <w:vAlign w:val="bottom"/>
            <w:gridSpan w:val="5"/>
            <w:shd w:val="clear" w:color="auto" w:fill="CCEEFF"/>
          </w:tcPr>
          <w:p>
            <w:pPr>
              <w:ind w:left="120"/>
              <w:spacing w:after="0" w:line="220" w:lineRule="exact"/>
              <w:rPr>
                <w:sz w:val="20"/>
                <w:szCs w:val="20"/>
                <w:color w:val="auto"/>
              </w:rPr>
            </w:pPr>
            <w:r>
              <w:rPr>
                <w:rFonts w:ascii="Times New Roman" w:cs="Times New Roman" w:eastAsia="Times New Roman" w:hAnsi="Times New Roman"/>
                <w:sz w:val="13"/>
                <w:szCs w:val="13"/>
                <w:color w:val="auto"/>
              </w:rPr>
              <w:t>527,876</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2,234,328</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9"/>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​121,836,804</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​116,436,349</w:t>
            </w:r>
            <w:r>
              <w:rPr>
                <w:rFonts w:ascii="Times New Roman" w:cs="Times New Roman" w:eastAsia="Times New Roman" w:hAnsi="Times New Roman"/>
                <w:sz w:val="23"/>
                <w:szCs w:val="23"/>
                <w:color w:val="auto"/>
                <w:vertAlign w:val="subscript"/>
              </w:rPr>
              <w:t>​</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376745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2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Stock-Based Compensation</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Plan</w:t>
      </w:r>
    </w:p>
    <w:p>
      <w:pPr>
        <w:spacing w:after="0" w:line="128"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On August 21, 2020, the Company’s sole director and member approved the 2020 Plan. The 2020 Plan initially allowed the Company to grant awards for up to 314,000 shares of the Company’s common stock. The 2020 Plan allows for grants of stock options, restricted stock awards, restricted stock units, and other stock-based awards to employees, officers, directors and consultants of the Company and its subsidiaries. The exercise price per share of stock options granted under the 2020 Plan must be no less than the fair value of a share of the Company’s common stock on the grant date. If the Company’s common stock is traded on a national securities exchange, then fair value is based on the stock’s closing price as reported by that exchange. Otherwise, fair value is determined by the Board (or its Compensation Committee), consistent with the applicable rules of the U.S. Internal Revenue Code of 1986 (the “IRC”), or any successor statute.</w:t>
      </w:r>
    </w:p>
    <w:p>
      <w:pPr>
        <w:spacing w:after="0" w:line="106"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Terms of stock award agreements, including vesting requirements, are determined by the Board, subject to the provisions of the 2020 Plan. The Company may grant stock awards to employees, non-employee consultants, and members of the Board, and all grantees must be providing services to the Company or its subsidiaries on the date of grant. Since inception of the 2020 Plan, the Company has granted RSAs and stock options. RSAs and stock options granted by the Company generally vest over four years, with 25% of the total shares granted vesting on the anniversary of the vesting commencement date and the remaining 75% vesting in equal monthly installments over the subsequent thirty-six (36) months.</w:t>
      </w:r>
    </w:p>
    <w:p>
      <w:pPr>
        <w:spacing w:after="0" w:line="97" w:lineRule="exact"/>
        <w:rPr>
          <w:sz w:val="20"/>
          <w:szCs w:val="20"/>
          <w:color w:val="auto"/>
        </w:rPr>
      </w:pPr>
    </w:p>
    <w:p>
      <w:pPr>
        <w:jc w:val="both"/>
        <w:ind w:left="1160" w:right="1179"/>
        <w:spacing w:after="0" w:line="264" w:lineRule="auto"/>
        <w:rPr>
          <w:sz w:val="20"/>
          <w:szCs w:val="20"/>
          <w:color w:val="auto"/>
        </w:rPr>
      </w:pPr>
      <w:r>
        <w:rPr>
          <w:rFonts w:ascii="Times New Roman" w:cs="Times New Roman" w:eastAsia="Times New Roman" w:hAnsi="Times New Roman"/>
          <w:sz w:val="15"/>
          <w:szCs w:val="15"/>
          <w:color w:val="auto"/>
        </w:rPr>
        <w:t>The 2020 Plan was subsequently amended by the Board and provided for the issuance of 22,232,224 shares of common stock as of December 31, 2023, of which 527,876 shares of common stock remain available for future grant under the 2020 Plan.</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2" w:name="page233"/>
    <w:bookmarkEnd w:id="23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Stock-Based Compensation (Continued)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Awards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following table presents a summary of the Company’s RSA activity and related information:</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c>
          <w:tcPr>
            <w:tcW w:w="40" w:type="dxa"/>
            <w:vAlign w:val="bottom"/>
          </w:tcPr>
          <w:p>
            <w:pPr>
              <w:spacing w:after="0"/>
              <w:rPr>
                <w:sz w:val="12"/>
                <w:szCs w:val="12"/>
                <w:color w:val="auto"/>
              </w:rPr>
            </w:pPr>
          </w:p>
        </w:tc>
      </w:tr>
      <w:tr>
        <w:trPr>
          <w:trHeight w:val="132"/>
        </w:trPr>
        <w:tc>
          <w:tcPr>
            <w:tcW w:w="35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Grant-Date</w:t>
            </w:r>
          </w:p>
        </w:tc>
        <w:tc>
          <w:tcPr>
            <w:tcW w:w="40" w:type="dxa"/>
            <w:vAlign w:val="bottom"/>
          </w:tcPr>
          <w:p>
            <w:pPr>
              <w:spacing w:after="0"/>
              <w:rPr>
                <w:sz w:val="11"/>
                <w:szCs w:val="11"/>
                <w:color w:val="auto"/>
              </w:rPr>
            </w:pPr>
          </w:p>
        </w:tc>
      </w:tr>
      <w:tr>
        <w:trPr>
          <w:trHeight w:val="173"/>
        </w:trPr>
        <w:tc>
          <w:tcPr>
            <w:tcW w:w="3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gridSpan w:val="3"/>
          </w:tcPr>
          <w:p>
            <w:pPr>
              <w:ind w:left="136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Shares   </w:t>
            </w:r>
            <w:r>
              <w:rPr>
                <w:rFonts w:ascii="Times New Roman" w:cs="Times New Roman" w:eastAsia="Times New Roman" w:hAnsi="Times New Roman"/>
                <w:sz w:val="20"/>
                <w:szCs w:val="20"/>
                <w:b w:val="1"/>
                <w:bCs w:val="1"/>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December 31, 2022</w:t>
            </w:r>
          </w:p>
        </w:tc>
        <w:tc>
          <w:tcPr>
            <w:tcW w:w="2260" w:type="dxa"/>
            <w:vAlign w:val="bottom"/>
            <w:gridSpan w:val="3"/>
          </w:tcPr>
          <w:p>
            <w:pPr>
              <w:ind w:left="1360"/>
              <w:spacing w:after="0"/>
              <w:rPr>
                <w:sz w:val="20"/>
                <w:szCs w:val="20"/>
                <w:color w:val="auto"/>
              </w:rPr>
            </w:pPr>
            <w:r>
              <w:rPr>
                <w:rFonts w:ascii="Times New Roman" w:cs="Times New Roman" w:eastAsia="Times New Roman" w:hAnsi="Times New Roman"/>
                <w:sz w:val="15"/>
                <w:szCs w:val="15"/>
                <w:color w:val="auto"/>
              </w:rPr>
              <w:t>​ ​​406,596​ ​​ ​</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​$ 0.27​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5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Vested</w:t>
            </w:r>
          </w:p>
        </w:tc>
        <w:tc>
          <w:tcPr>
            <w:tcW w:w="2260" w:type="dxa"/>
            <w:vAlign w:val="bottom"/>
            <w:gridSpan w:val="3"/>
          </w:tcPr>
          <w:p>
            <w:pPr>
              <w:ind w:left="136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​(170,420)</w:t>
            </w:r>
            <w:r>
              <w:rPr>
                <w:rFonts w:ascii="Times New Roman" w:cs="Times New Roman" w:eastAsia="Times New Roman" w:hAnsi="Times New Roman"/>
                <w:sz w:val="25"/>
                <w:szCs w:val="25"/>
                <w:color w:val="auto"/>
                <w:vertAlign w:val="subscript"/>
              </w:rPr>
              <w:t>​​ ​</w:t>
            </w:r>
          </w:p>
        </w:tc>
        <w:tc>
          <w:tcPr>
            <w:tcW w:w="92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0.22​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December 31, 2023</w:t>
            </w:r>
          </w:p>
        </w:tc>
        <w:tc>
          <w:tcPr>
            <w:tcW w:w="2260" w:type="dxa"/>
            <w:vAlign w:val="bottom"/>
            <w:gridSpan w:val="3"/>
          </w:tcPr>
          <w:p>
            <w:pPr>
              <w:ind w:left="136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​236,176​ </w:t>
            </w:r>
            <w:r>
              <w:rPr>
                <w:rFonts w:ascii="Times New Roman" w:cs="Times New Roman" w:eastAsia="Times New Roman" w:hAnsi="Times New Roman"/>
                <w:sz w:val="23"/>
                <w:szCs w:val="23"/>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0.31​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4"/>
        </w:trPr>
        <w:tc>
          <w:tcPr>
            <w:tcW w:w="3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1606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241800" cy="1606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4241800" cy="1397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119"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There were no RSAs granted during the year ended December 31, 2023. The total fair value of RSAs vested during the year ended December 31, 2023 was immaterial. As of December 31, 2023, unrecognized compensation cost related to unvested restricted stock awards was $0.1 million, which is expected to be recognized over a weighted average period of 1.2 years.</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 Options</w:t>
      </w:r>
    </w:p>
    <w:p>
      <w:pPr>
        <w:spacing w:after="0" w:line="117"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 Company has granted stock options with service-based vesting conditions. Stock options typically vest over four years and have a maximum term of ten years. The Company typically grants stock options to employees and non-employees at exercise prices deemed by the Board to be equal to the fair value of the common stock at the time of grant.</w:t>
      </w:r>
    </w:p>
    <w:p>
      <w:pPr>
        <w:spacing w:after="0" w:line="95"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table below presents the weighted-average assumptions used in estimating the fair values of stock options granted during the years ended December 31, 2023 and 2022:</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0" w:type="dxa"/>
            <w:vAlign w:val="bottom"/>
          </w:tcPr>
          <w:p>
            <w:pPr>
              <w:ind w:left="208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16"/>
                <w:szCs w:val="16"/>
                <w:color w:val="auto"/>
              </w:rPr>
            </w:pPr>
          </w:p>
        </w:tc>
        <w:tc>
          <w:tcPr>
            <w:tcW w:w="8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0" w:type="dxa"/>
            <w:vAlign w:val="bottom"/>
          </w:tcPr>
          <w:p>
            <w:pPr>
              <w:ind w:left="21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Risk-free interest rate</w:t>
            </w:r>
          </w:p>
        </w:tc>
        <w:tc>
          <w:tcPr>
            <w:tcW w:w="2200" w:type="dxa"/>
            <w:vAlign w:val="bottom"/>
            <w:vMerge w:val="restart"/>
            <w:shd w:val="clear" w:color="auto" w:fill="CCEEFF"/>
          </w:tcPr>
          <w:p>
            <w:pPr>
              <w:ind w:left="2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 4.13%</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3.49</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44"/>
        </w:trPr>
        <w:tc>
          <w:tcPr>
            <w:tcW w:w="3580" w:type="dxa"/>
            <w:vAlign w:val="bottom"/>
            <w:shd w:val="clear" w:color="auto" w:fill="CCEEFF"/>
          </w:tcPr>
          <w:p>
            <w:pPr>
              <w:spacing w:after="0"/>
              <w:rPr>
                <w:sz w:val="3"/>
                <w:szCs w:val="3"/>
                <w:color w:val="auto"/>
              </w:rPr>
            </w:pPr>
          </w:p>
        </w:tc>
        <w:tc>
          <w:tcPr>
            <w:tcW w:w="220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4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2760" w:type="dxa"/>
            <w:vAlign w:val="bottom"/>
            <w:gridSpan w:val="5"/>
          </w:tcPr>
          <w:p>
            <w:pPr>
              <w:ind w:left="2120"/>
              <w:spacing w:after="0"/>
              <w:rPr>
                <w:sz w:val="20"/>
                <w:szCs w:val="20"/>
                <w:color w:val="auto"/>
              </w:rPr>
            </w:pPr>
            <w:r>
              <w:rPr>
                <w:rFonts w:ascii="Times New Roman" w:cs="Times New Roman" w:eastAsia="Times New Roman" w:hAnsi="Times New Roman"/>
                <w:sz w:val="15"/>
                <w:szCs w:val="15"/>
                <w:color w:val="auto"/>
              </w:rPr>
              <w:t>​ ​​ 6.04​​ ​</w:t>
            </w:r>
          </w:p>
        </w:tc>
        <w:tc>
          <w:tcPr>
            <w:tcW w:w="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6.08​</w:t>
            </w:r>
          </w:p>
        </w:tc>
        <w:tc>
          <w:tcPr>
            <w:tcW w:w="0" w:type="dxa"/>
            <w:vAlign w:val="bottom"/>
          </w:tcPr>
          <w:p>
            <w:pPr>
              <w:spacing w:after="0"/>
              <w:rPr>
                <w:sz w:val="1"/>
                <w:szCs w:val="1"/>
                <w:color w:val="auto"/>
              </w:rPr>
            </w:pPr>
          </w:p>
        </w:tc>
      </w:tr>
      <w:tr>
        <w:trPr>
          <w:trHeight w:val="165"/>
        </w:trPr>
        <w:tc>
          <w:tcPr>
            <w:tcW w:w="35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Expected volatility</w:t>
            </w:r>
          </w:p>
        </w:tc>
        <w:tc>
          <w:tcPr>
            <w:tcW w:w="2200" w:type="dxa"/>
            <w:vAlign w:val="bottom"/>
            <w:vMerge w:val="restart"/>
            <w:shd w:val="clear" w:color="auto" w:fill="CCEEFF"/>
          </w:tcPr>
          <w:p>
            <w:pPr>
              <w:ind w:left="2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center"/>
              <w:spacing w:after="0" w:line="165" w:lineRule="exact"/>
              <w:rPr>
                <w:sz w:val="20"/>
                <w:szCs w:val="20"/>
                <w:color w:val="auto"/>
              </w:rPr>
            </w:pPr>
            <w:r>
              <w:rPr>
                <w:rFonts w:ascii="Times New Roman" w:cs="Times New Roman" w:eastAsia="Times New Roman" w:hAnsi="Times New Roman"/>
                <w:sz w:val="15"/>
                <w:szCs w:val="15"/>
                <w:color w:val="auto"/>
                <w:w w:val="95"/>
              </w:rPr>
              <w:t>​87.86%</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w w:val="94"/>
              </w:rPr>
              <w:t>​89.07</w:t>
            </w:r>
          </w:p>
        </w:tc>
        <w:tc>
          <w:tcPr>
            <w:tcW w:w="1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44"/>
        </w:trPr>
        <w:tc>
          <w:tcPr>
            <w:tcW w:w="3580" w:type="dxa"/>
            <w:vAlign w:val="bottom"/>
            <w:shd w:val="clear" w:color="auto" w:fill="CCEEFF"/>
          </w:tcPr>
          <w:p>
            <w:pPr>
              <w:spacing w:after="0"/>
              <w:rPr>
                <w:sz w:val="3"/>
                <w:szCs w:val="3"/>
                <w:color w:val="auto"/>
              </w:rPr>
            </w:pPr>
          </w:p>
        </w:tc>
        <w:tc>
          <w:tcPr>
            <w:tcW w:w="220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4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65"/>
        </w:trPr>
        <w:tc>
          <w:tcPr>
            <w:tcW w:w="35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Expected dividend yield</w:t>
            </w:r>
          </w:p>
        </w:tc>
        <w:tc>
          <w:tcPr>
            <w:tcW w:w="2200" w:type="dxa"/>
            <w:vAlign w:val="bottom"/>
            <w:vMerge w:val="restart"/>
          </w:tcPr>
          <w:p>
            <w:pPr>
              <w:ind w:left="2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5"/>
                <w:szCs w:val="15"/>
                <w:color w:val="auto"/>
              </w:rPr>
              <w:t>​ 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 0.00%</w:t>
            </w: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-586105</wp:posOffset>
            </wp:positionV>
            <wp:extent cx="402526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02526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The following table presents a summary of the Company’s stock option activity and related information:</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14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c>
          <w:tcPr>
            <w:tcW w:w="16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Aggregate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center"/>
              <w:ind w:right="38"/>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6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40" w:type="dxa"/>
            <w:vAlign w:val="bottom"/>
          </w:tcPr>
          <w:p>
            <w:pPr>
              <w:spacing w:after="0"/>
              <w:rPr>
                <w:sz w:val="11"/>
                <w:szCs w:val="11"/>
                <w:color w:val="auto"/>
              </w:rPr>
            </w:pPr>
          </w:p>
        </w:tc>
        <w:tc>
          <w:tcPr>
            <w:tcW w:w="9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Remaining</w:t>
            </w:r>
          </w:p>
        </w:tc>
        <w:tc>
          <w:tcPr>
            <w:tcW w:w="160" w:type="dxa"/>
            <w:vAlign w:val="bottom"/>
          </w:tcPr>
          <w:p>
            <w:pPr>
              <w:spacing w:after="0"/>
              <w:rPr>
                <w:sz w:val="11"/>
                <w:szCs w:val="11"/>
                <w:color w:val="auto"/>
              </w:rPr>
            </w:pPr>
          </w:p>
        </w:tc>
        <w:tc>
          <w:tcPr>
            <w:tcW w:w="7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Intrinsic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88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Exercise Price</w:t>
            </w:r>
          </w:p>
        </w:tc>
        <w:tc>
          <w:tcPr>
            <w:tcW w:w="106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Contractual Term</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(in years)</w:t>
            </w:r>
          </w:p>
        </w:tc>
        <w:tc>
          <w:tcPr>
            <w:tcW w:w="90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(in thousands)</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​​17,774,295​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0.86​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right w:val="single" w:sz="8" w:color="CCEEFF"/>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Granted</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9,155,000​</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 1.18​</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Exercised</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(239,500)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 0.48​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right w:val="single" w:sz="8" w:color="CCEEFF"/>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3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Forfeited or cancelled</w:t>
            </w:r>
          </w:p>
        </w:tc>
        <w:tc>
          <w:tcPr>
            <w:tcW w:w="88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​(5,998,548)</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0.94​</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outstanding at December 31, 2023</w:t>
            </w:r>
          </w:p>
        </w:tc>
        <w:tc>
          <w:tcPr>
            <w:tcW w:w="1040" w:type="dxa"/>
            <w:vAlign w:val="bottom"/>
            <w:gridSpan w:val="3"/>
            <w:shd w:val="clear" w:color="auto" w:fill="CCEEFF"/>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​20,691,247​ </w:t>
            </w:r>
            <w:r>
              <w:rPr>
                <w:rFonts w:ascii="Times New Roman" w:cs="Times New Roman" w:eastAsia="Times New Roman" w:hAnsi="Times New Roman"/>
                <w:sz w:val="23"/>
                <w:szCs w:val="23"/>
                <w:color w:val="auto"/>
                <w:vertAlign w:val="subscript"/>
              </w:rPr>
              <w:t>​​ ​</w:t>
            </w:r>
          </w:p>
        </w:tc>
        <w:tc>
          <w:tcPr>
            <w:tcW w:w="7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0.98​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tcBorders>
              <w:right w:val="single" w:sz="8" w:color="CCEEFF"/>
            </w:tcBorders>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8,084​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line="165" w:lineRule="exact"/>
              <w:rPr>
                <w:sz w:val="20"/>
                <w:szCs w:val="20"/>
                <w:color w:val="auto"/>
              </w:rPr>
            </w:pPr>
            <w:r>
              <w:rPr>
                <w:rFonts w:ascii="Times New Roman" w:cs="Times New Roman" w:eastAsia="Times New Roman" w:hAnsi="Times New Roman"/>
                <w:sz w:val="15"/>
                <w:szCs w:val="15"/>
                <w:color w:val="auto"/>
              </w:rPr>
              <w:t>Options vested and exercisable at December 31,</w:t>
            </w: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2023</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5,866,164​ ​​ ​</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0.73​</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gridSpan w:val="2"/>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5.57​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vested and expected to vest at</w:t>
            </w:r>
          </w:p>
        </w:tc>
        <w:tc>
          <w:tcPr>
            <w:tcW w:w="22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December 31, 2023</w:t>
            </w: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20,691,247​ ​​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0.98​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tcBorders>
              <w:right w:val="single" w:sz="8" w:color="CCEEFF"/>
            </w:tcBorders>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-655320</wp:posOffset>
            </wp:positionV>
            <wp:extent cx="424180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4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aggregate intrinsic value of stock options is calculated as the difference between the exercise price of the options and the fair value of the Company’s common stock for those stock options that had an exercise price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3" w:name="page234"/>
    <w:bookmarkEnd w:id="23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Stock-Based Compensation (Continued)</w:t>
      </w:r>
    </w:p>
    <w:p>
      <w:pPr>
        <w:spacing w:after="0" w:line="18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lower than the fair value of the Company’s common stock as of the measurement date of December 31, 2023. The aggregate intrinsic value of options exercised during the year ended December 31, 2023 was $0.2 million. There were no stock options exercised during the year ended December 31, 2022.</w:t>
      </w:r>
    </w:p>
    <w:p>
      <w:pPr>
        <w:spacing w:after="0" w:line="89"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The weighted- average grant date fair value of the Company’s stock options granted during the year ended December 31, 2023 and 2022 was $0.93 and $0.78 per option, respectively. As of December 31, 2023, unrecognized compensation cost related to unvested stock options was $11.6 million, which is expected to be recognized over a weighted average period of 3.2 years. The total fair value of options vested during the years ended December 31, 2023 and 2022 was $2.6 million and $0.7 million, respectively.</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following table presents stock-based compensation expense as reflected in the Company’s consolidated statements of operations and comprehensive loss for the years ended December 31, 2023 and 2022 (in thousands):</w:t>
      </w:r>
    </w:p>
    <w:p>
      <w:pPr>
        <w:spacing w:after="0" w:line="107"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0" w:type="dxa"/>
            <w:vAlign w:val="bottom"/>
          </w:tcPr>
          <w:p>
            <w:pPr>
              <w:ind w:left="148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0" w:type="dxa"/>
            <w:vAlign w:val="bottom"/>
          </w:tcPr>
          <w:p>
            <w:pPr>
              <w:ind w:left="15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9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2022</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9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6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1,600</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​​$ 357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60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6"/>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1,895</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380</w:t>
            </w:r>
            <w:r>
              <w:rPr>
                <w:rFonts w:ascii="Times New Roman" w:cs="Times New Roman" w:eastAsia="Times New Roman" w:hAnsi="Times New Roman"/>
                <w:sz w:val="25"/>
                <w:szCs w:val="25"/>
                <w:color w:val="auto"/>
                <w:vertAlign w:val="subscript"/>
              </w:rPr>
              <w:t>​</w:t>
            </w:r>
          </w:p>
        </w:tc>
      </w:tr>
      <w:tr>
        <w:trPr>
          <w:trHeight w:val="20"/>
        </w:trPr>
        <w:tc>
          <w:tcPr>
            <w:tcW w:w="39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16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5"/>
            <w:shd w:val="clear" w:color="auto" w:fill="CCEEFF"/>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3,495</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737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00431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0043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9732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997325"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Net Loss Per Share</w:t>
      </w:r>
    </w:p>
    <w:p>
      <w:pPr>
        <w:spacing w:after="0" w:line="12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Basic and diluted net loss per share attributable to common stockholders was calculated as follows (in thousands, except share and per share amounts):</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tcBorders>
              <w:bottom w:val="single" w:sz="8" w:color="auto"/>
            </w:tcBorders>
          </w:tcPr>
          <w:p>
            <w:pPr>
              <w:spacing w:after="0"/>
              <w:rPr>
                <w:sz w:val="16"/>
                <w:szCs w:val="16"/>
                <w:color w:val="auto"/>
              </w:rPr>
            </w:pPr>
          </w:p>
        </w:tc>
        <w:tc>
          <w:tcPr>
            <w:tcW w:w="18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rPr>
              <w:t>​ ​</w:t>
            </w:r>
          </w:p>
        </w:tc>
        <w:tc>
          <w:tcPr>
            <w:tcW w:w="280" w:type="dxa"/>
            <w:vAlign w:val="bottom"/>
            <w:tcBorders>
              <w:bottom w:val="single" w:sz="8" w:color="auto"/>
            </w:tcBorders>
            <w:gridSpan w:val="2"/>
          </w:tcPr>
          <w:p>
            <w:pPr>
              <w:spacing w:after="0"/>
              <w:rPr>
                <w:sz w:val="16"/>
                <w:szCs w:val="16"/>
                <w:color w:val="auto"/>
              </w:rPr>
            </w:pPr>
          </w:p>
        </w:tc>
        <w:tc>
          <w:tcPr>
            <w:tcW w:w="4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Numerator:</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Pr>
          <w:p>
            <w:pPr>
              <w:spacing w:after="0"/>
              <w:rPr>
                <w:sz w:val="17"/>
                <w:szCs w:val="17"/>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1100" w:type="dxa"/>
            <w:vAlign w:val="bottom"/>
            <w:gridSpan w:val="5"/>
          </w:tcPr>
          <w:p>
            <w:pPr>
              <w:jc w:val="right"/>
              <w:ind w:right="180"/>
              <w:spacing w:after="0" w:line="200" w:lineRule="exact"/>
              <w:rPr>
                <w:sz w:val="20"/>
                <w:szCs w:val="20"/>
                <w:color w:val="auto"/>
              </w:rPr>
            </w:pPr>
            <w:r>
              <w:rPr>
                <w:rFonts w:ascii="Times New Roman" w:cs="Times New Roman" w:eastAsia="Times New Roman" w:hAnsi="Times New Roman"/>
                <w:sz w:val="13"/>
                <w:szCs w:val="13"/>
                <w:color w:val="auto"/>
              </w:rPr>
              <w:t>(37,124)</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64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13"/>
                <w:szCs w:val="13"/>
                <w:color w:val="auto"/>
              </w:rPr>
              <w:t>(119,282)</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44"/>
        </w:trPr>
        <w:tc>
          <w:tcPr>
            <w:tcW w:w="45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Denominator:</w:t>
            </w: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4540" w:type="dxa"/>
            <w:vAlign w:val="bottom"/>
            <w:vMerge w:val="continue"/>
          </w:tcPr>
          <w:p>
            <w:pPr>
              <w:spacing w:after="0"/>
              <w:rPr>
                <w:sz w:val="15"/>
                <w:szCs w:val="1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Pr>
          <w:p>
            <w:pPr>
              <w:spacing w:after="0"/>
              <w:rPr>
                <w:sz w:val="15"/>
                <w:szCs w:val="15"/>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common stock outstanding–basic and diluted</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gridSpan w:val="10"/>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13,295,456​ </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​  12,956,618​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stockholders–basic and diluted</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1100" w:type="dxa"/>
            <w:vAlign w:val="bottom"/>
            <w:gridSpan w:val="5"/>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2"/>
                <w:szCs w:val="12"/>
                <w:color w:val="auto"/>
              </w:rPr>
              <w:t>(2.79)</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-452755</wp:posOffset>
            </wp:positionV>
            <wp:extent cx="4241800" cy="1257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-746125</wp:posOffset>
            </wp:positionV>
            <wp:extent cx="4241800" cy="1397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15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December 31, 2023 and 2022 because including them would have had an anti-dilutive effect:</w:t>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60" w:type="dxa"/>
            <w:vAlign w:val="bottom"/>
          </w:tcPr>
          <w:p>
            <w:pPr>
              <w:ind w:left="224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460" w:type="dxa"/>
            <w:vAlign w:val="bottom"/>
            <w:tcBorders>
              <w:bottom w:val="single" w:sz="8" w:color="auto"/>
            </w:tcBorders>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1020" w:type="dxa"/>
            <w:vAlign w:val="bottom"/>
          </w:tcPr>
          <w:p>
            <w:pPr>
              <w:spacing w:after="0"/>
              <w:rPr>
                <w:sz w:val="17"/>
                <w:szCs w:val="17"/>
                <w:color w:val="auto"/>
              </w:rPr>
            </w:pPr>
          </w:p>
        </w:tc>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60" w:type="dxa"/>
            <w:vAlign w:val="bottom"/>
            <w:tcBorders>
              <w:bottom w:val="single" w:sz="8" w:color="CCEEFF"/>
            </w:tcBorders>
          </w:tcPr>
          <w:p>
            <w:pPr>
              <w:ind w:left="228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0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236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100,617,681​​</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96,427,726​</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Unvested restricted stock</w:t>
            </w:r>
          </w:p>
        </w:tc>
        <w:tc>
          <w:tcPr>
            <w:tcW w:w="2360" w:type="dxa"/>
            <w:vAlign w:val="bottom"/>
          </w:tcPr>
          <w:p>
            <w:pPr>
              <w:ind w:left="2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236,176​​</w:t>
            </w: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406,594​</w:t>
            </w:r>
          </w:p>
        </w:tc>
      </w:tr>
      <w:tr>
        <w:trPr>
          <w:trHeight w:val="198"/>
        </w:trPr>
        <w:tc>
          <w:tcPr>
            <w:tcW w:w="10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to purchase common stock</w:t>
            </w:r>
          </w:p>
        </w:tc>
        <w:tc>
          <w:tcPr>
            <w:tcW w:w="4000" w:type="dxa"/>
            <w:vAlign w:val="bottom"/>
            <w:gridSpan w:val="8"/>
            <w:shd w:val="clear" w:color="auto" w:fill="CCEEFF"/>
          </w:tcPr>
          <w:p>
            <w:pPr>
              <w:ind w:left="228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20,691,247​​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17,774,295​</w:t>
            </w:r>
          </w:p>
        </w:tc>
        <w:tc>
          <w:tcPr>
            <w:tcW w:w="1020" w:type="dxa"/>
            <w:vAlign w:val="bottom"/>
          </w:tcPr>
          <w:p>
            <w:pPr>
              <w:spacing w:after="0"/>
              <w:rPr>
                <w:sz w:val="17"/>
                <w:szCs w:val="17"/>
                <w:color w:val="auto"/>
              </w:rPr>
            </w:pPr>
          </w:p>
        </w:tc>
      </w:tr>
      <w:tr>
        <w:trPr>
          <w:trHeight w:val="527"/>
        </w:trPr>
        <w:tc>
          <w:tcPr>
            <w:tcW w:w="1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F-29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-934085</wp:posOffset>
            </wp:positionV>
            <wp:extent cx="381635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4" w:name="page235"/>
    <w:bookmarkEnd w:id="23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Net Loss Per Share (Continued)</w:t>
      </w:r>
    </w:p>
    <w:p>
      <w:pPr>
        <w:spacing w:after="0" w:line="181" w:lineRule="exact"/>
        <w:rPr>
          <w:sz w:val="20"/>
          <w:szCs w:val="20"/>
          <w:color w:val="auto"/>
        </w:rPr>
      </w:pPr>
    </w:p>
    <w:p>
      <w:pPr>
        <w:jc w:val="both"/>
        <w:ind w:left="1160" w:right="1179"/>
        <w:spacing w:after="0" w:line="261" w:lineRule="auto"/>
        <w:rPr>
          <w:sz w:val="20"/>
          <w:szCs w:val="20"/>
          <w:color w:val="auto"/>
        </w:rPr>
      </w:pPr>
      <w:r>
        <w:rPr>
          <w:rFonts w:ascii="Times New Roman" w:cs="Times New Roman" w:eastAsia="Times New Roman" w:hAnsi="Times New Roman"/>
          <w:sz w:val="15"/>
          <w:szCs w:val="15"/>
          <w:color w:val="auto"/>
        </w:rPr>
        <w:t>The BMS Note was also outstanding as of December 31, 2023, which could obligate the Company to issue preferred shares or common shares upon the occurrence of various future events at prices and in amounts that are not determinable until the occurrence of those future events. Because the necessary conditions for the conversion of the BMS Note had not been satisfied as of December 31, 2023, the Company has excluded the BMS Note from the table above and the calculation of diluted net loss per share. See Note 7 for additional details.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Income Taxes</w:t>
      </w:r>
    </w:p>
    <w:p>
      <w:pPr>
        <w:spacing w:after="0" w:line="126" w:lineRule="exact"/>
        <w:rPr>
          <w:sz w:val="20"/>
          <w:szCs w:val="20"/>
          <w:color w:val="auto"/>
        </w:rPr>
      </w:pPr>
    </w:p>
    <w:p>
      <w:pPr>
        <w:jc w:val="both"/>
        <w:ind w:left="1160" w:right="1179"/>
        <w:spacing w:after="0" w:line="284" w:lineRule="auto"/>
        <w:rPr>
          <w:sz w:val="20"/>
          <w:szCs w:val="20"/>
          <w:color w:val="auto"/>
        </w:rPr>
      </w:pPr>
      <w:r>
        <w:rPr>
          <w:rFonts w:ascii="Times New Roman" w:cs="Times New Roman" w:eastAsia="Times New Roman" w:hAnsi="Times New Roman"/>
          <w:sz w:val="15"/>
          <w:szCs w:val="15"/>
          <w:color w:val="auto"/>
        </w:rPr>
        <w:t>The following table presents the components of loss before the provision for (benefit from) income taxes during the years ended December 31, 2023 and 2022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tcPr>
          <w:p>
            <w:pPr>
              <w:ind w:left="150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3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w:t>
            </w:r>
          </w:p>
        </w:tc>
        <w:tc>
          <w:tcPr>
            <w:tcW w:w="16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(10,845)</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(52,210)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Non-U.S.</w:t>
            </w:r>
          </w:p>
        </w:tc>
        <w:tc>
          <w:tcPr>
            <w:tcW w:w="16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(25,978)</w:t>
            </w:r>
          </w:p>
        </w:tc>
        <w:tc>
          <w:tcPr>
            <w:tcW w:w="340" w:type="dxa"/>
            <w:vAlign w:val="bottom"/>
            <w:gridSpan w:val="2"/>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(67,072)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4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Loss before taxes on income</w:t>
            </w:r>
          </w:p>
        </w:tc>
        <w:tc>
          <w:tcPr>
            <w:tcW w:w="16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shd w:val="clear" w:color="auto" w:fill="CCEEFF"/>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(36,823)</w:t>
            </w:r>
          </w:p>
        </w:tc>
        <w:tc>
          <w:tcPr>
            <w:tcW w:w="900" w:type="dxa"/>
            <w:vAlign w:val="bottom"/>
            <w:gridSpan w:val="3"/>
            <w:shd w:val="clear" w:color="auto" w:fill="CCEEFF"/>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(119,282)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78142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7814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77444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774440" cy="6985"/>
                    </a:xfrm>
                    <a:prstGeom prst="rect">
                      <a:avLst/>
                    </a:prstGeom>
                    <a:noFill/>
                  </pic:spPr>
                </pic:pic>
              </a:graphicData>
            </a:graphic>
          </wp:anchor>
        </w:drawing>
      </w:r>
    </w:p>
    <w:p>
      <w:pPr>
        <w:spacing w:after="0" w:line="163"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components of the income tax provision for the years ended December 31, 2023 and 2022 are as follows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20" w:type="dxa"/>
            <w:vAlign w:val="bottom"/>
          </w:tcPr>
          <w:p>
            <w:pPr>
              <w:ind w:left="25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20" w:type="dxa"/>
            <w:vAlign w:val="bottom"/>
          </w:tcPr>
          <w:p>
            <w:pPr>
              <w:ind w:left="25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Current income tax provision:</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State</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current income tax provision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income tax provision:</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6"/>
                <w:szCs w:val="16"/>
                <w:color w:val="auto"/>
              </w:rPr>
            </w:pPr>
          </w:p>
        </w:tc>
        <w:tc>
          <w:tcPr>
            <w:tcW w:w="46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289​</w:t>
            </w:r>
          </w:p>
        </w:tc>
        <w:tc>
          <w:tcPr>
            <w:tcW w:w="3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5"/>
                <w:szCs w:val="15"/>
                <w:color w:val="auto"/>
                <w:w w:val="99"/>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12​</w:t>
            </w:r>
          </w:p>
        </w:tc>
        <w:tc>
          <w:tcPr>
            <w:tcW w:w="3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5"/>
                <w:szCs w:val="15"/>
                <w:color w:val="auto"/>
              </w:rPr>
              <w:t>​ ​ —​</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7"/>
                <w:szCs w:val="17"/>
                <w:color w:val="auto"/>
              </w:rPr>
            </w:pPr>
          </w:p>
        </w:tc>
        <w:tc>
          <w:tcPr>
            <w:tcW w:w="840" w:type="dxa"/>
            <w:vAlign w:val="bottom"/>
            <w:gridSpan w:val="4"/>
          </w:tcPr>
          <w:p>
            <w:pPr>
              <w:jc w:val="right"/>
              <w:ind w:right="87"/>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w:t>
            </w:r>
          </w:p>
        </w:tc>
        <w:tc>
          <w:tcPr>
            <w:tcW w:w="380" w:type="dxa"/>
            <w:vAlign w:val="bottom"/>
            <w:gridSpan w:val="2"/>
          </w:tcPr>
          <w:p>
            <w:pPr>
              <w:jc w:val="right"/>
              <w:ind w:right="55"/>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9"/>
                <w:szCs w:val="19"/>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301​</w:t>
            </w:r>
          </w:p>
        </w:tc>
        <w:tc>
          <w:tcPr>
            <w:tcW w:w="3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5"/>
                <w:szCs w:val="15"/>
                <w:color w:val="auto"/>
              </w:rPr>
              <w:t>​ ​ —​</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6"/>
                <w:szCs w:val="16"/>
                <w:color w:val="auto"/>
              </w:rPr>
            </w:pPr>
          </w:p>
        </w:tc>
        <w:tc>
          <w:tcPr>
            <w:tcW w:w="46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bl>
    <w:p>
      <w:pPr>
        <w:spacing w:after="0" w:line="1" w:lineRule="exact"/>
        <w:rPr>
          <w:sz w:val="20"/>
          <w:szCs w:val="20"/>
          <w:color w:val="auto"/>
        </w:rPr>
      </w:pPr>
    </w:p>
    <w:p>
      <w:pPr>
        <w:sectPr>
          <w:pgSz w:w="11900" w:h="16838" w:orient="portrait"/>
          <w:cols w:equalWidth="0" w:num="2">
            <w:col w:w="5600" w:space="720"/>
            <w:col w:w="2699"/>
          </w:cols>
          <w:pgMar w:left="1440" w:top="9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222"/>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Federal, state and foreign</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deferred income tax provision</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income tax provision</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3"/>
            <w:shd w:val="clear" w:color="auto" w:fill="CCEEFF"/>
          </w:tcPr>
          <w:p>
            <w:pPr>
              <w:jc w:val="right"/>
              <w:ind w:righ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$ 301​</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 reconciliation of the income tax expense computed using the federal statutory income tax rate to the</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Company’s effective income tax rate is as follows:</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tcPr>
          <w:p>
            <w:pPr>
              <w:ind w:left="21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tcBorders>
              <w:bottom w:val="single" w:sz="8" w:color="CCEEFF"/>
            </w:tcBorders>
          </w:tcPr>
          <w:p>
            <w:pPr>
              <w:ind w:left="222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 statutory income tax rate</w:t>
            </w:r>
          </w:p>
        </w:tc>
        <w:tc>
          <w:tcPr>
            <w:tcW w:w="2420" w:type="dxa"/>
            <w:vAlign w:val="bottom"/>
            <w:tcBorders>
              <w:right w:val="single" w:sz="8" w:color="CCEEFF"/>
            </w:tcBorders>
            <w:gridSpan w:val="2"/>
            <w:shd w:val="clear" w:color="auto" w:fill="CCEEFF"/>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21.0%</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State income taxes, net of federal benefit</w:t>
            </w:r>
          </w:p>
        </w:tc>
        <w:tc>
          <w:tcPr>
            <w:tcW w:w="2420" w:type="dxa"/>
            <w:vAlign w:val="bottom"/>
            <w:gridSpan w:val="2"/>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2.9​</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2420" w:type="dxa"/>
            <w:vAlign w:val="bottom"/>
            <w:tcBorders>
              <w:right w:val="single" w:sz="8" w:color="CCEEFF"/>
            </w:tcBorders>
            <w:gridSpan w:val="2"/>
            <w:shd w:val="clear" w:color="auto" w:fill="CCEEFF"/>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(18.1)</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Research and development tax credits</w:t>
            </w:r>
          </w:p>
        </w:tc>
        <w:tc>
          <w:tcPr>
            <w:tcW w:w="2420" w:type="dxa"/>
            <w:vAlign w:val="bottom"/>
            <w:gridSpan w:val="2"/>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2.6​</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Foreign tax rate differential</w:t>
            </w:r>
          </w:p>
        </w:tc>
        <w:tc>
          <w:tcPr>
            <w:tcW w:w="2420" w:type="dxa"/>
            <w:vAlign w:val="bottom"/>
            <w:tcBorders>
              <w:right w:val="single" w:sz="8" w:color="CCEEFF"/>
            </w:tcBorders>
            <w:gridSpan w:val="2"/>
            <w:shd w:val="clear" w:color="auto" w:fill="CCEEFF"/>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(8.2)</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adjustments</w:t>
            </w:r>
          </w:p>
        </w:tc>
        <w:tc>
          <w:tcPr>
            <w:tcW w:w="2420" w:type="dxa"/>
            <w:vAlign w:val="bottom"/>
            <w:gridSpan w:val="2"/>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ind w:left="8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(0.2)</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42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20" w:type="dxa"/>
            <w:vAlign w:val="bottom"/>
          </w:tcPr>
          <w:p>
            <w:pPr>
              <w:spacing w:after="0"/>
              <w:rPr>
                <w:sz w:val="21"/>
                <w:szCs w:val="21"/>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Effective income tax rate</w:t>
            </w:r>
          </w:p>
        </w:tc>
        <w:tc>
          <w:tcPr>
            <w:tcW w:w="2420" w:type="dxa"/>
            <w:vAlign w:val="bottom"/>
            <w:tcBorders>
              <w:right w:val="single" w:sz="8" w:color="CCEEFF"/>
            </w:tcBorders>
            <w:gridSpan w:val="2"/>
            <w:shd w:val="clear" w:color="auto" w:fill="CCEEFF"/>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ind w:left="8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(0.0)%</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5"/>
                <w:szCs w:val="15"/>
                <w:color w:val="auto"/>
              </w:rPr>
              <w:t>F-30</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-732155</wp:posOffset>
            </wp:positionV>
            <wp:extent cx="424180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-1506220</wp:posOffset>
            </wp:positionV>
            <wp:extent cx="385127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5127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35" w:name="page236"/>
    <w:bookmarkEnd w:id="23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Income Taxes (Continued)</w:t>
      </w:r>
    </w:p>
    <w:p>
      <w:pPr>
        <w:spacing w:after="0" w:line="181"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Company’s change in effective tax rate for the year ended December 31, 2023 compared to the year ended December 31, 2022 increased primarily due to income earned in the U.S.</w:t>
      </w:r>
    </w:p>
    <w:p>
      <w:pPr>
        <w:spacing w:after="0" w:line="86"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The following table presents the components of the Company’s deferred tax assets and liabilities (in thousands):</w:t>
      </w:r>
    </w:p>
    <w:p>
      <w:pPr>
        <w:sectPr>
          <w:pgSz w:w="11900" w:h="16838" w:orient="portrait"/>
          <w:cols w:equalWidth="0" w:num="1">
            <w:col w:w="9019"/>
          </w:cols>
          <w:pgMar w:left="1440" w:top="98" w:right="1440" w:bottom="1440" w:gutter="0" w:footer="0" w:header="0"/>
        </w:sectPr>
      </w:pP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tax assets: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Net operating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Capitalized research and development</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Research and development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Accruals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Lease liability</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Intangibles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Fair value adjustment–debt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w:t>
      </w:r>
    </w:p>
    <w:p>
      <w:pPr>
        <w:spacing w:after="0" w:line="5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tax liabilities:</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ROU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9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Amortization and other</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7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241800" cy="167640"/>
                    </a:xfrm>
                    <a:prstGeom prst="rect">
                      <a:avLst/>
                    </a:prstGeom>
                    <a:noFill/>
                  </pic:spPr>
                </pic:pic>
              </a:graphicData>
            </a:graphic>
          </wp:anchor>
        </w:drawing>
      </w:r>
    </w:p>
    <w:p>
      <w:pPr>
        <w:spacing w:after="0" w:line="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Net deferred tax assets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7"/>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auto"/>
            </w:tcBorders>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9,960​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13,073​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19,573​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10,795​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6,547​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4,112​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1,424​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1,068​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719​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777​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147​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262​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1,188​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258​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320​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280" w:type="dxa"/>
            <w:vAlign w:val="bottom"/>
          </w:tcPr>
          <w:p>
            <w:pPr>
              <w:spacing w:after="0"/>
              <w:rPr>
                <w:sz w:val="17"/>
                <w:szCs w:val="17"/>
                <w:color w:val="auto"/>
              </w:rPr>
            </w:pPr>
          </w:p>
        </w:tc>
        <w:tc>
          <w:tcPr>
            <w:tcW w:w="3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2​ </w:t>
            </w:r>
            <w:r>
              <w:rPr>
                <w:rFonts w:ascii="Times New Roman" w:cs="Times New Roman" w:eastAsia="Times New Roman" w:hAnsi="Times New Roman"/>
                <w:sz w:val="23"/>
                <w:szCs w:val="23"/>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2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39,961​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30,345​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(258)​</w:t>
            </w:r>
          </w:p>
        </w:tc>
      </w:tr>
      <w:tr>
        <w:trPr>
          <w:trHeight w:val="22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5"/>
          </w:tcPr>
          <w:p>
            <w:pPr>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(39,761)</w:t>
            </w:r>
            <w:r>
              <w:rPr>
                <w:rFonts w:ascii="Times New Roman" w:cs="Times New Roman" w:eastAsia="Times New Roman" w:hAnsi="Times New Roman"/>
                <w:sz w:val="24"/>
                <w:szCs w:val="24"/>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13"/>
                <w:szCs w:val="13"/>
                <w:color w:val="auto"/>
              </w:rPr>
              <w:t>​  (30,082)</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280" w:type="dxa"/>
            <w:vAlign w:val="bottom"/>
          </w:tcPr>
          <w:p>
            <w:pPr>
              <w:spacing w:after="0"/>
              <w:rPr>
                <w:sz w:val="19"/>
                <w:szCs w:val="19"/>
                <w:color w:val="auto"/>
              </w:rPr>
            </w:pPr>
          </w:p>
        </w:tc>
        <w:tc>
          <w:tcPr>
            <w:tcW w:w="32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w:t>
            </w:r>
          </w:p>
        </w:tc>
        <w:tc>
          <w:tcPr>
            <w:tcW w:w="16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5440" w:space="720"/>
            <w:col w:w="2859"/>
          </w:cols>
          <w:pgMar w:left="1440" w:top="98" w:right="1440" w:bottom="1440" w:gutter="0" w:footer="0" w:header="0"/>
          <w:type w:val="continuous"/>
        </w:sect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ASC Topic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full valuation allowances against its domestic and foreign deferred tax assets as of December 31, 2023, because management has determined that it is more likely than not that these assets will not be realized. The valuation allowance increased by $9.7 million from December 31, 2022 to December 31, 2023, primarily due to the capitalization of research and development expenses under Internal Revenue Code Section 174 (“Section 174”) at the U.S. entity.</w:t>
      </w:r>
    </w:p>
    <w:p>
      <w:pPr>
        <w:spacing w:after="0" w:line="90"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Beginning on or after January 1, 2022, Section 174 of the U.S. internal revenue code was amended as part of the Tax Cuts and Jobs Act of 2017 (the “TCJA”) to no longer permit an immediate deduction for research and development expenditures in the tax year that such costs are incurred. Rather, the research and development expenses must be capitalized and amortized over five years for research performed in the U.S. and 15 years for research performed outside the U.S. As a result of this provision, the Company capitalized applicable costs resulting in a deferred tax asset of $19.6 million as of December 31, 2023.</w:t>
      </w:r>
    </w:p>
    <w:p>
      <w:pPr>
        <w:spacing w:after="0" w:line="10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As of December 31, 2023, the Company had approximately $2.3 million of U.S. federal net operating loss (“NOL”) carryforwards. The Company had no state NOL carryforwards as of December 31, 2023. As of December 31, 2022, the Company had approximately $22.9 million and $22.2 million of U.S. federal and state NOL carryforwards, respectively. The Company utilized previous net operating loss carryforwards to offset the taxable income created from the mandatory capitalization of research and development expenses under</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36" w:name="page237"/>
    <w:bookmarkEnd w:id="23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Income Taxes (Continued)</w:t>
      </w:r>
    </w:p>
    <w:p>
      <w:pPr>
        <w:spacing w:after="0" w:line="18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Section 174. The federal NOL carryforwards do not expire, but they may be limited in their usage to an annual deduction equal to 80% of annual taxable income. The Company anticipates the utilization of their state NOL carryforwards to occur in the period ending December 31, 2023. The federal and state NOL carryforwards are fully offset by valuation allowances.</w:t>
      </w:r>
    </w:p>
    <w:p>
      <w:pPr>
        <w:spacing w:after="0" w:line="100"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As of December 31, 2023, the Company had $5.9 million and $0.8 million in federal and state general business or research and development tax credit carryforwards. As of December 31, 2022, the Company had $3.6 million and $0.6 million in federal and state general business or research and development tax credit carryforwards. These carryforwards are subject to review and possible adjustment by the appropriate taxing authorities. The federal and state research credit carryforwards expire in 20 years and 15 years, respectively, starting in 2036. The federal and state tax credit carryforwards are fully offset by valuation allowances.</w:t>
      </w:r>
    </w:p>
    <w:p>
      <w:pPr>
        <w:spacing w:after="0" w:line="102"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As of December 31, 2023 and 2022, the Company had $53.7 million and $39.3 million of foreign NOL carryforwards, respectively. The foreign NOL carryforwards are fully offset by valuation allowances. The Zenas China net operating loss carryforwards expire at various dates beginning in 2026 through 2028 for tax purposes. The Zenas HK net operating losses may be carried forward indefinitely for tax purposes. The foreign NOL carryforwards are fully offset by valuation allowances.</w:t>
      </w:r>
    </w:p>
    <w:p>
      <w:pPr>
        <w:spacing w:after="0" w:line="90"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 files income tax returns in the jurisdictions in which it operates. In the normal course of business, the Company may be subject to examinations by taxing authorities. The Company is not currently under any income tax examinations. Due to the Company’s net operating losses, all tax years generally remain open in each jurisdiction.</w:t>
      </w:r>
    </w:p>
    <w:p>
      <w:pPr>
        <w:spacing w:after="0" w:line="100"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There have been no unrecognized tax benefits since the Company’s inception. The Company’s policy is to record estimated interest and penalties related to the underpayment of income taxes as a component of its income tax provision. As of December 31, 2023 and 2022, the Company had no accrued interest or penalties related to uncertain tax positions and since inception, no amounts have been recognized in the Company’s consolidated statements of operations and comprehensive loss.</w:t>
      </w:r>
    </w:p>
    <w:p>
      <w:pPr>
        <w:spacing w:after="0" w:line="112" w:lineRule="exact"/>
        <w:rPr>
          <w:sz w:val="20"/>
          <w:szCs w:val="20"/>
          <w:color w:val="auto"/>
        </w:rPr>
      </w:pPr>
    </w:p>
    <w:p>
      <w:pPr>
        <w:jc w:val="both"/>
        <w:ind w:left="1160" w:right="1179"/>
        <w:spacing w:after="0" w:line="273" w:lineRule="auto"/>
        <w:rPr>
          <w:sz w:val="20"/>
          <w:szCs w:val="20"/>
          <w:color w:val="auto"/>
        </w:rPr>
      </w:pPr>
      <w:r>
        <w:rPr>
          <w:rFonts w:ascii="Times New Roman" w:cs="Times New Roman" w:eastAsia="Times New Roman" w:hAnsi="Times New Roman"/>
          <w:sz w:val="15"/>
          <w:szCs w:val="15"/>
          <w:color w:val="auto"/>
        </w:rPr>
        <w:t>Under the provisions of Section 382 of the Internal Revenue Code of 1986, as amended, certain substantial changes in the Company’s ownership, including a sale of the Company, or significant changes in ownership due to sales of equity, may have limited, or may limit in the future, the amount of net operating loss carryforwards and tax credits, which could be used annually to offset future taxable income.</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Commitments and Contingencies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Company has entered into arrangements for leases of office space; see Note 6, “Leases,” for details.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License and Option Agreements</w:t>
      </w:r>
    </w:p>
    <w:p>
      <w:pPr>
        <w:spacing w:after="0" w:line="128"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entered into licenses agreements under which it is obligated to make fixed and contingent payments; see Note 9 “License and Option Agreements,” for details.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Contracts</w:t>
      </w:r>
    </w:p>
    <w:p>
      <w:pPr>
        <w:spacing w:after="0" w:line="117"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7" w:name="page238"/>
    <w:bookmarkEnd w:id="2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Commitments and Contingencies (Continued)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Agreements</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financial statements as of December 31, 2023.</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Litigation and Other Proceedings</w:t>
      </w:r>
    </w:p>
    <w:p>
      <w:pPr>
        <w:spacing w:after="0" w:line="128"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16. Employee Benefit Plans</w:t>
      </w:r>
    </w:p>
    <w:p>
      <w:pPr>
        <w:spacing w:after="0" w:line="115"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Effective June 2020, the Company adopted the Zenas BioPharma 401(k) Plan (the “401(k) Plan”) for its employees, which is designed to be qualified under Section 401(k) of the Internal Revenue Code. Eligible employees are permitted to contribute to the 401(k) Plan within statutory and 401(k) Plan limits. Since inception of the 401(k) Plan and through the year ended December 31, 2023, the Company has not made any contributions to the 401(k) Plan.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17. Related Party Transactions</w:t>
      </w:r>
    </w:p>
    <w:p>
      <w:pPr>
        <w:spacing w:after="0" w:line="126"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As further described above in Note 9, “License and Option Agreements,” the Company has obtained exclusive, worldwide licenses from Xencor to research, develop, manufacture, market and sell four antibody product candidates pursuant to two license agreements. The Company has concluded that Xencor is a related party, because as initial consideration for the 2020 Xencor Agreement, the Company issued 5,041,542 shares of its Series A Preferred Stock to Xencor during the year ended December 31, 2020. In April 2023, Xencor elected to receive payment for a development milestone in the form of the Company’s Series B Preferred Stock and the Company issued 4,189,955 shares of Series B Preferred Stock as payment for the development milestone in June 2023. As of that date, Xencor’s equity interest in Zenas was approximately 24% of all outstanding shares of all classes of the Company’s stock (common stock and convertible preferred stock). The Company recorded an immaterial amount to general and administrative expenses in the consolidated statements of operations and comprehensive loss during each of the years ended December 31, 2023 and 2022, relating to reimbursable patent-related costs owed to Xencor.</w:t>
      </w:r>
    </w:p>
    <w:p>
      <w:pPr>
        <w:spacing w:after="0" w:line="109"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As further described above in Note 9, “License and Option Agreements,” the Company has obtained a license from Viridian to research, develop, manufacture, market and sell an antibody product candidate in China. The Company has concluded that Viridian is a related party because Fairmount Funds Management LLC owns more than 5% of capital stock of the Company, has a seat on the Board and is also a 10% or greater stockholder of Viridian and has two seats on Viridian’s board of directors. As initial consideration for this license, the Company issued 336,103 shares of its common stock to Viridian during the year ended December 31, 2020. As of that date, Viridian’s equity interest in the Company was approximately 1% of all outstanding shares of all classes of the Company’s stock (assuming conversion of all outstanding shares of convertible preferred stock).</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8" w:name="page239"/>
    <w:bookmarkEnd w:id="2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17. Related Party Transactions (Continued)</w:t>
      </w:r>
    </w:p>
    <w:p>
      <w:pPr>
        <w:spacing w:after="0" w:line="18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As further described above in Note 9, “License and Option Agreements”, the Company has obtained an exclusive option to negotiate and enter into exclusive license agreements with Dianthus for the rights (in the Zenas Territories only) to either or both of two antibody product candidates. The Company has concluded that Dianthus is a related party because the Company’s Chair of the Board is a member of the board of directors of Dianthus. As initial consideration for this license, the Company issued 156,848 shares of its common stock to Dianthus during the year ended December 31, 2020. As of that date, Dianthus’s equity interest in the Company was approximately 0.5% of all outstanding shares of all classes of the Company’s stock (assuming conversion of all outstanding shares of convertible preferred stock).</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18. Subsequent Events</w:t>
      </w:r>
    </w:p>
    <w:p>
      <w:pPr>
        <w:spacing w:after="0" w:line="12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has assessed subsequent events through May 15, 2024, the date that these consolidated financial statements were available for issuance.</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Plan Amendment and Option Grants</w:t>
      </w:r>
    </w:p>
    <w:p>
      <w:pPr>
        <w:spacing w:after="0" w:line="128"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On May 3, 2024, the Board approved an increase in the number of shares of common stock authorized for issuance under the 2020 Plan from 22,232,224 shares to 38,414,424 shares. This increase was approved by the Company’s stockholders on May 3, 2024. In connection with the increase, the Company granted options to purchase 16,475,000 shares of the Company’s common stock on May 9, 2024 at an exercise price of $1.15 per share.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Series C Preferred Stock and BMS Note Conversion</w:t>
      </w:r>
    </w:p>
    <w:p>
      <w:pPr>
        <w:spacing w:after="0" w:line="117"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On May 3, 2024, the Company entered into a Series C Preferred Stock purchase agreement (“Series C Agreement”) whereby the Company issued 103,990,553 shares of Series C Preferred Stock at a price of $1.72131 per share for gross proceeds of $179.0 million. In connection with the issuance of the Series C Preferred Stock, which was considered a BMS Qualified Financing as further described above in Note 3, “Fair Value Measurement,” the BMS Note converted into 12,284,686 shares of Series C Preferred Stock, thereby making the total Series C issuance equal to 116,275,239 shares. The Certificate of Incorporation was amended and restated in connection with the execution of the Series C Agreement. In the event of a voluntary or involuntary liquidation, dissolution or winding up of the Company, a deemed liquidation event, or a dividend distribution, holders of Series C Preferred Stock have preference above all other classes of outstanding stock. All other rights and preferences of the Series C Preferred Stock are substantially the same as the rights and preferences of the Company’s existing classes of Preferred Stock, as further described in Note 10,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9" w:name="page240"/>
    <w:bookmarkEnd w:id="239"/>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w w:val="91"/>
              </w:rPr>
              <w:t>March 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0" w:type="dxa"/>
            <w:vAlign w:val="bottom"/>
          </w:tcPr>
          <w:p>
            <w:pPr>
              <w:spacing w:after="0"/>
              <w:rPr>
                <w:sz w:val="1"/>
                <w:szCs w:val="1"/>
                <w:color w:val="auto"/>
              </w:rPr>
            </w:pPr>
          </w:p>
        </w:tc>
      </w:tr>
      <w:tr>
        <w:trPr>
          <w:trHeight w:val="151"/>
        </w:trPr>
        <w:tc>
          <w:tcPr>
            <w:tcW w:w="5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3"/>
                <w:szCs w:val="13"/>
                <w:color w:val="auto"/>
              </w:rPr>
            </w:pPr>
          </w:p>
        </w:tc>
        <w:tc>
          <w:tcPr>
            <w:tcW w:w="22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vMerge w:val="continue"/>
          </w:tcPr>
          <w:p>
            <w:pPr>
              <w:spacing w:after="0"/>
              <w:rPr>
                <w:sz w:val="13"/>
                <w:szCs w:val="13"/>
                <w:color w:val="auto"/>
              </w:rPr>
            </w:pPr>
          </w:p>
        </w:tc>
        <w:tc>
          <w:tcPr>
            <w:tcW w:w="2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Pr>
          <w:p>
            <w:pPr>
              <w:spacing w:after="0"/>
              <w:rPr>
                <w:sz w:val="13"/>
                <w:szCs w:val="13"/>
                <w:color w:val="auto"/>
              </w:rPr>
            </w:pPr>
          </w:p>
        </w:tc>
        <w:tc>
          <w:tcPr>
            <w:tcW w:w="3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30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37,154​​​​$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2,551​ ​​​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2,947​ ​</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vMerge w:val="continue"/>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39,705​​​​</w:t>
            </w:r>
          </w:p>
        </w:tc>
        <w:tc>
          <w:tcPr>
            <w:tcW w:w="60" w:type="dxa"/>
            <w:vAlign w:val="bottom"/>
            <w:tcBorders>
              <w:right w:val="single" w:sz="8" w:color="CCEEFF"/>
            </w:tcBorders>
            <w:vMerge w:val="continue"/>
            <w:shd w:val="clear" w:color="auto" w:fill="CCEEFF"/>
          </w:tcPr>
          <w:p>
            <w:pPr>
              <w:spacing w:after="0"/>
              <w:rPr>
                <w:sz w:val="13"/>
                <w:szCs w:val="13"/>
                <w:color w:val="auto"/>
              </w:rPr>
            </w:pPr>
          </w:p>
        </w:tc>
        <w:tc>
          <w:tcPr>
            <w:tcW w:w="1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59,804​​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184​​​​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3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8,413​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7"/>
        </w:trPr>
        <w:tc>
          <w:tcPr>
            <w:tcW w:w="516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8"/>
                <w:szCs w:val="18"/>
                <w:color w:val="auto"/>
                <w:vertAlign w:val="superscript"/>
              </w:rPr>
              <w:t>$</w:t>
            </w:r>
          </w:p>
        </w:tc>
        <w:tc>
          <w:tcPr>
            <w:tcW w:w="800" w:type="dxa"/>
            <w:vAlign w:val="bottom"/>
            <w:gridSpan w:val="4"/>
          </w:tcPr>
          <w:p>
            <w:pPr>
              <w:ind w:left="120"/>
              <w:spacing w:after="0" w:line="156" w:lineRule="exact"/>
              <w:rPr>
                <w:sz w:val="20"/>
                <w:szCs w:val="20"/>
                <w:color w:val="auto"/>
              </w:rPr>
            </w:pPr>
            <w:r>
              <w:rPr>
                <w:rFonts w:ascii="Times New Roman" w:cs="Times New Roman" w:eastAsia="Times New Roman" w:hAnsi="Times New Roman"/>
                <w:sz w:val="11"/>
                <w:szCs w:val="11"/>
                <w:color w:val="auto"/>
              </w:rPr>
              <w:t xml:space="preserve">49,051​ </w:t>
            </w: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8"/>
                <w:szCs w:val="18"/>
                <w:u w:val="single" w:color="auto"/>
                <w:color w:val="auto"/>
                <w:vertAlign w:val="subscript"/>
              </w:rPr>
              <w:t>​​</w:t>
            </w:r>
            <w:r>
              <w:rPr>
                <w:rFonts w:ascii="Times New Roman" w:cs="Times New Roman" w:eastAsia="Times New Roman" w:hAnsi="Times New Roman"/>
                <w:sz w:val="11"/>
                <w:szCs w:val="11"/>
                <w:color w:val="auto"/>
              </w:rPr>
              <w:t>$</w:t>
            </w:r>
          </w:p>
        </w:tc>
        <w:tc>
          <w:tcPr>
            <w:tcW w:w="5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68,180​</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1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Convertible Preferred Stock and Stockholders’ Deficit</w:t>
            </w:r>
          </w:p>
        </w:tc>
        <w:tc>
          <w:tcPr>
            <w:tcW w:w="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5160" w:type="dxa"/>
            <w:vAlign w:val="bottom"/>
            <w:vMerge w:val="continue"/>
          </w:tcPr>
          <w:p>
            <w:pPr>
              <w:spacing w:after="0"/>
              <w:rPr>
                <w:sz w:val="12"/>
                <w:szCs w:val="12"/>
                <w:color w:val="auto"/>
              </w:rPr>
            </w:pPr>
          </w:p>
        </w:tc>
        <w:tc>
          <w:tcPr>
            <w:tcW w:w="2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spacing w:after="0"/>
              <w:rPr>
                <w:sz w:val="12"/>
                <w:szCs w:val="12"/>
                <w:color w:val="auto"/>
              </w:rPr>
            </w:pPr>
          </w:p>
        </w:tc>
        <w:tc>
          <w:tcPr>
            <w:tcW w:w="2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Accounts payable (includes $206 and $21 owed to related parties,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8,830​​​​$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Accrued expenses (includes $713 and $404 owed to related parties,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19,487​​​​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17,306​​</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1,500​ ​​​ ​</w:t>
            </w:r>
          </w:p>
        </w:tc>
        <w:tc>
          <w:tcPr>
            <w:tcW w:w="3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vMerge w:val="continue"/>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30,333​​​​</w:t>
            </w:r>
          </w:p>
        </w:tc>
        <w:tc>
          <w:tcPr>
            <w:tcW w:w="60" w:type="dxa"/>
            <w:vAlign w:val="bottom"/>
            <w:tcBorders>
              <w:right w:val="single" w:sz="8" w:color="CCEEFF"/>
            </w:tcBorders>
            <w:vMerge w:val="continue"/>
            <w:shd w:val="clear" w:color="auto" w:fill="CCEEFF"/>
          </w:tcPr>
          <w:p>
            <w:pPr>
              <w:spacing w:after="0"/>
              <w:rPr>
                <w:sz w:val="13"/>
                <w:szCs w:val="13"/>
                <w:color w:val="auto"/>
              </w:rPr>
            </w:pPr>
          </w:p>
        </w:tc>
        <w:tc>
          <w:tcPr>
            <w:tcW w:w="1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133​​​​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 at fair value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20,994​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7"/>
        </w:trPr>
        <w:tc>
          <w:tcPr>
            <w:tcW w:w="5160" w:type="dxa"/>
            <w:vAlign w:val="bottom"/>
          </w:tcPr>
          <w:p>
            <w:pPr>
              <w:ind w:left="300"/>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line="167" w:lineRule="exact"/>
              <w:rPr>
                <w:sz w:val="20"/>
                <w:szCs w:val="20"/>
                <w:color w:val="auto"/>
              </w:rPr>
            </w:pPr>
            <w:r>
              <w:rPr>
                <w:rFonts w:ascii="Times New Roman" w:cs="Times New Roman" w:eastAsia="Times New Roman" w:hAnsi="Times New Roman"/>
                <w:sz w:val="15"/>
                <w:szCs w:val="15"/>
                <w:color w:val="auto"/>
              </w:rPr>
              <w:t>51,460​ ​​​ ​</w:t>
            </w:r>
          </w:p>
        </w:tc>
        <w:tc>
          <w:tcPr>
            <w:tcW w:w="5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43,815​</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Commitments and contingencies (Note 13)</w:t>
            </w: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vMerge w:val="continue"/>
          </w:tcPr>
          <w:p>
            <w:pPr>
              <w:spacing w:after="0"/>
              <w:rPr>
                <w:sz w:val="13"/>
                <w:szCs w:val="13"/>
                <w:color w:val="auto"/>
              </w:rPr>
            </w:pPr>
          </w:p>
        </w:tc>
        <w:tc>
          <w:tcPr>
            <w:tcW w:w="2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3"/>
                <w:szCs w:val="13"/>
                <w:color w:val="auto"/>
              </w:rPr>
            </w:pPr>
          </w:p>
        </w:tc>
        <w:tc>
          <w:tcPr>
            <w:tcW w:w="2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Series Seed convertible preferred stock, par value $0.0001 per share; 1,785,714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March 31, 2024 and</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December 31, 2023; liquidation preference of $1,000 as of March 31, 2024</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Series A convertible preferred stock, par value $0.0001 per share; 17,589,380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March 31, 2024 and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December 31, 2023; liquidation preference of $56,071 as of March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55,840​​​​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Series B convertible preferred stock, par value $0.0001 per share; 81,242,587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March 31, 2024 and</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December 31, 2023; liquidation preference of $193,898 as of March 31,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3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193,290​​​​ ​193,290​​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deficit: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par value $0.0001 per share; 175,000,000 shares authorized as</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of March 31, 2024 and December 31, 2023; 13,569,355 and 13,692,052 shares</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issued and outstanding as of March 31, 2024 and December 31, 2023,</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5,633​​​​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4,644​​</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Accumulated deficit</w:t>
            </w:r>
          </w:p>
        </w:tc>
        <w:tc>
          <w:tcPr>
            <w:tcW w:w="156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auto"/>
              </w:rPr>
              <w:t>​​​ ​ (258,203)​​​ ​(230,403)​</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15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(252,495)​​​ ​(225,721)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60" w:type="dxa"/>
            <w:vAlign w:val="bottom"/>
          </w:tcPr>
          <w:p>
            <w:pPr>
              <w:ind w:left="300"/>
              <w:spacing w:after="0" w:line="167" w:lineRule="exact"/>
              <w:rPr>
                <w:sz w:val="20"/>
                <w:szCs w:val="20"/>
                <w:color w:val="auto"/>
              </w:rPr>
            </w:pPr>
            <w:r>
              <w:rPr>
                <w:rFonts w:ascii="Times New Roman" w:cs="Times New Roman" w:eastAsia="Times New Roman" w:hAnsi="Times New Roman"/>
                <w:sz w:val="15"/>
                <w:szCs w:val="15"/>
                <w:color w:val="auto"/>
              </w:rPr>
              <w:t>Total liabilities, convertible preferred stock and stockholders’ deficit</w:t>
            </w:r>
          </w:p>
        </w:tc>
        <w:tc>
          <w:tcPr>
            <w:tcW w:w="22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9"/>
                <w:szCs w:val="19"/>
                <w:color w:val="auto"/>
                <w:vertAlign w:val="superscript"/>
              </w:rPr>
              <w:t>$</w:t>
            </w:r>
          </w:p>
        </w:tc>
        <w:tc>
          <w:tcPr>
            <w:tcW w:w="800" w:type="dxa"/>
            <w:vAlign w:val="bottom"/>
            <w:gridSpan w:val="4"/>
          </w:tcPr>
          <w:p>
            <w:pPr>
              <w:ind w:left="120"/>
              <w:spacing w:after="0" w:line="167" w:lineRule="exact"/>
              <w:rPr>
                <w:sz w:val="20"/>
                <w:szCs w:val="20"/>
                <w:color w:val="auto"/>
              </w:rPr>
            </w:pPr>
            <w:r>
              <w:rPr>
                <w:rFonts w:ascii="Times New Roman" w:cs="Times New Roman" w:eastAsia="Times New Roman" w:hAnsi="Times New Roman"/>
                <w:sz w:val="11"/>
                <w:szCs w:val="11"/>
                <w:color w:val="auto"/>
              </w:rPr>
              <w:t xml:space="preserve">49,051​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9"/>
                <w:szCs w:val="19"/>
                <w:u w:val="single" w:color="auto"/>
                <w:color w:val="auto"/>
                <w:vertAlign w:val="subscript"/>
              </w:rPr>
              <w:t>​​</w:t>
            </w:r>
            <w:r>
              <w:rPr>
                <w:rFonts w:ascii="Times New Roman" w:cs="Times New Roman" w:eastAsia="Times New Roman" w:hAnsi="Times New Roman"/>
                <w:sz w:val="11"/>
                <w:szCs w:val="11"/>
                <w:color w:val="auto"/>
              </w:rPr>
              <w:t>$</w:t>
            </w:r>
          </w:p>
        </w:tc>
        <w:tc>
          <w:tcPr>
            <w:tcW w:w="54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1"/>
                <w:szCs w:val="11"/>
                <w:color w:val="auto"/>
              </w:rPr>
              <w:t xml:space="preserve">68,180​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-4066540</wp:posOffset>
            </wp:positionV>
            <wp:extent cx="4241800" cy="1047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241800" cy="10477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-153035</wp:posOffset>
            </wp:positionV>
            <wp:extent cx="3492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-278130</wp:posOffset>
            </wp:positionV>
            <wp:extent cx="382333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-2699385</wp:posOffset>
            </wp:positionV>
            <wp:extent cx="4241800" cy="1117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241800" cy="11176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-2818130</wp:posOffset>
            </wp:positionV>
            <wp:extent cx="3492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-3159760</wp:posOffset>
            </wp:positionV>
            <wp:extent cx="382333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-4199255</wp:posOffset>
            </wp:positionV>
            <wp:extent cx="3492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-4764405</wp:posOffset>
            </wp:positionV>
            <wp:extent cx="382333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-5217795</wp:posOffset>
            </wp:positionV>
            <wp:extent cx="4241800" cy="1117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241800" cy="111760"/>
                    </a:xfrm>
                    <a:prstGeom prst="rect">
                      <a:avLst/>
                    </a:prstGeom>
                    <a:noFill/>
                  </pic:spPr>
                </pic:pic>
              </a:graphicData>
            </a:graphic>
          </wp:anchor>
        </w:drawing>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condensed consolidated financial statements.</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0" w:name="page241"/>
    <w:bookmarkEnd w:id="24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and Comprehensive Loss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5"/>
          </w:tcPr>
          <w:p>
            <w:pPr>
              <w:jc w:val="center"/>
              <w:ind w:right="188"/>
              <w:spacing w:after="0"/>
              <w:rPr>
                <w:sz w:val="20"/>
                <w:szCs w:val="20"/>
                <w:color w:val="auto"/>
              </w:rPr>
            </w:pPr>
            <w:r>
              <w:rPr>
                <w:rFonts w:ascii="Times New Roman" w:cs="Times New Roman" w:eastAsia="Times New Roman" w:hAnsi="Times New Roman"/>
                <w:sz w:val="12"/>
                <w:szCs w:val="12"/>
                <w:b w:val="1"/>
                <w:bCs w:val="1"/>
                <w:color w:val="auto"/>
                <w:w w:val="93"/>
              </w:rPr>
              <w:t>Three Months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left="11"/>
              <w:spacing w:after="0"/>
              <w:rPr>
                <w:sz w:val="20"/>
                <w:szCs w:val="20"/>
                <w:color w:val="auto"/>
              </w:rPr>
            </w:pPr>
            <w:r>
              <w:rPr>
                <w:rFonts w:ascii="Times New Roman" w:cs="Times New Roman" w:eastAsia="Times New Roman" w:hAnsi="Times New Roman"/>
                <w:sz w:val="12"/>
                <w:szCs w:val="12"/>
                <w:b w:val="1"/>
                <w:bCs w:val="1"/>
                <w:color w:val="auto"/>
                <w:w w:val="94"/>
              </w:rPr>
              <w:t>March 31,</w:t>
            </w:r>
          </w:p>
        </w:tc>
        <w:tc>
          <w:tcPr>
            <w:tcW w:w="640" w:type="dxa"/>
            <w:vAlign w:val="bottom"/>
            <w:tcBorders>
              <w:bottom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4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Research and development (includes $966 and $869 from related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parties, respectively)</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08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22,645​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15,347​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General and administrative (includes $3 and $25 from related parties,</w:t>
            </w: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4,933​ ​​ ​​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3,739​ ​​</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400" w:type="dxa"/>
            <w:vAlign w:val="bottom"/>
            <w:gridSpan w:val="3"/>
          </w:tcPr>
          <w:p>
            <w:pPr>
              <w:ind w:left="6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080" w:type="dxa"/>
            <w:vAlign w:val="bottom"/>
            <w:gridSpan w:val="4"/>
          </w:tcPr>
          <w:p>
            <w:pPr>
              <w:jc w:val="right"/>
              <w:ind w:right="120"/>
              <w:spacing w:after="0" w:line="211" w:lineRule="exact"/>
              <w:rPr>
                <w:sz w:val="20"/>
                <w:szCs w:val="20"/>
                <w:color w:val="auto"/>
              </w:rPr>
            </w:pPr>
            <w:r>
              <w:rPr>
                <w:rFonts w:ascii="Times New Roman" w:cs="Times New Roman" w:eastAsia="Times New Roman" w:hAnsi="Times New Roman"/>
                <w:sz w:val="13"/>
                <w:szCs w:val="13"/>
                <w:color w:val="auto"/>
              </w:rPr>
              <w:t xml:space="preserve">27,578​ </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72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19,086​ </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400" w:type="dxa"/>
            <w:vAlign w:val="bottom"/>
            <w:gridSpan w:val="3"/>
            <w:shd w:val="clear" w:color="auto" w:fill="CCEEFF"/>
          </w:tcPr>
          <w:p>
            <w:pPr>
              <w:ind w:left="6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080" w:type="dxa"/>
            <w:vAlign w:val="bottom"/>
            <w:gridSpan w:val="4"/>
            <w:shd w:val="clear" w:color="auto" w:fill="CCEEFF"/>
          </w:tcPr>
          <w:p>
            <w:pPr>
              <w:jc w:val="right"/>
              <w:ind w:right="120"/>
              <w:spacing w:after="0" w:line="211" w:lineRule="exact"/>
              <w:rPr>
                <w:sz w:val="20"/>
                <w:szCs w:val="20"/>
                <w:color w:val="auto"/>
              </w:rPr>
            </w:pPr>
            <w:r>
              <w:rPr>
                <w:rFonts w:ascii="Times New Roman" w:cs="Times New Roman" w:eastAsia="Times New Roman" w:hAnsi="Times New Roman"/>
                <w:sz w:val="13"/>
                <w:szCs w:val="13"/>
                <w:color w:val="auto"/>
              </w:rPr>
              <w:t>(27,578)</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Fair value adjustments to convertible notes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(694)​​ ​​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0"/>
        </w:trPr>
        <w:tc>
          <w:tcPr>
            <w:tcW w:w="4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income (expense), net</w:t>
            </w:r>
          </w:p>
        </w:tc>
        <w:tc>
          <w:tcPr>
            <w:tcW w:w="400" w:type="dxa"/>
            <w:vAlign w:val="bottom"/>
            <w:gridSpan w:val="3"/>
          </w:tcPr>
          <w:p>
            <w:pPr>
              <w:ind w:left="6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40" w:type="dxa"/>
            <w:vAlign w:val="bottom"/>
          </w:tcPr>
          <w:p>
            <w:pPr>
              <w:spacing w:after="0"/>
              <w:rPr>
                <w:sz w:val="19"/>
                <w:szCs w:val="19"/>
                <w:color w:val="auto"/>
              </w:rPr>
            </w:pPr>
          </w:p>
        </w:tc>
        <w:tc>
          <w:tcPr>
            <w:tcW w:w="740" w:type="dxa"/>
            <w:vAlign w:val="bottom"/>
            <w:gridSpan w:val="3"/>
          </w:tcPr>
          <w:p>
            <w:pPr>
              <w:jc w:val="right"/>
              <w:ind w:right="120"/>
              <w:spacing w:after="0" w:line="220" w:lineRule="exact"/>
              <w:rPr>
                <w:sz w:val="20"/>
                <w:szCs w:val="20"/>
                <w:color w:val="auto"/>
              </w:rPr>
            </w:pPr>
            <w:r>
              <w:rPr>
                <w:rFonts w:ascii="Times New Roman" w:cs="Times New Roman" w:eastAsia="Times New Roman" w:hAnsi="Times New Roman"/>
                <w:sz w:val="13"/>
                <w:szCs w:val="13"/>
                <w:color w:val="auto"/>
              </w:rPr>
              <w:t xml:space="preserve">472​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other expense, net</w:t>
            </w:r>
          </w:p>
        </w:tc>
        <w:tc>
          <w:tcPr>
            <w:tcW w:w="400" w:type="dxa"/>
            <w:vAlign w:val="bottom"/>
            <w:gridSpan w:val="3"/>
            <w:shd w:val="clear" w:color="auto" w:fill="CCEEFF"/>
          </w:tcPr>
          <w:p>
            <w:pPr>
              <w:ind w:left="6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line="211" w:lineRule="exact"/>
              <w:rPr>
                <w:sz w:val="20"/>
                <w:szCs w:val="20"/>
                <w:color w:val="auto"/>
              </w:rPr>
            </w:pPr>
            <w:r>
              <w:rPr>
                <w:rFonts w:ascii="Times New Roman" w:cs="Times New Roman" w:eastAsia="Times New Roman" w:hAnsi="Times New Roman"/>
                <w:sz w:val="13"/>
                <w:szCs w:val="13"/>
                <w:color w:val="auto"/>
              </w:rPr>
              <w:t>(222)</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400" w:type="dxa"/>
            <w:vAlign w:val="bottom"/>
            <w:gridSpan w:val="3"/>
          </w:tcPr>
          <w:p>
            <w:pPr>
              <w:ind w:left="6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1080" w:type="dxa"/>
            <w:vAlign w:val="bottom"/>
            <w:gridSpan w:val="4"/>
          </w:tcPr>
          <w:p>
            <w:pPr>
              <w:jc w:val="right"/>
              <w:ind w:right="160"/>
              <w:spacing w:after="0" w:line="200" w:lineRule="exact"/>
              <w:rPr>
                <w:sz w:val="20"/>
                <w:szCs w:val="20"/>
                <w:color w:val="auto"/>
              </w:rPr>
            </w:pPr>
            <w:r>
              <w:rPr>
                <w:rFonts w:ascii="Times New Roman" w:cs="Times New Roman" w:eastAsia="Times New Roman" w:hAnsi="Times New Roman"/>
                <w:sz w:val="13"/>
                <w:szCs w:val="13"/>
                <w:color w:val="auto"/>
              </w:rPr>
              <w:t>(27,800)</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(19,097)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4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5"/>
                <w:szCs w:val="15"/>
                <w:color w:val="auto"/>
              </w:rPr>
              <w:t>Net loss per share attributable to common stockholders–basic and</w:t>
            </w:r>
          </w:p>
        </w:tc>
        <w:tc>
          <w:tcPr>
            <w:tcW w:w="4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108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(2.06)</w:t>
            </w: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400" w:type="dxa"/>
            <w:vAlign w:val="bottom"/>
            <w:gridSpan w:val="3"/>
            <w:vMerge w:val="continue"/>
            <w:shd w:val="clear" w:color="auto" w:fill="CCEEFF"/>
          </w:tcPr>
          <w:p>
            <w:pPr>
              <w:spacing w:after="0"/>
              <w:rPr>
                <w:sz w:val="19"/>
                <w:szCs w:val="19"/>
                <w:color w:val="auto"/>
              </w:rPr>
            </w:pPr>
          </w:p>
        </w:tc>
        <w:tc>
          <w:tcPr>
            <w:tcW w:w="1080" w:type="dxa"/>
            <w:vAlign w:val="bottom"/>
            <w:gridSpan w:val="4"/>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common stock outstanding–basic and diluted</w:t>
            </w:r>
          </w:p>
        </w:tc>
        <w:tc>
          <w:tcPr>
            <w:tcW w:w="2200" w:type="dxa"/>
            <w:vAlign w:val="bottom"/>
            <w:gridSpan w:val="9"/>
          </w:tcPr>
          <w:p>
            <w:pPr>
              <w:ind w:left="60"/>
              <w:spacing w:after="0" w:line="173" w:lineRule="exact"/>
              <w:rPr>
                <w:sz w:val="20"/>
                <w:szCs w:val="20"/>
                <w:color w:val="auto"/>
              </w:rPr>
            </w:pP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2"/>
                <w:szCs w:val="12"/>
                <w:color w:val="auto"/>
              </w:rPr>
              <w:t xml:space="preserve"> ​  13,494,293​ </w:t>
            </w: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2"/>
                <w:szCs w:val="12"/>
                <w:color w:val="auto"/>
              </w:rPr>
              <w:t xml:space="preserve"> ​  13,130,607​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Comprehensive loss:</w:t>
            </w:r>
          </w:p>
        </w:tc>
        <w:tc>
          <w:tcPr>
            <w:tcW w:w="400" w:type="dxa"/>
            <w:vAlign w:val="bottom"/>
            <w:gridSpan w:val="3"/>
            <w:shd w:val="clear" w:color="auto" w:fill="CCEEFF"/>
          </w:tcPr>
          <w:p>
            <w:pPr>
              <w:ind w:left="60"/>
              <w:spacing w:after="0" w:line="160" w:lineRule="exact"/>
              <w:rPr>
                <w:sz w:val="20"/>
                <w:szCs w:val="20"/>
                <w:color w:val="auto"/>
              </w:rPr>
            </w:pPr>
            <w:r>
              <w:rPr>
                <w:rFonts w:ascii="Times New Roman" w:cs="Times New Roman" w:eastAsia="Times New Roman" w:hAnsi="Times New Roman"/>
                <w:sz w:val="15"/>
                <w:szCs w:val="15"/>
                <w:color w:val="auto"/>
              </w:rPr>
              <w:t>​ ​​ ​</w:t>
            </w:r>
          </w:p>
        </w:tc>
        <w:tc>
          <w:tcPr>
            <w:tcW w:w="3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20"/>
              <w:spacing w:after="0" w:line="160" w:lineRule="exact"/>
              <w:rPr>
                <w:sz w:val="20"/>
                <w:szCs w:val="20"/>
                <w:color w:val="auto"/>
              </w:rPr>
            </w:pPr>
            <w:r>
              <w:rPr>
                <w:rFonts w:ascii="Times New Roman" w:cs="Times New Roman" w:eastAsia="Times New Roman" w:hAnsi="Times New Roman"/>
                <w:sz w:val="15"/>
                <w:szCs w:val="15"/>
                <w:color w:val="auto"/>
              </w:rPr>
              <w:t>​​​ ​​ ​</w:t>
            </w:r>
          </w:p>
        </w:tc>
        <w:tc>
          <w:tcPr>
            <w:tcW w:w="72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(27,800)​​ ​​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(19,097)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400" w:type="dxa"/>
            <w:vAlign w:val="bottom"/>
            <w:gridSpan w:val="3"/>
          </w:tcPr>
          <w:p>
            <w:pPr>
              <w:ind w:left="6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40" w:type="dxa"/>
            <w:vAlign w:val="bottom"/>
          </w:tcPr>
          <w:p>
            <w:pPr>
              <w:spacing w:after="0"/>
              <w:rPr>
                <w:sz w:val="19"/>
                <w:szCs w:val="19"/>
                <w:color w:val="auto"/>
              </w:rPr>
            </w:pPr>
          </w:p>
        </w:tc>
        <w:tc>
          <w:tcPr>
            <w:tcW w:w="740" w:type="dxa"/>
            <w:vAlign w:val="bottom"/>
            <w:gridSpan w:val="3"/>
          </w:tcPr>
          <w:p>
            <w:pPr>
              <w:jc w:val="right"/>
              <w:ind w:right="120"/>
              <w:spacing w:after="0" w:line="220" w:lineRule="exact"/>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400" w:type="dxa"/>
            <w:vAlign w:val="bottom"/>
            <w:gridSpan w:val="3"/>
            <w:shd w:val="clear" w:color="auto" w:fill="CCEEFF"/>
          </w:tcPr>
          <w:p>
            <w:pPr>
              <w:ind w:left="6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1080" w:type="dxa"/>
            <w:vAlign w:val="bottom"/>
            <w:gridSpan w:val="4"/>
            <w:shd w:val="clear" w:color="auto" w:fill="CCEEFF"/>
          </w:tcPr>
          <w:p>
            <w:pPr>
              <w:jc w:val="right"/>
              <w:ind w:right="160"/>
              <w:spacing w:after="0" w:line="200" w:lineRule="exact"/>
              <w:rPr>
                <w:sz w:val="20"/>
                <w:szCs w:val="20"/>
                <w:color w:val="auto"/>
              </w:rPr>
            </w:pPr>
            <w:r>
              <w:rPr>
                <w:rFonts w:ascii="Times New Roman" w:cs="Times New Roman" w:eastAsia="Times New Roman" w:hAnsi="Times New Roman"/>
                <w:sz w:val="13"/>
                <w:szCs w:val="13"/>
                <w:color w:val="auto"/>
              </w:rPr>
              <w:t>(27,763)</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-173990</wp:posOffset>
            </wp:positionV>
            <wp:extent cx="5588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634740"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-1422400</wp:posOffset>
            </wp:positionV>
            <wp:extent cx="5588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-1422400</wp:posOffset>
            </wp:positionV>
            <wp:extent cx="363474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-1980565</wp:posOffset>
            </wp:positionV>
            <wp:extent cx="5588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-1980565</wp:posOffset>
            </wp:positionV>
            <wp:extent cx="363474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-2762250</wp:posOffset>
            </wp:positionV>
            <wp:extent cx="5588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-2762250</wp:posOffset>
            </wp:positionV>
            <wp:extent cx="362775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627755" cy="698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Convertible Preferred Stock and Stockholders’ Deficit</w:t>
      </w:r>
    </w:p>
    <w:p>
      <w:pPr>
        <w:spacing w:after="0" w:line="2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16"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gridSpan w:val="8"/>
          </w:tcPr>
          <w:p>
            <w:pPr>
              <w:jc w:val="center"/>
              <w:ind w:right="81"/>
              <w:spacing w:after="0"/>
              <w:rPr>
                <w:sz w:val="20"/>
                <w:szCs w:val="20"/>
                <w:color w:val="auto"/>
              </w:rPr>
            </w:pPr>
            <w:r>
              <w:rPr>
                <w:rFonts w:ascii="Times New Roman" w:cs="Times New Roman" w:eastAsia="Times New Roman" w:hAnsi="Times New Roman"/>
                <w:sz w:val="12"/>
                <w:szCs w:val="12"/>
                <w:b w:val="1"/>
                <w:bCs w:val="1"/>
                <w:color w:val="auto"/>
                <w:w w:val="93"/>
              </w:rPr>
              <w:t>Convertible Preferred Stock</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4"/>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3"/>
            <w:vMerge w:val="restart"/>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87"/>
              </w:rPr>
              <w:t>Additional</w:t>
            </w:r>
          </w:p>
        </w:tc>
        <w:tc>
          <w:tcPr>
            <w:tcW w:w="120" w:type="dxa"/>
            <w:vAlign w:val="bottom"/>
          </w:tcPr>
          <w:p>
            <w:pPr>
              <w:spacing w:after="0"/>
              <w:rPr>
                <w:sz w:val="2"/>
                <w:szCs w:val="2"/>
                <w:color w:val="auto"/>
              </w:rPr>
            </w:pPr>
          </w:p>
        </w:tc>
        <w:tc>
          <w:tcPr>
            <w:tcW w:w="580" w:type="dxa"/>
            <w:vAlign w:val="bottom"/>
            <w:gridSpan w:val="3"/>
            <w:vMerge w:val="restart"/>
          </w:tcPr>
          <w:p>
            <w:pPr>
              <w:jc w:val="center"/>
              <w:ind w:left="64"/>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restart"/>
          </w:tcPr>
          <w:p>
            <w:pPr>
              <w:jc w:val="center"/>
              <w:ind w:right="161"/>
              <w:spacing w:after="0" w:line="124"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6"/>
                <w:szCs w:val="6"/>
                <w:color w:val="auto"/>
              </w:rPr>
            </w:pPr>
          </w:p>
        </w:tc>
        <w:tc>
          <w:tcPr>
            <w:tcW w:w="8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Series Seed</w:t>
            </w:r>
          </w:p>
        </w:tc>
        <w:tc>
          <w:tcPr>
            <w:tcW w:w="140" w:type="dxa"/>
            <w:vAlign w:val="bottom"/>
          </w:tcPr>
          <w:p>
            <w:pPr>
              <w:spacing w:after="0"/>
              <w:rPr>
                <w:sz w:val="6"/>
                <w:szCs w:val="6"/>
                <w:color w:val="auto"/>
              </w:rPr>
            </w:pPr>
          </w:p>
        </w:tc>
        <w:tc>
          <w:tcPr>
            <w:tcW w:w="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6"/>
                <w:szCs w:val="6"/>
                <w:color w:val="auto"/>
              </w:rPr>
            </w:pPr>
          </w:p>
        </w:tc>
        <w:tc>
          <w:tcPr>
            <w:tcW w:w="7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w w:val="99"/>
              </w:rPr>
              <w:t>Series A</w:t>
            </w:r>
          </w:p>
        </w:tc>
        <w:tc>
          <w:tcPr>
            <w:tcW w:w="3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Series B</w:t>
            </w:r>
          </w:p>
        </w:tc>
        <w:tc>
          <w:tcPr>
            <w:tcW w:w="220" w:type="dxa"/>
            <w:vAlign w:val="bottom"/>
          </w:tcPr>
          <w:p>
            <w:pPr>
              <w:spacing w:after="0"/>
              <w:rPr>
                <w:sz w:val="6"/>
                <w:szCs w:val="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100" w:type="dxa"/>
            <w:vAlign w:val="bottom"/>
          </w:tcPr>
          <w:p>
            <w:pPr>
              <w:spacing w:after="0"/>
              <w:rPr>
                <w:sz w:val="6"/>
                <w:szCs w:val="6"/>
                <w:color w:val="auto"/>
              </w:rPr>
            </w:pPr>
          </w:p>
        </w:tc>
        <w:tc>
          <w:tcPr>
            <w:tcW w:w="140" w:type="dxa"/>
            <w:vAlign w:val="bottom"/>
            <w:vMerge w:val="restart"/>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1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140" w:type="dxa"/>
            <w:vAlign w:val="bottom"/>
            <w:gridSpan w:val="3"/>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00" w:type="dxa"/>
            <w:vAlign w:val="bottom"/>
            <w:gridSpan w:val="3"/>
            <w:vMerge w:val="restart"/>
          </w:tcPr>
          <w:p>
            <w:pPr>
              <w:jc w:val="center"/>
              <w:ind w:right="26"/>
              <w:spacing w:after="0" w:line="99"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vMerge w:val="restart"/>
          </w:tcPr>
          <w:p>
            <w:pPr>
              <w:spacing w:after="0"/>
              <w:rPr>
                <w:sz w:val="9"/>
                <w:szCs w:val="9"/>
                <w:color w:val="auto"/>
              </w:rPr>
            </w:pPr>
          </w:p>
        </w:tc>
        <w:tc>
          <w:tcPr>
            <w:tcW w:w="740" w:type="dxa"/>
            <w:vAlign w:val="bottom"/>
            <w:gridSpan w:val="4"/>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vMerge w:val="restart"/>
          </w:tcPr>
          <w:p>
            <w:pPr>
              <w:spacing w:after="0"/>
              <w:rPr>
                <w:sz w:val="9"/>
                <w:szCs w:val="9"/>
                <w:color w:val="auto"/>
              </w:rPr>
            </w:pPr>
          </w:p>
        </w:tc>
        <w:tc>
          <w:tcPr>
            <w:tcW w:w="60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2"/>
              </w:rPr>
              <w:t>Accumulated</w:t>
            </w:r>
          </w:p>
        </w:tc>
        <w:tc>
          <w:tcPr>
            <w:tcW w:w="100" w:type="dxa"/>
            <w:vAlign w:val="bottom"/>
            <w:vMerge w:val="restart"/>
          </w:tcPr>
          <w:p>
            <w:pPr>
              <w:spacing w:after="0"/>
              <w:rPr>
                <w:sz w:val="9"/>
                <w:szCs w:val="9"/>
                <w:color w:val="auto"/>
              </w:rPr>
            </w:pPr>
          </w:p>
        </w:tc>
        <w:tc>
          <w:tcPr>
            <w:tcW w:w="700" w:type="dxa"/>
            <w:vAlign w:val="bottom"/>
            <w:gridSpan w:val="4"/>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40" w:type="dxa"/>
            <w:vAlign w:val="bottom"/>
            <w:gridSpan w:val="4"/>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80" w:type="dxa"/>
            <w:vAlign w:val="bottom"/>
            <w:gridSpan w:val="5"/>
          </w:tcPr>
          <w:p>
            <w:pPr>
              <w:spacing w:after="0" w:line="189" w:lineRule="exact"/>
              <w:rPr>
                <w:sz w:val="20"/>
                <w:szCs w:val="20"/>
                <w:color w:val="auto"/>
              </w:rPr>
            </w:pPr>
            <w:r>
              <w:rPr>
                <w:rFonts w:ascii="Times New Roman" w:cs="Times New Roman" w:eastAsia="Times New Roman" w:hAnsi="Times New Roman"/>
                <w:sz w:val="21"/>
                <w:szCs w:val="21"/>
                <w:b w:val="1"/>
                <w:bCs w:val="1"/>
                <w:color w:val="auto"/>
                <w:w w:val="82"/>
                <w:vertAlign w:val="subscript"/>
              </w:rPr>
              <w:t>​​</w:t>
            </w:r>
            <w:r>
              <w:rPr>
                <w:rFonts w:ascii="Times New Roman" w:cs="Times New Roman" w:eastAsia="Times New Roman" w:hAnsi="Times New Roman"/>
                <w:sz w:val="11"/>
                <w:szCs w:val="11"/>
                <w:b w:val="1"/>
                <w:bCs w:val="1"/>
                <w:color w:val="auto"/>
                <w:w w:val="82"/>
              </w:rPr>
              <w:t xml:space="preserve">Amount </w:t>
            </w:r>
            <w:r>
              <w:rPr>
                <w:rFonts w:ascii="Times New Roman" w:cs="Times New Roman" w:eastAsia="Times New Roman" w:hAnsi="Times New Roman"/>
                <w:sz w:val="21"/>
                <w:szCs w:val="21"/>
                <w:b w:val="1"/>
                <w:bCs w:val="1"/>
                <w:color w:val="auto"/>
                <w:w w:val="82"/>
                <w:vertAlign w:val="subscript"/>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 </w:t>
            </w:r>
            <w:r>
              <w:rPr>
                <w:rFonts w:ascii="Times New Roman" w:cs="Times New Roman" w:eastAsia="Times New Roman" w:hAnsi="Times New Roman"/>
                <w:sz w:val="21"/>
                <w:szCs w:val="21"/>
                <w:b w:val="1"/>
                <w:bCs w:val="1"/>
                <w:color w:val="auto"/>
                <w:vertAlign w:val="subscript"/>
              </w:rPr>
              <w: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 </w:t>
            </w:r>
            <w:r>
              <w:rPr>
                <w:rFonts w:ascii="Times New Roman" w:cs="Times New Roman" w:eastAsia="Times New Roman" w:hAnsi="Times New Roman"/>
                <w:sz w:val="21"/>
                <w:szCs w:val="21"/>
                <w:b w:val="1"/>
                <w:bCs w:val="1"/>
                <w:color w:val="auto"/>
                <w:vertAlign w:val="subscript"/>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Amount </w:t>
            </w:r>
            <w:r>
              <w:rPr>
                <w:rFonts w:ascii="Times New Roman" w:cs="Times New Roman" w:eastAsia="Times New Roman" w:hAnsi="Times New Roman"/>
                <w:sz w:val="21"/>
                <w:szCs w:val="21"/>
                <w:b w:val="1"/>
                <w:bCs w:val="1"/>
                <w:color w:val="auto"/>
                <w:vertAlign w:val="subscript"/>
              </w:rPr>
              <w:t>​ ​</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3"/>
          </w:tcPr>
          <w:p>
            <w:pPr>
              <w:jc w:val="center"/>
              <w:ind w:left="84"/>
              <w:spacing w:after="0"/>
              <w:rPr>
                <w:sz w:val="20"/>
                <w:szCs w:val="20"/>
                <w:color w:val="auto"/>
              </w:rPr>
            </w:pPr>
            <w:r>
              <w:rPr>
                <w:rFonts w:ascii="Times New Roman" w:cs="Times New Roman" w:eastAsia="Times New Roman" w:hAnsi="Times New Roman"/>
                <w:sz w:val="12"/>
                <w:szCs w:val="12"/>
                <w:b w:val="1"/>
                <w:bCs w:val="1"/>
                <w:color w:val="auto"/>
                <w:w w:val="94"/>
              </w:rPr>
              <w:t>Income</w:t>
            </w:r>
          </w:p>
        </w:tc>
        <w:tc>
          <w:tcPr>
            <w:tcW w:w="160" w:type="dxa"/>
            <w:vAlign w:val="bottom"/>
          </w:tcPr>
          <w:p>
            <w:pPr>
              <w:spacing w:after="0"/>
              <w:rPr>
                <w:sz w:val="16"/>
                <w:szCs w:val="16"/>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500" w:type="dxa"/>
            <w:vAlign w:val="bottom"/>
          </w:tcPr>
          <w:p>
            <w:pPr>
              <w:jc w:val="center"/>
              <w:ind w:right="85"/>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8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520" w:type="dxa"/>
            <w:vAlign w:val="bottom"/>
            <w:gridSpan w:val="2"/>
          </w:tcPr>
          <w:p>
            <w:pPr>
              <w:jc w:val="center"/>
              <w:ind w:right="141"/>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140" w:type="dxa"/>
            <w:vAlign w:val="bottom"/>
            <w:vMerge w:val="continue"/>
            <w:shd w:val="clear" w:color="auto" w:fill="CCEEFF"/>
          </w:tcPr>
          <w:p>
            <w:pPr>
              <w:spacing w:after="0"/>
              <w:rPr>
                <w:sz w:val="14"/>
                <w:szCs w:val="14"/>
                <w:color w:val="auto"/>
              </w:rPr>
            </w:pPr>
          </w:p>
        </w:tc>
        <w:tc>
          <w:tcPr>
            <w:tcW w:w="940" w:type="dxa"/>
            <w:vAlign w:val="bottom"/>
            <w:tcBorders>
              <w:right w:val="single" w:sz="8" w:color="CCEEFF"/>
            </w:tcBorders>
            <w:gridSpan w:val="3"/>
            <w:shd w:val="clear" w:color="auto" w:fill="CCEEFF"/>
          </w:tcPr>
          <w:p>
            <w:pPr>
              <w:ind w:left="160"/>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​1,785,714</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2720" w:type="dxa"/>
            <w:vAlign w:val="bottom"/>
            <w:gridSpan w:val="15"/>
            <w:shd w:val="clear" w:color="auto" w:fill="CCEEFF"/>
          </w:tcPr>
          <w:p>
            <w:pPr>
              <w:jc w:val="right"/>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956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​17,589,380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55,840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​81,242,587</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$ 193,290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880" w:type="dxa"/>
            <w:vAlign w:val="bottom"/>
            <w:gridSpan w:val="6"/>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​13,692,052​ </w:t>
            </w:r>
            <w:r>
              <w:rPr>
                <w:rFonts w:ascii="Times New Roman" w:cs="Times New Roman" w:eastAsia="Times New Roman" w:hAnsi="Times New Roman"/>
                <w:sz w:val="19"/>
                <w:szCs w:val="19"/>
                <w:color w:val="auto"/>
                <w:vertAlign w:val="subscript"/>
              </w:rPr>
              <w:t>​​​</w:t>
            </w:r>
          </w:p>
        </w:tc>
        <w:tc>
          <w:tcPr>
            <w:tcW w:w="1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40" w:type="dxa"/>
            <w:vAlign w:val="bottom"/>
            <w:tcBorders>
              <w:righ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440" w:type="dxa"/>
            <w:vAlign w:val="bottom"/>
            <w:tcBorders>
              <w:righ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color w:val="auto"/>
              </w:rPr>
              <w:t>4,644</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4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80"/>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320" w:type="dxa"/>
            <w:vAlign w:val="bottom"/>
            <w:tcBorders>
              <w:right w:val="single" w:sz="8" w:color="CCEEFF"/>
            </w:tcBorders>
            <w:gridSpan w:val="2"/>
            <w:shd w:val="clear" w:color="auto" w:fill="CCEEFF"/>
          </w:tcPr>
          <w:p>
            <w:pPr>
              <w:jc w:val="right"/>
              <w:ind w:right="1"/>
              <w:spacing w:after="0" w:line="167" w:lineRule="exact"/>
              <w:rPr>
                <w:sz w:val="20"/>
                <w:szCs w:val="20"/>
                <w:color w:val="auto"/>
              </w:rPr>
            </w:pPr>
            <w:r>
              <w:rPr>
                <w:rFonts w:ascii="Times New Roman" w:cs="Times New Roman" w:eastAsia="Times New Roman" w:hAnsi="Times New Roman"/>
                <w:sz w:val="19"/>
                <w:szCs w:val="19"/>
                <w:color w:val="auto"/>
                <w:vertAlign w:val="superscript"/>
              </w:rPr>
              <w:t>37</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80" w:type="dxa"/>
            <w:vAlign w:val="bottom"/>
            <w:gridSpan w:val="3"/>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0"/>
                <w:szCs w:val="10"/>
                <w:color w:val="auto"/>
              </w:rPr>
              <w:t>(230,403)</w:t>
            </w:r>
            <w:r>
              <w:rPr>
                <w:rFonts w:ascii="Times New Roman" w:cs="Times New Roman" w:eastAsia="Times New Roman" w:hAnsi="Times New Roman"/>
                <w:sz w:val="19"/>
                <w:szCs w:val="19"/>
                <w:color w:val="auto"/>
                <w:vertAlign w:val="subscript"/>
              </w:rPr>
              <w:t>​​​</w:t>
            </w: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(225,721)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Repurchase of unvested restricted stock</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awards</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760" w:type="dxa"/>
            <w:vAlign w:val="bottom"/>
            <w:gridSpan w:val="2"/>
          </w:tcPr>
          <w:p>
            <w:pPr>
              <w:jc w:val="center"/>
              <w:ind w:left="28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44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(183,841)​​​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500" w:type="dxa"/>
            <w:vAlign w:val="bottom"/>
            <w:gridSpan w:val="4"/>
          </w:tcPr>
          <w:p>
            <w:pPr>
              <w:jc w:val="right"/>
              <w:ind w:right="1"/>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3"/>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92"/>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Exercises of common stock options</w:t>
            </w:r>
          </w:p>
        </w:tc>
        <w:tc>
          <w:tcPr>
            <w:tcW w:w="260" w:type="dxa"/>
            <w:vAlign w:val="bottom"/>
            <w:gridSpan w:val="2"/>
            <w:shd w:val="clear" w:color="auto" w:fill="CCEEFF"/>
          </w:tcPr>
          <w:p>
            <w:pPr>
              <w:ind w:left="160"/>
              <w:spacing w:after="0" w:line="191"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680" w:type="dxa"/>
            <w:vAlign w:val="bottom"/>
            <w:tcBorders>
              <w:left w:val="single" w:sz="8" w:color="CCEEFF"/>
              <w:right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6"/>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260" w:type="dxa"/>
            <w:vAlign w:val="bottom"/>
            <w:gridSpan w:val="4"/>
            <w:shd w:val="clear" w:color="auto" w:fill="CCEEFF"/>
          </w:tcPr>
          <w:p>
            <w:pPr>
              <w:ind w:left="2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760" w:type="dxa"/>
            <w:vAlign w:val="bottom"/>
            <w:tcBorders>
              <w:left w:val="single" w:sz="8" w:color="CCEEFF"/>
            </w:tcBorders>
            <w:gridSpan w:val="2"/>
            <w:shd w:val="clear" w:color="auto" w:fill="CCEEFF"/>
          </w:tcPr>
          <w:p>
            <w:pPr>
              <w:jc w:val="center"/>
              <w:ind w:left="284"/>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color w:val="auto"/>
                <w:vertAlign w:val="superscript"/>
              </w:rPr>
              <w:t>​</w:t>
            </w:r>
          </w:p>
        </w:tc>
        <w:tc>
          <w:tcPr>
            <w:tcW w:w="440" w:type="dxa"/>
            <w:vAlign w:val="bottom"/>
            <w:gridSpan w:val="3"/>
            <w:shd w:val="clear" w:color="auto" w:fill="CCEEFF"/>
          </w:tcPr>
          <w:p>
            <w:pPr>
              <w:ind w:left="18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220" w:type="dxa"/>
            <w:vAlign w:val="bottom"/>
            <w:tcBorders>
              <w:lef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ind w:left="14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color w:val="auto"/>
                <w:vertAlign w:val="superscript"/>
              </w:rPr>
              <w:t>​</w:t>
            </w:r>
          </w:p>
        </w:tc>
        <w:tc>
          <w:tcPr>
            <w:tcW w:w="28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40" w:type="dxa"/>
            <w:vAlign w:val="bottom"/>
            <w:gridSpan w:val="3"/>
            <w:shd w:val="clear" w:color="auto" w:fill="CCEEFF"/>
          </w:tcPr>
          <w:p>
            <w:pPr>
              <w:ind w:left="20"/>
              <w:spacing w:after="0" w:line="191"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740" w:type="dxa"/>
            <w:vAlign w:val="bottom"/>
            <w:gridSpan w:val="3"/>
            <w:shd w:val="clear" w:color="auto" w:fill="CCEEFF"/>
          </w:tcPr>
          <w:p>
            <w:pPr>
              <w:jc w:val="right"/>
              <w:ind w:right="160"/>
              <w:spacing w:after="0" w:line="191" w:lineRule="exact"/>
              <w:rPr>
                <w:sz w:val="20"/>
                <w:szCs w:val="20"/>
                <w:color w:val="auto"/>
              </w:rPr>
            </w:pPr>
            <w:r>
              <w:rPr>
                <w:rFonts w:ascii="Times New Roman" w:cs="Times New Roman" w:eastAsia="Times New Roman" w:hAnsi="Times New Roman"/>
                <w:sz w:val="11"/>
                <w:szCs w:val="11"/>
                <w:color w:val="auto"/>
              </w:rPr>
              <w:t xml:space="preserve">61,144​ </w:t>
            </w:r>
            <w:r>
              <w:rPr>
                <w:rFonts w:ascii="Times New Roman" w:cs="Times New Roman" w:eastAsia="Times New Roman" w:hAnsi="Times New Roman"/>
                <w:sz w:val="22"/>
                <w:szCs w:val="22"/>
                <w:color w:val="auto"/>
                <w:vertAlign w:val="subscript"/>
              </w:rPr>
              <w:t>​​​</w:t>
            </w:r>
          </w:p>
        </w:tc>
        <w:tc>
          <w:tcPr>
            <w:tcW w:w="380" w:type="dxa"/>
            <w:vAlign w:val="bottom"/>
            <w:tcBorders>
              <w:right w:val="single" w:sz="8" w:color="CCEEFF"/>
            </w:tcBorders>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440" w:type="dxa"/>
            <w:vAlign w:val="bottom"/>
            <w:tcBorders>
              <w:right w:val="single" w:sz="8" w:color="CCEEFF"/>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22"/>
                <w:szCs w:val="22"/>
                <w:color w:val="auto"/>
                <w:vertAlign w:val="superscript"/>
              </w:rPr>
              <w:t>42</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4"/>
            <w:shd w:val="clear" w:color="auto" w:fill="CCEEFF"/>
          </w:tcPr>
          <w:p>
            <w:pPr>
              <w:jc w:val="right"/>
              <w:ind w:right="1"/>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680" w:type="dxa"/>
            <w:vAlign w:val="bottom"/>
            <w:gridSpan w:val="3"/>
            <w:shd w:val="clear" w:color="auto" w:fill="CCEEFF"/>
          </w:tcPr>
          <w:p>
            <w:pPr>
              <w:jc w:val="right"/>
              <w:ind w:right="27"/>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60" w:type="dxa"/>
            <w:vAlign w:val="bottom"/>
            <w:gridSpan w:val="2"/>
          </w:tcPr>
          <w:p>
            <w:pPr>
              <w:ind w:left="160"/>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tcPr>
          <w:p>
            <w:pPr>
              <w:ind w:left="3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tcPr>
          <w:p>
            <w:pPr>
              <w:jc w:val="right"/>
              <w:ind w:right="6"/>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260" w:type="dxa"/>
            <w:vAlign w:val="bottom"/>
            <w:gridSpan w:val="4"/>
          </w:tcPr>
          <w:p>
            <w:pPr>
              <w:ind w:left="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60" w:type="dxa"/>
            <w:vAlign w:val="bottom"/>
            <w:gridSpan w:val="2"/>
          </w:tcPr>
          <w:p>
            <w:pPr>
              <w:jc w:val="center"/>
              <w:ind w:left="28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3"/>
          </w:tcPr>
          <w:p>
            <w:pPr>
              <w:ind w:left="18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220" w:type="dxa"/>
            <w:vAlign w:val="bottom"/>
          </w:tcPr>
          <w:p>
            <w:pPr>
              <w:spacing w:after="0"/>
              <w:rPr>
                <w:sz w:val="16"/>
                <w:szCs w:val="16"/>
                <w:color w:val="auto"/>
              </w:rPr>
            </w:pPr>
          </w:p>
        </w:tc>
        <w:tc>
          <w:tcPr>
            <w:tcW w:w="640" w:type="dxa"/>
            <w:vAlign w:val="bottom"/>
            <w:gridSpan w:val="2"/>
          </w:tcPr>
          <w:p>
            <w:pPr>
              <w:ind w:lef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2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4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40" w:type="dxa"/>
            <w:vAlign w:val="bottom"/>
            <w:gridSpan w:val="3"/>
          </w:tcPr>
          <w:p>
            <w:pPr>
              <w:jc w:val="right"/>
              <w:ind w:right="1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38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1"/>
                <w:szCs w:val="11"/>
                <w:color w:val="auto"/>
              </w:rPr>
              <w:t>947</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color w:val="auto"/>
                <w:vertAlign w:val="subscript"/>
              </w:rPr>
              <w:t>​​</w:t>
            </w:r>
          </w:p>
        </w:tc>
        <w:tc>
          <w:tcPr>
            <w:tcW w:w="400" w:type="dxa"/>
            <w:vAlign w:val="bottom"/>
          </w:tcPr>
          <w:p>
            <w:pPr>
              <w:spacing w:after="0"/>
              <w:rPr>
                <w:sz w:val="16"/>
                <w:szCs w:val="16"/>
                <w:color w:val="auto"/>
              </w:rPr>
            </w:pPr>
          </w:p>
        </w:tc>
        <w:tc>
          <w:tcPr>
            <w:tcW w:w="500" w:type="dxa"/>
            <w:vAlign w:val="bottom"/>
            <w:gridSpan w:val="4"/>
          </w:tcPr>
          <w:p>
            <w:pPr>
              <w:jc w:val="right"/>
              <w:ind w:right="1"/>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68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54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947​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18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260" w:type="dxa"/>
            <w:vAlign w:val="bottom"/>
            <w:gridSpan w:val="2"/>
            <w:shd w:val="clear" w:color="auto" w:fill="CCEEFF"/>
          </w:tcPr>
          <w:p>
            <w:pPr>
              <w:ind w:left="160"/>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tcBorders>
              <w:left w:val="single" w:sz="8" w:color="CCEEFF"/>
              <w:right w:val="single" w:sz="8" w:color="CCEEFF"/>
            </w:tcBorders>
            <w:shd w:val="clear" w:color="auto" w:fill="CCEEFF"/>
          </w:tcPr>
          <w:p>
            <w:pPr>
              <w:ind w:left="3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6"/>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60" w:type="dxa"/>
            <w:vAlign w:val="bottom"/>
            <w:gridSpan w:val="4"/>
            <w:shd w:val="clear" w:color="auto" w:fill="CCEEFF"/>
          </w:tcPr>
          <w:p>
            <w:pPr>
              <w:ind w:left="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60" w:type="dxa"/>
            <w:vAlign w:val="bottom"/>
            <w:tcBorders>
              <w:left w:val="single" w:sz="8" w:color="CCEEFF"/>
            </w:tcBorders>
            <w:gridSpan w:val="2"/>
            <w:shd w:val="clear" w:color="auto" w:fill="CCEEFF"/>
          </w:tcPr>
          <w:p>
            <w:pPr>
              <w:jc w:val="center"/>
              <w:ind w:left="28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3"/>
            <w:shd w:val="clear" w:color="auto" w:fill="CCEEFF"/>
          </w:tcPr>
          <w:p>
            <w:pPr>
              <w:ind w:left="18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220" w:type="dxa"/>
            <w:vAlign w:val="bottom"/>
            <w:tcBorders>
              <w:lef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ind w:lef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280" w:type="dxa"/>
            <w:vAlign w:val="bottom"/>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40" w:type="dxa"/>
            <w:vAlign w:val="bottom"/>
            <w:gridSpan w:val="3"/>
            <w:shd w:val="clear" w:color="auto" w:fill="CCEEFF"/>
          </w:tcPr>
          <w:p>
            <w:pPr>
              <w:ind w:left="20"/>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40" w:type="dxa"/>
            <w:vAlign w:val="bottom"/>
            <w:gridSpan w:val="3"/>
            <w:shd w:val="clear" w:color="auto" w:fill="CCEEFF"/>
          </w:tcPr>
          <w:p>
            <w:pPr>
              <w:jc w:val="right"/>
              <w:ind w:right="1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380" w:type="dxa"/>
            <w:vAlign w:val="bottom"/>
            <w:tcBorders>
              <w:right w:val="single" w:sz="8" w:color="CCEEFF"/>
            </w:tcBorders>
            <w:gridSpan w:val="3"/>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4"/>
            <w:shd w:val="clear" w:color="auto" w:fill="CCEEFF"/>
          </w:tcPr>
          <w:p>
            <w:pPr>
              <w:jc w:val="right"/>
              <w:ind w:right="1"/>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8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11"/>
                <w:szCs w:val="11"/>
                <w:color w:val="auto"/>
              </w:rPr>
              <w:t>(27,800)</w:t>
            </w:r>
            <w:r>
              <w:rPr>
                <w:rFonts w:ascii="Times New Roman" w:cs="Times New Roman" w:eastAsia="Times New Roman" w:hAnsi="Times New Roman"/>
                <w:sz w:val="21"/>
                <w:szCs w:val="21"/>
                <w:color w:val="auto"/>
                <w:vertAlign w:val="subscript"/>
              </w:rPr>
              <w:t>​​​</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(27,800)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260" w:type="dxa"/>
            <w:vAlign w:val="bottom"/>
            <w:gridSpan w:val="2"/>
          </w:tcPr>
          <w:p>
            <w:pPr>
              <w:ind w:left="160"/>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tcPr>
          <w:p>
            <w:pPr>
              <w:ind w:left="3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20" w:type="dxa"/>
            <w:vAlign w:val="bottom"/>
          </w:tcPr>
          <w:p>
            <w:pPr>
              <w:jc w:val="right"/>
              <w:ind w:right="6"/>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60" w:type="dxa"/>
            <w:vAlign w:val="bottom"/>
            <w:gridSpan w:val="4"/>
          </w:tcPr>
          <w:p>
            <w:pPr>
              <w:ind w:left="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60" w:type="dxa"/>
            <w:vAlign w:val="bottom"/>
            <w:gridSpan w:val="2"/>
          </w:tcPr>
          <w:p>
            <w:pPr>
              <w:jc w:val="center"/>
              <w:ind w:left="28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3"/>
          </w:tcPr>
          <w:p>
            <w:pPr>
              <w:ind w:left="18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220" w:type="dxa"/>
            <w:vAlign w:val="bottom"/>
          </w:tcPr>
          <w:p>
            <w:pPr>
              <w:spacing w:after="0"/>
              <w:rPr>
                <w:sz w:val="16"/>
                <w:szCs w:val="16"/>
                <w:color w:val="auto"/>
              </w:rPr>
            </w:pPr>
          </w:p>
        </w:tc>
        <w:tc>
          <w:tcPr>
            <w:tcW w:w="640" w:type="dxa"/>
            <w:vAlign w:val="bottom"/>
            <w:gridSpan w:val="2"/>
          </w:tcPr>
          <w:p>
            <w:pPr>
              <w:ind w:lef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4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40" w:type="dxa"/>
            <w:vAlign w:val="bottom"/>
            <w:gridSpan w:val="3"/>
          </w:tcPr>
          <w:p>
            <w:pPr>
              <w:jc w:val="right"/>
              <w:ind w:right="1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38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400" w:type="dxa"/>
            <w:vAlign w:val="bottom"/>
          </w:tcPr>
          <w:p>
            <w:pPr>
              <w:spacing w:after="0"/>
              <w:rPr>
                <w:sz w:val="16"/>
                <w:szCs w:val="16"/>
                <w:color w:val="auto"/>
              </w:rPr>
            </w:pPr>
          </w:p>
        </w:tc>
        <w:tc>
          <w:tcPr>
            <w:tcW w:w="500" w:type="dxa"/>
            <w:vAlign w:val="bottom"/>
            <w:gridSpan w:val="4"/>
          </w:tcPr>
          <w:p>
            <w:pPr>
              <w:jc w:val="right"/>
              <w:ind w:right="1"/>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37</w:t>
            </w:r>
            <w:r>
              <w:rPr>
                <w:rFonts w:ascii="Times New Roman" w:cs="Times New Roman" w:eastAsia="Times New Roman" w:hAnsi="Times New Roman"/>
                <w:sz w:val="11"/>
                <w:szCs w:val="11"/>
                <w:color w:val="auto"/>
              </w:rPr>
              <w:t>​​​</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8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4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37​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31, 2024</w:t>
            </w:r>
          </w:p>
        </w:tc>
        <w:tc>
          <w:tcPr>
            <w:tcW w:w="940" w:type="dxa"/>
            <w:vAlign w:val="bottom"/>
            <w:tcBorders>
              <w:right w:val="single" w:sz="8" w:color="CCEEFF"/>
            </w:tcBorders>
            <w:gridSpan w:val="3"/>
            <w:shd w:val="clear" w:color="auto" w:fill="CCEEFF"/>
          </w:tcPr>
          <w:p>
            <w:pPr>
              <w:ind w:left="160"/>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​1,785,714</w:t>
            </w:r>
            <w:r>
              <w:rPr>
                <w:rFonts w:ascii="Times New Roman" w:cs="Times New Roman" w:eastAsia="Times New Roman" w:hAnsi="Times New Roman"/>
                <w:sz w:val="20"/>
                <w:szCs w:val="20"/>
                <w:color w:val="auto"/>
                <w:vertAlign w:val="subscript"/>
              </w:rPr>
              <w:t>​​​</w:t>
            </w:r>
          </w:p>
        </w:tc>
        <w:tc>
          <w:tcPr>
            <w:tcW w:w="2720" w:type="dxa"/>
            <w:vAlign w:val="bottom"/>
            <w:gridSpan w:val="15"/>
            <w:shd w:val="clear" w:color="auto" w:fill="CCEEFF"/>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$ 956</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​17,589,380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$ 55,840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​81,242,587</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193,290</w:t>
            </w:r>
            <w:r>
              <w:rPr>
                <w:rFonts w:ascii="Times New Roman" w:cs="Times New Roman" w:eastAsia="Times New Roman" w:hAnsi="Times New Roman"/>
                <w:sz w:val="20"/>
                <w:szCs w:val="20"/>
                <w:color w:val="auto"/>
                <w:vertAlign w:val="subscript"/>
              </w:rPr>
              <w:t>​​</w:t>
            </w:r>
          </w:p>
        </w:tc>
        <w:tc>
          <w:tcPr>
            <w:tcW w:w="880" w:type="dxa"/>
            <w:vAlign w:val="bottom"/>
            <w:gridSpan w:val="6"/>
            <w:shd w:val="clear" w:color="auto" w:fill="CCEEFF"/>
          </w:tcPr>
          <w:p>
            <w:pPr>
              <w:jc w:val="right"/>
              <w:ind w:right="160"/>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​13,569,355​ </w:t>
            </w:r>
            <w:r>
              <w:rPr>
                <w:rFonts w:ascii="Times New Roman" w:cs="Times New Roman" w:eastAsia="Times New Roman" w:hAnsi="Times New Roman"/>
                <w:sz w:val="20"/>
                <w:szCs w:val="20"/>
                <w:color w:val="auto"/>
                <w:vertAlign w:val="subscript"/>
              </w:rPr>
              <w:t>​​​</w:t>
            </w:r>
          </w:p>
        </w:tc>
        <w:tc>
          <w:tcPr>
            <w:tcW w:w="1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240" w:type="dxa"/>
            <w:vAlign w:val="bottom"/>
            <w:tcBorders>
              <w:right w:val="single" w:sz="8" w:color="CCEEFF"/>
            </w:tcBorders>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440" w:type="dxa"/>
            <w:vAlign w:val="bottom"/>
            <w:tcBorders>
              <w:right w:val="single" w:sz="8" w:color="CCEEFF"/>
            </w:tcBorders>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1"/>
                <w:szCs w:val="11"/>
                <w:color w:val="auto"/>
              </w:rPr>
              <w:t>  5,633</w:t>
            </w:r>
            <w:r>
              <w:rPr>
                <w:rFonts w:ascii="Times New Roman" w:cs="Times New Roman" w:eastAsia="Times New Roman" w:hAnsi="Times New Roman"/>
                <w:sz w:val="20"/>
                <w:szCs w:val="20"/>
                <w:color w:val="auto"/>
                <w:vertAlign w:val="subscript"/>
              </w:rPr>
              <w:t>​​​</w:t>
            </w:r>
          </w:p>
        </w:tc>
        <w:tc>
          <w:tcPr>
            <w:tcW w:w="4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4"/>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74</w:t>
            </w:r>
            <w:r>
              <w:rPr>
                <w:rFonts w:ascii="Times New Roman" w:cs="Times New Roman" w:eastAsia="Times New Roman" w:hAnsi="Times New Roman"/>
                <w:sz w:val="20"/>
                <w:szCs w:val="20"/>
                <w:color w:val="auto"/>
                <w:vertAlign w:val="subscript"/>
              </w:rPr>
              <w:t>​​​</w:t>
            </w:r>
          </w:p>
        </w:tc>
        <w:tc>
          <w:tcPr>
            <w:tcW w:w="780" w:type="dxa"/>
            <w:vAlign w:val="bottom"/>
            <w:gridSpan w:val="4"/>
            <w:shd w:val="clear" w:color="auto" w:fill="CCEEFF"/>
          </w:tcPr>
          <w:p>
            <w:pPr>
              <w:jc w:val="right"/>
              <w:ind w:right="27"/>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(258,203)</w:t>
            </w:r>
            <w:r>
              <w:rPr>
                <w:rFonts w:ascii="Times New Roman" w:cs="Times New Roman" w:eastAsia="Times New Roman" w:hAnsi="Times New Roman"/>
                <w:sz w:val="20"/>
                <w:szCs w:val="20"/>
                <w:color w:val="auto"/>
                <w:vertAlign w:val="subscript"/>
              </w:rPr>
              <w:t>​​​</w:t>
            </w:r>
          </w:p>
        </w:tc>
        <w:tc>
          <w:tcPr>
            <w:tcW w:w="6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(252,495)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w w:val="99"/>
              </w:rPr>
              <w:t>Convertible Preferred Stock</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3"/>
            <w:vMerge w:val="restart"/>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87"/>
              </w:rPr>
              <w:t>Additional</w:t>
            </w:r>
          </w:p>
        </w:tc>
        <w:tc>
          <w:tcPr>
            <w:tcW w:w="120" w:type="dxa"/>
            <w:vAlign w:val="bottom"/>
          </w:tcPr>
          <w:p>
            <w:pPr>
              <w:spacing w:after="0"/>
              <w:rPr>
                <w:sz w:val="2"/>
                <w:szCs w:val="2"/>
                <w:color w:val="auto"/>
              </w:rPr>
            </w:pPr>
          </w:p>
        </w:tc>
        <w:tc>
          <w:tcPr>
            <w:tcW w:w="580" w:type="dxa"/>
            <w:vAlign w:val="bottom"/>
            <w:gridSpan w:val="3"/>
            <w:vMerge w:val="restart"/>
          </w:tcPr>
          <w:p>
            <w:pPr>
              <w:jc w:val="center"/>
              <w:ind w:left="64"/>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restart"/>
          </w:tcPr>
          <w:p>
            <w:pPr>
              <w:jc w:val="center"/>
              <w:ind w:right="161"/>
              <w:spacing w:after="0" w:line="124"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6"/>
                <w:szCs w:val="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w w:val="97"/>
              </w:rPr>
              <w:t>Series Seed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vMerge w:val="restart"/>
          </w:tcPr>
          <w:p>
            <w:pPr>
              <w:jc w:val="center"/>
              <w:ind w:left="304"/>
              <w:spacing w:after="0"/>
              <w:rPr>
                <w:sz w:val="20"/>
                <w:szCs w:val="20"/>
                <w:color w:val="auto"/>
              </w:rPr>
            </w:pPr>
            <w:r>
              <w:rPr>
                <w:rFonts w:ascii="Times New Roman" w:cs="Times New Roman" w:eastAsia="Times New Roman" w:hAnsi="Times New Roman"/>
                <w:sz w:val="12"/>
                <w:szCs w:val="12"/>
                <w:b w:val="1"/>
                <w:bCs w:val="1"/>
                <w:color w:val="auto"/>
                <w:w w:val="94"/>
              </w:rPr>
              <w:t>Series A</w:t>
            </w:r>
          </w:p>
        </w:tc>
        <w:tc>
          <w:tcPr>
            <w:tcW w:w="300" w:type="dxa"/>
            <w:vAlign w:val="bottom"/>
          </w:tcPr>
          <w:p>
            <w:pPr>
              <w:spacing w:after="0"/>
              <w:rPr>
                <w:sz w:val="6"/>
                <w:szCs w:val="6"/>
                <w:color w:val="auto"/>
              </w:rPr>
            </w:pP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6"/>
                <w:szCs w:val="6"/>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Series B</w:t>
            </w: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w w:val="96"/>
              </w:rPr>
              <w:t>Common Stock</w:t>
            </w:r>
          </w:p>
        </w:tc>
        <w:tc>
          <w:tcPr>
            <w:tcW w:w="100" w:type="dxa"/>
            <w:vAlign w:val="bottom"/>
          </w:tcPr>
          <w:p>
            <w:pPr>
              <w:spacing w:after="0"/>
              <w:rPr>
                <w:sz w:val="6"/>
                <w:szCs w:val="6"/>
                <w:color w:val="auto"/>
              </w:rPr>
            </w:pPr>
          </w:p>
        </w:tc>
        <w:tc>
          <w:tcPr>
            <w:tcW w:w="140" w:type="dxa"/>
            <w:vAlign w:val="bottom"/>
            <w:vMerge w:val="restart"/>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00" w:type="dxa"/>
            <w:vAlign w:val="bottom"/>
            <w:gridSpan w:val="3"/>
            <w:vMerge w:val="restart"/>
          </w:tcPr>
          <w:p>
            <w:pPr>
              <w:jc w:val="center"/>
              <w:ind w:right="26"/>
              <w:spacing w:after="0" w:line="99"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9"/>
                <w:szCs w:val="9"/>
                <w:color w:val="auto"/>
              </w:rPr>
            </w:pPr>
          </w:p>
        </w:tc>
        <w:tc>
          <w:tcPr>
            <w:tcW w:w="740" w:type="dxa"/>
            <w:vAlign w:val="bottom"/>
            <w:gridSpan w:val="4"/>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9"/>
                <w:szCs w:val="9"/>
                <w:color w:val="auto"/>
              </w:rPr>
            </w:pPr>
          </w:p>
        </w:tc>
        <w:tc>
          <w:tcPr>
            <w:tcW w:w="60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2"/>
              </w:rPr>
              <w:t>Accumulated</w:t>
            </w:r>
          </w:p>
        </w:tc>
        <w:tc>
          <w:tcPr>
            <w:tcW w:w="100" w:type="dxa"/>
            <w:vAlign w:val="bottom"/>
          </w:tcPr>
          <w:p>
            <w:pPr>
              <w:spacing w:after="0"/>
              <w:rPr>
                <w:sz w:val="9"/>
                <w:szCs w:val="9"/>
                <w:color w:val="auto"/>
              </w:rPr>
            </w:pPr>
          </w:p>
        </w:tc>
        <w:tc>
          <w:tcPr>
            <w:tcW w:w="700" w:type="dxa"/>
            <w:vAlign w:val="bottom"/>
            <w:gridSpan w:val="4"/>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80" w:type="dxa"/>
            <w:vAlign w:val="bottom"/>
            <w:gridSpan w:val="5"/>
          </w:tcPr>
          <w:p>
            <w:pPr>
              <w:spacing w:after="0" w:line="189" w:lineRule="exact"/>
              <w:rPr>
                <w:sz w:val="20"/>
                <w:szCs w:val="20"/>
                <w:color w:val="auto"/>
              </w:rPr>
            </w:pPr>
            <w:r>
              <w:rPr>
                <w:rFonts w:ascii="Times New Roman" w:cs="Times New Roman" w:eastAsia="Times New Roman" w:hAnsi="Times New Roman"/>
                <w:sz w:val="21"/>
                <w:szCs w:val="21"/>
                <w:b w:val="1"/>
                <w:bCs w:val="1"/>
                <w:color w:val="auto"/>
                <w:w w:val="82"/>
                <w:vertAlign w:val="subscript"/>
              </w:rPr>
              <w:t>​​</w:t>
            </w:r>
            <w:r>
              <w:rPr>
                <w:rFonts w:ascii="Times New Roman" w:cs="Times New Roman" w:eastAsia="Times New Roman" w:hAnsi="Times New Roman"/>
                <w:sz w:val="11"/>
                <w:szCs w:val="11"/>
                <w:b w:val="1"/>
                <w:bCs w:val="1"/>
                <w:color w:val="auto"/>
                <w:w w:val="82"/>
              </w:rPr>
              <w:t xml:space="preserve">Amount </w:t>
            </w:r>
            <w:r>
              <w:rPr>
                <w:rFonts w:ascii="Times New Roman" w:cs="Times New Roman" w:eastAsia="Times New Roman" w:hAnsi="Times New Roman"/>
                <w:sz w:val="21"/>
                <w:szCs w:val="21"/>
                <w:b w:val="1"/>
                <w:bCs w:val="1"/>
                <w:color w:val="auto"/>
                <w:w w:val="82"/>
                <w:vertAlign w:val="subscript"/>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20" w:type="dxa"/>
            <w:vAlign w:val="bottom"/>
            <w:gridSpan w:val="2"/>
          </w:tcPr>
          <w:p>
            <w:pPr>
              <w:spacing w:after="0" w:line="189" w:lineRule="exact"/>
              <w:rPr>
                <w:sz w:val="20"/>
                <w:szCs w:val="20"/>
                <w:color w:val="auto"/>
              </w:rPr>
            </w:pPr>
            <w:r>
              <w:rPr>
                <w:rFonts w:ascii="Times New Roman" w:cs="Times New Roman" w:eastAsia="Times New Roman" w:hAnsi="Times New Roman"/>
                <w:sz w:val="21"/>
                <w:szCs w:val="21"/>
                <w:b w:val="1"/>
                <w:bCs w:val="1"/>
                <w:color w:val="auto"/>
                <w:w w:val="91"/>
                <w:vertAlign w:val="subscript"/>
              </w:rPr>
              <w:t>​​</w:t>
            </w:r>
            <w:r>
              <w:rPr>
                <w:rFonts w:ascii="Times New Roman" w:cs="Times New Roman" w:eastAsia="Times New Roman" w:hAnsi="Times New Roman"/>
                <w:sz w:val="11"/>
                <w:szCs w:val="11"/>
                <w:b w:val="1"/>
                <w:bCs w:val="1"/>
                <w:color w:val="auto"/>
                <w:w w:val="91"/>
              </w:rPr>
              <w:t xml:space="preserve"> Amount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20" w:type="dxa"/>
            <w:vAlign w:val="bottom"/>
            <w:gridSpan w:val="3"/>
          </w:tcPr>
          <w:p>
            <w:pPr>
              <w:jc w:val="right"/>
              <w:ind w:right="1"/>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Amount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3"/>
          </w:tcPr>
          <w:p>
            <w:pPr>
              <w:jc w:val="center"/>
              <w:ind w:left="104"/>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60" w:type="dxa"/>
            <w:vAlign w:val="bottom"/>
          </w:tcPr>
          <w:p>
            <w:pPr>
              <w:spacing w:after="0"/>
              <w:rPr>
                <w:sz w:val="16"/>
                <w:szCs w:val="16"/>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500" w:type="dxa"/>
            <w:vAlign w:val="bottom"/>
          </w:tcPr>
          <w:p>
            <w:pPr>
              <w:jc w:val="center"/>
              <w:ind w:right="85"/>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8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520" w:type="dxa"/>
            <w:vAlign w:val="bottom"/>
            <w:gridSpan w:val="2"/>
          </w:tcPr>
          <w:p>
            <w:pPr>
              <w:jc w:val="center"/>
              <w:ind w:right="141"/>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6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1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left w:val="single" w:sz="8" w:color="CCEEFF"/>
              <w:right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1,785,714 </w:t>
            </w:r>
            <w:r>
              <w:rPr>
                <w:rFonts w:ascii="Times New Roman" w:cs="Times New Roman" w:eastAsia="Times New Roman" w:hAnsi="Times New Roman"/>
                <w:sz w:val="19"/>
                <w:szCs w:val="19"/>
                <w:color w:val="auto"/>
                <w:vertAlign w:val="subscript"/>
              </w:rPr>
              <w:t>​​</w:t>
            </w:r>
          </w:p>
        </w:tc>
        <w:tc>
          <w:tcPr>
            <w:tcW w:w="1440" w:type="dxa"/>
            <w:vAlign w:val="bottom"/>
            <w:gridSpan w:val="8"/>
            <w:shd w:val="clear" w:color="auto" w:fill="CCEEFF"/>
          </w:tcPr>
          <w:p>
            <w:pPr>
              <w:jc w:val="right"/>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956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17,589,380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55,840</w:t>
            </w:r>
          </w:p>
        </w:tc>
        <w:tc>
          <w:tcPr>
            <w:tcW w:w="1280" w:type="dxa"/>
            <w:vAlign w:val="bottom"/>
            <w:tcBorders>
              <w:left w:val="single" w:sz="8" w:color="CCEEFF"/>
            </w:tcBorders>
            <w:gridSpan w:val="7"/>
            <w:shd w:val="clear" w:color="auto" w:fill="CCEEFF"/>
          </w:tcPr>
          <w:p>
            <w:pPr>
              <w:ind w:left="60"/>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77,052,632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$ 183,290</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right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13,452,552</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color w:val="auto"/>
              </w:rPr>
              <w:t xml:space="preserve">1,033 </w:t>
            </w:r>
            <w:r>
              <w:rPr>
                <w:rFonts w:ascii="Times New Roman" w:cs="Times New Roman" w:eastAsia="Times New Roman" w:hAnsi="Times New Roman"/>
                <w:sz w:val="19"/>
                <w:szCs w:val="19"/>
                <w:color w:val="auto"/>
                <w:vertAlign w:val="subscript"/>
              </w:rPr>
              <w:t>​​</w:t>
            </w:r>
          </w:p>
        </w:tc>
        <w:tc>
          <w:tcPr>
            <w:tcW w:w="900" w:type="dxa"/>
            <w:vAlign w:val="bottom"/>
            <w:tcBorders>
              <w:right w:val="single" w:sz="8" w:color="CCEEFF"/>
            </w:tcBorders>
            <w:gridSpan w:val="5"/>
            <w:shd w:val="clear" w:color="auto" w:fill="CCEEFF"/>
          </w:tcPr>
          <w:p>
            <w:pPr>
              <w:jc w:val="right"/>
              <w:ind w:right="1"/>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(41) </w:t>
            </w:r>
            <w:r>
              <w:rPr>
                <w:rFonts w:ascii="Times New Roman" w:cs="Times New Roman" w:eastAsia="Times New Roman" w:hAnsi="Times New Roman"/>
                <w:sz w:val="19"/>
                <w:szCs w:val="19"/>
                <w:color w:val="auto"/>
                <w:vertAlign w:val="subscript"/>
              </w:rPr>
              <w:t>​​</w:t>
            </w: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680" w:type="dxa"/>
            <w:vAlign w:val="bottom"/>
            <w:gridSpan w:val="3"/>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0"/>
                <w:szCs w:val="10"/>
                <w:color w:val="auto"/>
              </w:rPr>
              <w:t xml:space="preserve">(193,279) </w:t>
            </w:r>
            <w:r>
              <w:rPr>
                <w:rFonts w:ascii="Times New Roman" w:cs="Times New Roman" w:eastAsia="Times New Roman" w:hAnsi="Times New Roman"/>
                <w:sz w:val="19"/>
                <w:szCs w:val="19"/>
                <w:color w:val="auto"/>
                <w:vertAlign w:val="subscript"/>
              </w:rPr>
              <w:t>​​</w:t>
            </w: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(192,286)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Exercises of common stock options</w:t>
            </w:r>
          </w:p>
        </w:tc>
        <w:tc>
          <w:tcPr>
            <w:tcW w:w="2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80" w:type="dxa"/>
            <w:vAlign w:val="bottom"/>
          </w:tcPr>
          <w:p>
            <w:pPr>
              <w:ind w:left="38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2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60" w:type="dxa"/>
            <w:vAlign w:val="bottom"/>
            <w:gridSpan w:val="4"/>
          </w:tcPr>
          <w:p>
            <w:pPr>
              <w:jc w:val="center"/>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60" w:type="dxa"/>
            <w:vAlign w:val="bottom"/>
            <w:gridSpan w:val="2"/>
          </w:tcPr>
          <w:p>
            <w:pPr>
              <w:jc w:val="center"/>
              <w:ind w:left="3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640" w:type="dxa"/>
            <w:vAlign w:val="bottom"/>
            <w:gridSpan w:val="2"/>
          </w:tcPr>
          <w:p>
            <w:pPr>
              <w:ind w:left="20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137,500</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55</w:t>
            </w:r>
            <w:r>
              <w:rPr>
                <w:rFonts w:ascii="Times New Roman" w:cs="Times New Roman" w:eastAsia="Times New Roman" w:hAnsi="Times New Roman"/>
                <w:sz w:val="11"/>
                <w:szCs w:val="11"/>
                <w:color w:val="auto"/>
              </w:rPr>
              <w:t xml:space="preserve"> ​​</w:t>
            </w:r>
          </w:p>
        </w:tc>
        <w:tc>
          <w:tcPr>
            <w:tcW w:w="580" w:type="dxa"/>
            <w:vAlign w:val="bottom"/>
            <w:gridSpan w:val="3"/>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tcPr>
          <w:p>
            <w:pPr>
              <w:jc w:val="right"/>
              <w:ind w:right="1"/>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8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20" w:type="dxa"/>
            <w:vAlign w:val="bottom"/>
            <w:tcBorders>
              <w:right w:val="single" w:sz="8" w:color="CCEEFF"/>
            </w:tcBorders>
            <w:shd w:val="clear" w:color="auto" w:fill="CCEEFF"/>
          </w:tcPr>
          <w:p>
            <w:pPr>
              <w:spacing w:after="0"/>
              <w:rPr>
                <w:sz w:val="16"/>
                <w:szCs w:val="16"/>
                <w:color w:val="auto"/>
              </w:rPr>
            </w:pPr>
          </w:p>
        </w:tc>
        <w:tc>
          <w:tcPr>
            <w:tcW w:w="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80" w:type="dxa"/>
            <w:vAlign w:val="bottom"/>
            <w:tcBorders>
              <w:left w:val="single" w:sz="8" w:color="CCEEFF"/>
              <w:right w:val="single" w:sz="8" w:color="CCEEFF"/>
            </w:tcBorders>
            <w:shd w:val="clear" w:color="auto" w:fill="CCEEFF"/>
          </w:tcPr>
          <w:p>
            <w:pPr>
              <w:ind w:left="38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60" w:type="dxa"/>
            <w:vAlign w:val="bottom"/>
            <w:gridSpan w:val="4"/>
            <w:shd w:val="clear" w:color="auto" w:fill="CCEEFF"/>
          </w:tcPr>
          <w:p>
            <w:pPr>
              <w:jc w:val="center"/>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60" w:type="dxa"/>
            <w:vAlign w:val="bottom"/>
            <w:tcBorders>
              <w:left w:val="single" w:sz="8" w:color="CCEEFF"/>
            </w:tcBorders>
            <w:gridSpan w:val="2"/>
            <w:shd w:val="clear" w:color="auto" w:fill="CCEEFF"/>
          </w:tcPr>
          <w:p>
            <w:pPr>
              <w:jc w:val="center"/>
              <w:ind w:left="3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lef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ind w:left="20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w:t>
            </w: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687 </w:t>
            </w:r>
            <w:r>
              <w:rPr>
                <w:rFonts w:ascii="Times New Roman" w:cs="Times New Roman" w:eastAsia="Times New Roman" w:hAnsi="Times New Roman"/>
                <w:sz w:val="21"/>
                <w:szCs w:val="21"/>
                <w:color w:val="auto"/>
                <w:vertAlign w:val="subscript"/>
              </w:rPr>
              <w:t>​​</w:t>
            </w:r>
          </w:p>
        </w:tc>
        <w:tc>
          <w:tcPr>
            <w:tcW w:w="580" w:type="dxa"/>
            <w:vAlign w:val="bottom"/>
            <w:gridSpan w:val="3"/>
            <w:shd w:val="clear" w:color="auto" w:fill="CCEEFF"/>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tcBorders>
              <w:right w:val="single" w:sz="8" w:color="CCEEFF"/>
            </w:tcBorders>
            <w:gridSpan w:val="2"/>
            <w:shd w:val="clear" w:color="auto" w:fill="CCEEFF"/>
          </w:tcPr>
          <w:p>
            <w:pPr>
              <w:jc w:val="right"/>
              <w:ind w:right="1"/>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bscript"/>
              </w:rPr>
              <w:t>​​</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8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bscript"/>
              </w:rPr>
              <w:t>​​</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2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80" w:type="dxa"/>
            <w:vAlign w:val="bottom"/>
          </w:tcPr>
          <w:p>
            <w:pPr>
              <w:ind w:left="38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2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60" w:type="dxa"/>
            <w:vAlign w:val="bottom"/>
            <w:gridSpan w:val="4"/>
          </w:tcPr>
          <w:p>
            <w:pPr>
              <w:jc w:val="center"/>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60" w:type="dxa"/>
            <w:vAlign w:val="bottom"/>
            <w:gridSpan w:val="2"/>
          </w:tcPr>
          <w:p>
            <w:pPr>
              <w:jc w:val="center"/>
              <w:ind w:left="3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640" w:type="dxa"/>
            <w:vAlign w:val="bottom"/>
            <w:gridSpan w:val="2"/>
          </w:tcPr>
          <w:p>
            <w:pPr>
              <w:ind w:left="20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580" w:type="dxa"/>
            <w:vAlign w:val="bottom"/>
            <w:gridSpan w:val="3"/>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tcPr>
          <w:p>
            <w:pPr>
              <w:jc w:val="right"/>
              <w:ind w:right="1"/>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bscript"/>
              </w:rPr>
              <w:t>​​</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8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11"/>
                <w:szCs w:val="11"/>
                <w:color w:val="auto"/>
              </w:rPr>
              <w:t xml:space="preserve">(19,097) </w:t>
            </w:r>
            <w:r>
              <w:rPr>
                <w:rFonts w:ascii="Times New Roman" w:cs="Times New Roman" w:eastAsia="Times New Roman" w:hAnsi="Times New Roman"/>
                <w:sz w:val="21"/>
                <w:szCs w:val="21"/>
                <w:color w:val="auto"/>
                <w:vertAlign w:val="subscript"/>
              </w:rPr>
              <w:t>​​</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220" w:type="dxa"/>
            <w:vAlign w:val="bottom"/>
            <w:tcBorders>
              <w:right w:val="single" w:sz="8" w:color="CCEEFF"/>
            </w:tcBorders>
            <w:shd w:val="clear" w:color="auto" w:fill="CCEEFF"/>
          </w:tcPr>
          <w:p>
            <w:pPr>
              <w:spacing w:after="0"/>
              <w:rPr>
                <w:sz w:val="16"/>
                <w:szCs w:val="16"/>
                <w:color w:val="auto"/>
              </w:rPr>
            </w:pPr>
          </w:p>
        </w:tc>
        <w:tc>
          <w:tcPr>
            <w:tcW w:w="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80" w:type="dxa"/>
            <w:vAlign w:val="bottom"/>
            <w:tcBorders>
              <w:left w:val="single" w:sz="8" w:color="CCEEFF"/>
              <w:right w:val="single" w:sz="8" w:color="CCEEFF"/>
            </w:tcBorders>
            <w:shd w:val="clear" w:color="auto" w:fill="CCEEFF"/>
          </w:tcPr>
          <w:p>
            <w:pPr>
              <w:ind w:left="38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60" w:type="dxa"/>
            <w:vAlign w:val="bottom"/>
            <w:gridSpan w:val="4"/>
            <w:shd w:val="clear" w:color="auto" w:fill="CCEEFF"/>
          </w:tcPr>
          <w:p>
            <w:pPr>
              <w:jc w:val="center"/>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60" w:type="dxa"/>
            <w:vAlign w:val="bottom"/>
            <w:tcBorders>
              <w:left w:val="single" w:sz="8" w:color="CCEEFF"/>
            </w:tcBorders>
            <w:gridSpan w:val="2"/>
            <w:shd w:val="clear" w:color="auto" w:fill="CCEEFF"/>
          </w:tcPr>
          <w:p>
            <w:pPr>
              <w:jc w:val="center"/>
              <w:ind w:left="3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lef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ind w:left="20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21"/>
                <w:szCs w:val="21"/>
                <w:color w:val="auto"/>
                <w:w w:val="90"/>
                <w:vertAlign w:val="subscript"/>
              </w:rPr>
              <w:t>​</w:t>
            </w:r>
            <w:r>
              <w:rPr>
                <w:rFonts w:ascii="Times New Roman" w:cs="Times New Roman" w:eastAsia="Times New Roman" w:hAnsi="Times New Roman"/>
                <w:sz w:val="11"/>
                <w:szCs w:val="11"/>
                <w:color w:val="auto"/>
                <w:w w:val="90"/>
              </w:rPr>
              <w:t xml:space="preserve"> ​  —</w:t>
            </w: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580" w:type="dxa"/>
            <w:vAlign w:val="bottom"/>
            <w:gridSpan w:val="3"/>
            <w:shd w:val="clear" w:color="auto" w:fill="CCEEFF"/>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tcBorders>
              <w:right w:val="single" w:sz="8" w:color="CCEEFF"/>
            </w:tcBorders>
            <w:gridSpan w:val="2"/>
            <w:shd w:val="clear" w:color="auto" w:fill="CCEEFF"/>
          </w:tcPr>
          <w:p>
            <w:pPr>
              <w:jc w:val="right"/>
              <w:ind w:right="1"/>
              <w:spacing w:after="0" w:line="187" w:lineRule="exact"/>
              <w:rPr>
                <w:sz w:val="20"/>
                <w:szCs w:val="20"/>
                <w:color w:val="auto"/>
              </w:rPr>
            </w:pPr>
            <w:r>
              <w:rPr>
                <w:rFonts w:ascii="Times New Roman" w:cs="Times New Roman" w:eastAsia="Times New Roman" w:hAnsi="Times New Roman"/>
                <w:sz w:val="11"/>
                <w:szCs w:val="11"/>
                <w:color w:val="auto"/>
              </w:rPr>
              <w:t xml:space="preserve">(4) </w:t>
            </w:r>
            <w:r>
              <w:rPr>
                <w:rFonts w:ascii="Times New Roman" w:cs="Times New Roman" w:eastAsia="Times New Roman" w:hAnsi="Times New Roman"/>
                <w:sz w:val="21"/>
                <w:szCs w:val="21"/>
                <w:color w:val="auto"/>
                <w:vertAlign w:val="subscript"/>
              </w:rPr>
              <w:t>​​</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8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6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31, 2023</w:t>
            </w:r>
          </w:p>
        </w:tc>
        <w:tc>
          <w:tcPr>
            <w:tcW w:w="220" w:type="dxa"/>
            <w:vAlign w:val="bottom"/>
          </w:tcPr>
          <w:p>
            <w:pPr>
              <w:spacing w:after="0"/>
              <w:rPr>
                <w:sz w:val="15"/>
                <w:szCs w:val="15"/>
                <w:color w:val="auto"/>
              </w:rPr>
            </w:pPr>
          </w:p>
        </w:tc>
        <w:tc>
          <w:tcPr>
            <w:tcW w:w="720" w:type="dxa"/>
            <w:vAlign w:val="bottom"/>
            <w:gridSpan w:val="2"/>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1,785,714 </w:t>
            </w:r>
            <w:r>
              <w:rPr>
                <w:rFonts w:ascii="Times New Roman" w:cs="Times New Roman" w:eastAsia="Times New Roman" w:hAnsi="Times New Roman"/>
                <w:sz w:val="20"/>
                <w:szCs w:val="20"/>
                <w:color w:val="auto"/>
                <w:vertAlign w:val="subscript"/>
              </w:rPr>
              <w:t>​​</w:t>
            </w:r>
          </w:p>
        </w:tc>
        <w:tc>
          <w:tcPr>
            <w:tcW w:w="12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1020" w:type="dxa"/>
            <w:vAlign w:val="bottom"/>
            <w:gridSpan w:val="6"/>
          </w:tcPr>
          <w:p>
            <w:pPr>
              <w:ind w:left="20"/>
              <w:spacing w:after="0" w:line="178" w:lineRule="exact"/>
              <w:rPr>
                <w:sz w:val="20"/>
                <w:szCs w:val="20"/>
                <w:color w:val="auto"/>
              </w:rPr>
            </w:pPr>
            <w:r>
              <w:rPr>
                <w:rFonts w:ascii="Times New Roman" w:cs="Times New Roman" w:eastAsia="Times New Roman" w:hAnsi="Times New Roman"/>
                <w:sz w:val="11"/>
                <w:szCs w:val="11"/>
                <w:color w:val="auto"/>
              </w:rPr>
              <w:t xml:space="preserve">956 </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17,589,380 </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55,840</w:t>
            </w:r>
          </w:p>
        </w:tc>
        <w:tc>
          <w:tcPr>
            <w:tcW w:w="1280" w:type="dxa"/>
            <w:vAlign w:val="bottom"/>
            <w:gridSpan w:val="7"/>
          </w:tcPr>
          <w:p>
            <w:pPr>
              <w:ind w:left="60"/>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77,052,632 </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183,290</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13,590,052</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4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1"/>
                <w:szCs w:val="11"/>
                <w:color w:val="auto"/>
              </w:rPr>
              <w:t xml:space="preserve">  1,775 </w:t>
            </w:r>
            <w:r>
              <w:rPr>
                <w:rFonts w:ascii="Times New Roman" w:cs="Times New Roman" w:eastAsia="Times New Roman" w:hAnsi="Times New Roman"/>
                <w:sz w:val="20"/>
                <w:szCs w:val="20"/>
                <w:color w:val="auto"/>
                <w:vertAlign w:val="subscript"/>
              </w:rPr>
              <w:t>​​</w:t>
            </w:r>
          </w:p>
        </w:tc>
        <w:tc>
          <w:tcPr>
            <w:tcW w:w="900" w:type="dxa"/>
            <w:vAlign w:val="bottom"/>
            <w:gridSpan w:val="5"/>
          </w:tcPr>
          <w:p>
            <w:pPr>
              <w:jc w:val="right"/>
              <w:ind w:right="1"/>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(45) </w:t>
            </w:r>
            <w:r>
              <w:rPr>
                <w:rFonts w:ascii="Times New Roman" w:cs="Times New Roman" w:eastAsia="Times New Roman" w:hAnsi="Times New Roman"/>
                <w:sz w:val="20"/>
                <w:szCs w:val="20"/>
                <w:color w:val="auto"/>
                <w:vertAlign w:val="subscript"/>
              </w:rPr>
              <w:t>​​</w:t>
            </w:r>
          </w:p>
        </w:tc>
        <w:tc>
          <w:tcPr>
            <w:tcW w:w="780" w:type="dxa"/>
            <w:vAlign w:val="bottom"/>
            <w:gridSpan w:val="4"/>
          </w:tcPr>
          <w:p>
            <w:pPr>
              <w:jc w:val="right"/>
              <w:ind w:right="27"/>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(212,376) </w:t>
            </w:r>
            <w:r>
              <w:rPr>
                <w:rFonts w:ascii="Times New Roman" w:cs="Times New Roman" w:eastAsia="Times New Roman" w:hAnsi="Times New Roman"/>
                <w:sz w:val="20"/>
                <w:szCs w:val="20"/>
                <w:color w:val="auto"/>
                <w:vertAlign w:val="subscript"/>
              </w:rPr>
              <w:t>​​</w:t>
            </w:r>
          </w:p>
        </w:tc>
        <w:tc>
          <w:tcPr>
            <w:tcW w:w="620" w:type="dxa"/>
            <w:vAlign w:val="bottom"/>
            <w:gridSpan w:val="3"/>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(210,645)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-1401445</wp:posOffset>
            </wp:positionV>
            <wp:extent cx="111760"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-2552700</wp:posOffset>
            </wp:positionV>
            <wp:extent cx="5881370" cy="25533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81370" cy="2553335"/>
                    </a:xfrm>
                    <a:prstGeom prst="rect">
                      <a:avLst/>
                    </a:prstGeom>
                    <a:noFill/>
                  </pic:spPr>
                </pic:pic>
              </a:graphicData>
            </a:graphic>
          </wp:anchor>
        </w:drawing>
      </w:r>
    </w:p>
    <w:p>
      <w:pPr>
        <w:spacing w:after="0" w:line="15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221220" cy="393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80"/>
          </w:cols>
          <w:pgMar w:left="300" w:top="98" w:right="919" w:bottom="1440" w:gutter="0" w:footer="0" w:header="0"/>
        </w:sectPr>
      </w:pPr>
    </w:p>
    <w:bookmarkStart w:id="242" w:name="page243"/>
    <w:bookmarkEnd w:id="24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spacing w:after="0" w:line="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60" w:type="dxa"/>
            <w:vAlign w:val="bottom"/>
          </w:tcPr>
          <w:p>
            <w:pPr>
              <w:spacing w:after="0"/>
              <w:rPr>
                <w:sz w:val="12"/>
                <w:szCs w:val="12"/>
                <w:color w:val="auto"/>
              </w:rPr>
            </w:pPr>
          </w:p>
        </w:tc>
      </w:tr>
      <w:tr>
        <w:trPr>
          <w:trHeight w:val="162"/>
        </w:trPr>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520" w:type="dxa"/>
            <w:vAlign w:val="bottom"/>
          </w:tcPr>
          <w:p>
            <w:pPr>
              <w:ind w:left="24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March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7"/>
        </w:trPr>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520" w:type="dxa"/>
            <w:vAlign w:val="bottom"/>
          </w:tcPr>
          <w:p>
            <w:pPr>
              <w:ind w:left="24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0" w:type="dxa"/>
            <w:vAlign w:val="bottom"/>
            <w:tcBorders>
              <w:bottom w:val="single" w:sz="8" w:color="auto"/>
            </w:tcBorders>
          </w:tcPr>
          <w:p>
            <w:pPr>
              <w:spacing w:after="0"/>
              <w:rPr>
                <w:sz w:val="14"/>
                <w:szCs w:val="14"/>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257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5"/>
          <w:szCs w:val="15"/>
          <w:color w:val="auto"/>
        </w:rPr>
        <w:t>Stock-based compensation expense</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Change in fair value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5"/>
          <w:szCs w:val="15"/>
          <w:color w:val="auto"/>
        </w:rPr>
        <w:t>Non-cash lease expense</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Prepaid expenses and other assets</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Accrued expenses</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32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Other current liabilities</w:t>
      </w:r>
    </w:p>
    <w:p>
      <w:pPr>
        <w:spacing w:after="0" w:line="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323024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2302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 ​​$  (27,800)​​</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(19,097)​​</w:t>
            </w:r>
          </w:p>
        </w:tc>
      </w:tr>
      <w:tr>
        <w:trPr>
          <w:trHeight w:val="176"/>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 ​​</w:t>
            </w:r>
          </w:p>
        </w:tc>
      </w:tr>
      <w:tr>
        <w:trPr>
          <w:trHeight w:val="187"/>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947​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687​ ​​</w:t>
            </w:r>
          </w:p>
        </w:tc>
      </w:tr>
      <w:tr>
        <w:trPr>
          <w:trHeight w:val="187"/>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694​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98"/>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159​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191​ ​​</w:t>
            </w:r>
          </w:p>
        </w:tc>
      </w:tr>
      <w:tr>
        <w:trPr>
          <w:trHeight w:val="176"/>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1,787​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3,407​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335​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0"/>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1,500​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
        </w:trPr>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 (19,102)​​ ​​ ​ (26,063)​​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11430</wp:posOffset>
            </wp:positionV>
            <wp:extent cx="5588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11430</wp:posOffset>
            </wp:positionV>
            <wp:extent cx="11874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8745" cy="698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640" w:space="420"/>
            <w:col w:w="2959"/>
          </w:cols>
          <w:pgMar w:left="1440" w:top="9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20"/>
        </w:trPr>
        <w:tc>
          <w:tcPr>
            <w:tcW w:w="4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00" w:type="dxa"/>
            <w:vAlign w:val="bottom"/>
            <w:vMerge w:val="continue"/>
            <w:shd w:val="clear" w:color="auto" w:fill="CCEEFF"/>
          </w:tcPr>
          <w:p>
            <w:pPr>
              <w:spacing w:after="0"/>
              <w:rPr>
                <w:sz w:val="13"/>
                <w:szCs w:val="13"/>
                <w:color w:val="auto"/>
              </w:rPr>
            </w:pPr>
          </w:p>
        </w:tc>
        <w:tc>
          <w:tcPr>
            <w:tcW w:w="460" w:type="dxa"/>
            <w:vAlign w:val="bottom"/>
            <w:gridSpan w:val="2"/>
            <w:shd w:val="clear" w:color="auto" w:fill="CCEEFF"/>
          </w:tcPr>
          <w:p>
            <w:pPr>
              <w:ind w:left="40"/>
              <w:spacing w:after="0" w:line="160" w:lineRule="exact"/>
              <w:rPr>
                <w:sz w:val="20"/>
                <w:szCs w:val="20"/>
                <w:color w:val="auto"/>
              </w:rPr>
            </w:pPr>
            <w:r>
              <w:rPr>
                <w:rFonts w:ascii="Times New Roman" w:cs="Times New Roman" w:eastAsia="Times New Roman" w:hAnsi="Times New Roman"/>
                <w:sz w:val="15"/>
                <w:szCs w:val="15"/>
                <w:b w:val="1"/>
                <w:bCs w:val="1"/>
                <w:color w:val="auto"/>
              </w:rPr>
              <w:t>​ ​​ ​</w:t>
            </w:r>
          </w:p>
        </w:tc>
        <w:tc>
          <w:tcPr>
            <w:tcW w:w="860" w:type="dxa"/>
            <w:vAlign w:val="bottom"/>
            <w:gridSpan w:val="3"/>
            <w:shd w:val="clear" w:color="auto" w:fill="CCEEFF"/>
          </w:tcPr>
          <w:p>
            <w:pPr>
              <w:jc w:val="right"/>
              <w:ind w:right="160"/>
              <w:spacing w:after="0" w:line="160" w:lineRule="exact"/>
              <w:rPr>
                <w:sz w:val="20"/>
                <w:szCs w:val="20"/>
                <w:color w:val="auto"/>
              </w:rPr>
            </w:pPr>
            <w:r>
              <w:rPr>
                <w:rFonts w:ascii="Times New Roman" w:cs="Times New Roman" w:eastAsia="Times New Roman" w:hAnsi="Times New Roman"/>
                <w:sz w:val="15"/>
                <w:szCs w:val="15"/>
                <w:b w:val="1"/>
                <w:bCs w:val="1"/>
                <w:color w:val="auto"/>
              </w:rPr>
              <w:t>​​​ ​​ ​</w:t>
            </w:r>
          </w:p>
        </w:tc>
        <w:tc>
          <w:tcPr>
            <w:tcW w:w="46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(22)​​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 ​​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5715</wp:posOffset>
            </wp:positionV>
            <wp:extent cx="4241800" cy="1257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Payment of initial public offering costs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Effect of exchange rate changes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4445</wp:posOffset>
            </wp:positionV>
            <wp:extent cx="4241800" cy="1257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Net decrease in cash and restricted cash</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Cash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536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Cash and restricted cash at end of period</w:t>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20320</wp:posOffset>
            </wp:positionV>
            <wp:extent cx="4241800" cy="1466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offering costs in accounts payable and accrued expenses</w:t>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Reconciliation of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5715</wp:posOffset>
            </wp:positionV>
            <wp:extent cx="4241800" cy="1257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Cash</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536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Total cash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(656)​​</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42​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(614)​​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0" w:type="dxa"/>
            <w:vAlign w:val="bottom"/>
          </w:tcPr>
          <w:p>
            <w:pPr>
              <w:spacing w:after="0"/>
              <w:rPr>
                <w:sz w:val="1"/>
                <w:szCs w:val="1"/>
                <w:color w:val="auto"/>
              </w:rPr>
            </w:pPr>
          </w:p>
        </w:tc>
      </w:tr>
      <w:tr>
        <w:trPr>
          <w:trHeight w:val="20"/>
        </w:trPr>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8"/>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 (19,702)​​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(26,013)​​</w:t>
            </w:r>
          </w:p>
        </w:tc>
        <w:tc>
          <w:tcPr>
            <w:tcW w:w="0" w:type="dxa"/>
            <w:vAlign w:val="bottom"/>
          </w:tcPr>
          <w:p>
            <w:pPr>
              <w:spacing w:after="0"/>
              <w:rPr>
                <w:sz w:val="1"/>
                <w:szCs w:val="1"/>
                <w:color w:val="auto"/>
              </w:rPr>
            </w:pPr>
          </w:p>
        </w:tc>
      </w:tr>
      <w:tr>
        <w:trPr>
          <w:trHeight w:val="19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56,942​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67,295​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line="18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80" w:type="dxa"/>
            <w:vAlign w:val="bottom"/>
          </w:tcPr>
          <w:p>
            <w:pPr>
              <w:spacing w:after="0"/>
              <w:rPr>
                <w:sz w:val="17"/>
                <w:szCs w:val="17"/>
                <w:color w:val="auto"/>
              </w:rPr>
            </w:pPr>
          </w:p>
        </w:tc>
        <w:tc>
          <w:tcPr>
            <w:tcW w:w="6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2"/>
                <w:szCs w:val="12"/>
                <w:color w:val="auto"/>
              </w:rPr>
              <w:t xml:space="preserve">37,240​ </w:t>
            </w:r>
            <w:r>
              <w:rPr>
                <w:rFonts w:ascii="Times New Roman" w:cs="Times New Roman" w:eastAsia="Times New Roman" w:hAnsi="Times New Roman"/>
                <w:sz w:val="21"/>
                <w:szCs w:val="21"/>
                <w:color w:val="auto"/>
                <w:vertAlign w:val="subscript"/>
              </w:rPr>
              <w:t>​​</w:t>
            </w:r>
          </w:p>
        </w:tc>
        <w:tc>
          <w:tcPr>
            <w:tcW w:w="1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80" w:type="dxa"/>
            <w:vAlign w:val="bottom"/>
          </w:tcPr>
          <w:p>
            <w:pPr>
              <w:spacing w:after="0"/>
              <w:rPr>
                <w:sz w:val="17"/>
                <w:szCs w:val="17"/>
                <w:color w:val="auto"/>
              </w:rPr>
            </w:pP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41,282​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0" w:type="dxa"/>
            <w:vAlign w:val="bottom"/>
            <w:vMerge w:val="continue"/>
          </w:tcPr>
          <w:p>
            <w:pPr>
              <w:spacing w:after="0"/>
              <w:rPr>
                <w:sz w:val="14"/>
                <w:szCs w:val="14"/>
                <w:color w:val="auto"/>
              </w:rPr>
            </w:pPr>
          </w:p>
        </w:tc>
        <w:tc>
          <w:tcPr>
            <w:tcW w:w="1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tcPr>
          <w:p>
            <w:pPr>
              <w:jc w:val="right"/>
              <w:ind w:righ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0"/>
        </w:trPr>
        <w:tc>
          <w:tcPr>
            <w:tcW w:w="26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6"/>
                <w:szCs w:val="16"/>
                <w:color w:val="auto"/>
              </w:rPr>
            </w:pPr>
          </w:p>
        </w:tc>
        <w:tc>
          <w:tcPr>
            <w:tcW w:w="6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1"/>
                <w:szCs w:val="11"/>
                <w:color w:val="auto"/>
              </w:rPr>
              <w:t xml:space="preserve">1,872​ </w:t>
            </w:r>
            <w:r>
              <w:rPr>
                <w:rFonts w:ascii="Times New Roman" w:cs="Times New Roman" w:eastAsia="Times New Roman" w:hAnsi="Times New Roman"/>
                <w:sz w:val="19"/>
                <w:szCs w:val="19"/>
                <w:color w:val="auto"/>
                <w:vertAlign w:val="subscript"/>
              </w:rPr>
              <w:t>​​</w:t>
            </w:r>
          </w:p>
        </w:tc>
        <w:tc>
          <w:tcPr>
            <w:tcW w:w="1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6"/>
                <w:szCs w:val="16"/>
                <w:color w:val="auto"/>
              </w:rPr>
            </w:pPr>
          </w:p>
        </w:tc>
        <w:tc>
          <w:tcPr>
            <w:tcW w:w="5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0" w:type="dxa"/>
            <w:vAlign w:val="bottom"/>
            <w:vMerge w:val="continue"/>
          </w:tcPr>
          <w:p>
            <w:pPr>
              <w:spacing w:after="0"/>
              <w:rPr>
                <w:sz w:val="14"/>
                <w:szCs w:val="14"/>
                <w:color w:val="auto"/>
              </w:rPr>
            </w:pPr>
          </w:p>
        </w:tc>
        <w:tc>
          <w:tcPr>
            <w:tcW w:w="1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tcPr>
          <w:p>
            <w:pPr>
              <w:jc w:val="right"/>
              <w:ind w:righ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37,154​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41,196​ ​​</w:t>
            </w:r>
          </w:p>
        </w:tc>
        <w:tc>
          <w:tcPr>
            <w:tcW w:w="0" w:type="dxa"/>
            <w:vAlign w:val="bottom"/>
          </w:tcPr>
          <w:p>
            <w:pPr>
              <w:spacing w:after="0"/>
              <w:rPr>
                <w:sz w:val="1"/>
                <w:szCs w:val="1"/>
                <w:color w:val="auto"/>
              </w:rPr>
            </w:pPr>
          </w:p>
        </w:tc>
      </w:tr>
      <w:tr>
        <w:trPr>
          <w:trHeight w:val="190"/>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86​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line="18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80" w:type="dxa"/>
            <w:vAlign w:val="bottom"/>
          </w:tcPr>
          <w:p>
            <w:pPr>
              <w:spacing w:after="0"/>
              <w:rPr>
                <w:sz w:val="17"/>
                <w:szCs w:val="17"/>
                <w:color w:val="auto"/>
              </w:rPr>
            </w:pPr>
          </w:p>
        </w:tc>
        <w:tc>
          <w:tcPr>
            <w:tcW w:w="6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2"/>
                <w:szCs w:val="12"/>
                <w:color w:val="auto"/>
              </w:rPr>
              <w:t xml:space="preserve">37,240​ </w:t>
            </w:r>
            <w:r>
              <w:rPr>
                <w:rFonts w:ascii="Times New Roman" w:cs="Times New Roman" w:eastAsia="Times New Roman" w:hAnsi="Times New Roman"/>
                <w:sz w:val="21"/>
                <w:szCs w:val="21"/>
                <w:color w:val="auto"/>
                <w:vertAlign w:val="subscript"/>
              </w:rPr>
              <w:t>​​</w:t>
            </w:r>
          </w:p>
        </w:tc>
        <w:tc>
          <w:tcPr>
            <w:tcW w:w="1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80" w:type="dxa"/>
            <w:vAlign w:val="bottom"/>
          </w:tcPr>
          <w:p>
            <w:pPr>
              <w:spacing w:after="0"/>
              <w:rPr>
                <w:sz w:val="17"/>
                <w:szCs w:val="17"/>
                <w:color w:val="auto"/>
              </w:rPr>
            </w:pP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41,282​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5380" w:space="680"/>
            <w:col w:w="2959"/>
          </w:cols>
          <w:pgMar w:left="1440" w:top="9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43" w:name="page244"/>
    <w:bookmarkEnd w:id="24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 Nature of Business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Organization</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(“Zenas Cayman”)) de-registered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primary focus is to transform the lives of patients with unmet medical needs by developing and commercializing immune-based therapies.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w:t>
      </w:r>
    </w:p>
    <w:p>
      <w:pPr>
        <w:spacing w:after="0" w:line="10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On December 27, 2019, Zenas formed Zenas BioPharma (HK) Limited (“Zenas HK”), a wholly owned subsidiary established in Hong Kong. On July 30, 2020, Zenas formed Zenas BioPharma (USA) LLC (“Zenas US”), a wholly owned subsidiary of Zenas. On November 11, 2021, Zenas HK formed Shanghai Zenas Biotechnology Co. Limited (“Zenas China”), a wholly foreign-owned enterprise of Zenas HK established in Shanghai, China. On November 15, 2023, Zenas formed Zenas Securities Corporation, a wholly owned subsidiary of Zenas, which was incorporated as a Massachusetts Security Corporation.</w:t>
      </w:r>
    </w:p>
    <w:p>
      <w:pPr>
        <w:spacing w:after="0" w:line="91"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Since its inception, the Company has devoted its efforts principally to research and development and raising capital. The Company is subject to risks and uncertainties common to early-stage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agreement with Bristol-Myers Squibb Company (“BMS”) (see Note 7).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Redomicile</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On August 2, 2023, Zenas Cayman de-registered from the Cayman Islands and registered by way of continuation in the State of Delaware, whereby the Company filed a Certificate of Domestication to incorporate in the State of Delaware (the “Redomicile”) under the name of Zenas BioPharma, Inc. In connection with the Redomicile, (i) the existing holders of convertible preferred stock and ordinary stock holders of Zenas Cayman exchanged their shares of Zenas Cayman for the same number and classes of common stock and convertible preferred stock of the Company on a one-to-one basis, with rights identical to the exchanged shares of Zenas Cayman; and (ii) all outstanding stock awards of Zenas Cayman under the Zenas BioPharma (Cayman) Limited 2020 Equity Incentive Plan (the “2020 Plan”) exercisable for ordinary stock, became outstanding awards of the Company, exercisable for common stock, with no other changes to the underlying terms of the awards.</w:t>
      </w:r>
    </w:p>
    <w:p>
      <w:pPr>
        <w:spacing w:after="0" w:line="103"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Upon completion of the Redomicile and name change, the historical consolidated financial statements of Zenas Cayman became the historical consolidated financial statements of Zenas BioPharma, Inc. For the period ended March 31, 2023, the ordinary stock is referred to as common stock throughout the condensed consolidated financial statements and related footnotes for consistency with the presentation as of March 31,</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4" w:name="page245"/>
    <w:bookmarkEnd w:id="24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 Nature of Business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2024 and December 31, 2023. There was no impact on the condensed consolidated financial statements as a result of the Redomicile and name change.</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Going Concern</w:t>
      </w:r>
    </w:p>
    <w:p>
      <w:pPr>
        <w:spacing w:after="0" w:line="128"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The Company has incurred operating losses and negative cash flows since its inception, including net losses of $27.8 million and $ 19.1 million for the three months ended March 31, 2024 and 2023, respectively. As of March 31, 2024, the Company had an accumulated deficit of $258.2 million. The Company has not generated any product revenue since inception and has relied on its ability to fund its operations through collaboration arrangements, private equity and convertible debt financings. Management expects operating losses and negative operating cash flows to continue for the foreseeable future as it continues its research and development efforts, advances its product candidates through preclinical and clinical development, enhances its platforms and programs, expands its product pipeline, seeks regulatory approval, prepares for commercialization, hires additional personnel, protects its intellectual property and grows its business. As the Company continues to incur losses, transitioning to profitability is dependent upon the successful development, approval, and commercialization of its product candidates and the generation of sufficient revenues to support its cost structure.</w:t>
      </w:r>
    </w:p>
    <w:p>
      <w:pPr>
        <w:spacing w:after="0" w:line="96"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The Company expects that its existing cash of $37.2 million as of March 31, 2024, together with the $179.0 million of gross proceeds from the Series C convertible preferred stock financing (“Series C Preferred Stock”) in May 2024 (see Note 16), will be sufficient to fund its operating expenses and capital expenditure requirements for at least twelve months from the date these condensed consolidated financial statements were available to be issued. The accompanying condensed consolidated financial statements have been prepared on a going concern basis, which contemplates the realization of assets and the satisfaction of liabilities and commitments in the normal course of business. The Company will need additional financing to support its continuing operations and to pursue its growth strategy. Until such time as the Company can generate significant revenue from product sales, if ever, it expects to finance its operations through a combination of private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w:t>
      </w:r>
    </w:p>
    <w:p>
      <w:pPr>
        <w:spacing w:after="0" w:line="104"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The Company is seeking to complete an initial public offering (“IPO”) of its common stock. Upon the completion of an IPO, the Company’s outstanding convertible preferred stock will convert into shares of common stock (see Note 9).</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w:t>
      </w:r>
    </w:p>
    <w:p>
      <w:pPr>
        <w:spacing w:after="0" w:line="115"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Company’s significant accounting policies are disclosed in Note 2, “Summary of Significant Accounting Policies,” in the audited consolidated financial statements for the years ended December 31, 2023 and 2022 included elsewhere in this prospectus. Since the date of those financial statements, there have been no changes to the Company’s significant accounting policies, except as noted below.</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Unaudited Interim Financial Information</w:t>
      </w:r>
    </w:p>
    <w:p>
      <w:pPr>
        <w:spacing w:after="0" w:line="128"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accompanying condensed consolidated balance sheet as of March 31, 2024, and the condensed consolidated statements of operations and comprehensive loss, statements of changes in convertible preferred stock and stockholders’ deficit and statements of cash flows for the three months ended March 31, 2024 and 2023 are unaudited. The condensed consolidated interim financial statements have been prepared on the same basis as the audited annual financial statements and, in the opinion of management, reflect all adjustments,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5" w:name="page246"/>
    <w:bookmarkEnd w:id="2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which include only normal recurring adjustments necessary for the fair presentation of the Company’s financial position as of March 31, 2024 and the results of its operations and its cash flows for the three months ended March 31, 2024 and 2023. The financial data and other information disclosed in these notes related to the three months ended March 31, 2024 and 2023 are also unaudited. The results for the three months ended March 31, 2024 are not necessarily indicative of results to be expected for the year ending December 31, 2024, or for any other subsequent period.</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Deferred Offering Costs</w:t>
      </w:r>
    </w:p>
    <w:p>
      <w:pPr>
        <w:spacing w:after="0" w:line="128"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capitalizes legal, professional accounting and other third-party fees that are directly associated with the planned IPO and other in-process equity financings as other non-current assets until such financings are consummated. After consummation of the IPO or equity financing, these costs will be recorded in stockholders’ deficit as a reduction of additional paid- in-capital generated as a result of the offering. If the Company terminates its plan for an IPO or equity financing, any costs deferred will be expensed immediately. As of March 31, 2024 and December 31, 2023, the Company had $2.5 million and $1.4 million in deferred offering costs, respectively, which were included in other assets.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w:t>
      </w:r>
    </w:p>
    <w:p>
      <w:pPr>
        <w:spacing w:after="0" w:line="12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following table presents information about the Company’s financial assets and liabilities measured at fair value on a recurring basis (in thousands):</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380" w:type="dxa"/>
            <w:vAlign w:val="bottom"/>
          </w:tcPr>
          <w:p>
            <w:pPr>
              <w:ind w:left="6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5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Balance Sheet Classification</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1 </w:t>
            </w:r>
            <w:r>
              <w:rPr>
                <w:rFonts w:ascii="Times New Roman" w:cs="Times New Roman" w:eastAsia="Times New Roman" w:hAnsi="Times New Roman"/>
                <w:sz w:val="21"/>
                <w:szCs w:val="21"/>
                <w:b w:val="1"/>
                <w:bCs w:val="1"/>
                <w:color w:val="auto"/>
                <w:vertAlign w:val="subscript"/>
              </w:rPr>
              <w:t>​</w:t>
            </w:r>
          </w:p>
        </w:tc>
        <w:tc>
          <w:tcPr>
            <w:tcW w:w="136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2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Level 3   </w:t>
            </w:r>
            <w:r>
              <w:rPr>
                <w:rFonts w:ascii="Times New Roman" w:cs="Times New Roman" w:eastAsia="Times New Roman" w:hAnsi="Times New Roman"/>
                <w:sz w:val="21"/>
                <w:szCs w:val="21"/>
                <w:b w:val="1"/>
                <w:bCs w:val="1"/>
                <w:color w:val="auto"/>
                <w:vertAlign w:val="subscript"/>
              </w:rPr>
              <w:t>​ ​</w:t>
            </w:r>
          </w:p>
        </w:tc>
        <w:tc>
          <w:tcPr>
            <w:tcW w:w="6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Total   </w:t>
            </w:r>
            <w:r>
              <w:rPr>
                <w:rFonts w:ascii="Times New Roman" w:cs="Times New Roman" w:eastAsia="Times New Roman" w:hAnsi="Times New Roman"/>
                <w:sz w:val="21"/>
                <w:szCs w:val="21"/>
                <w:b w:val="1"/>
                <w:bCs w:val="1"/>
                <w:color w:val="auto"/>
                <w:vertAlign w:val="subscript"/>
              </w:rPr>
              <w:t>​</w:t>
            </w:r>
          </w:p>
        </w:tc>
      </w:tr>
      <w:tr>
        <w:trPr>
          <w:trHeight w:val="20"/>
        </w:trPr>
        <w:tc>
          <w:tcPr>
            <w:tcW w:w="2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09"/>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 ​</w:t>
            </w:r>
          </w:p>
        </w:tc>
        <w:tc>
          <w:tcPr>
            <w:tcW w:w="1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25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BMS Note</w:t>
            </w:r>
          </w:p>
        </w:tc>
        <w:tc>
          <w:tcPr>
            <w:tcW w:w="156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Non-current liability</w:t>
            </w:r>
          </w:p>
        </w:tc>
        <w:tc>
          <w:tcPr>
            <w:tcW w:w="880" w:type="dxa"/>
            <w:vAlign w:val="bottom"/>
            <w:gridSpan w:val="5"/>
          </w:tcPr>
          <w:p>
            <w:pPr>
              <w:ind w:left="40"/>
              <w:spacing w:after="0" w:line="201" w:lineRule="exact"/>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perscript"/>
              </w:rPr>
              <w:t xml:space="preserve">$ </w:t>
            </w:r>
          </w:p>
        </w:tc>
        <w:tc>
          <w:tcPr>
            <w:tcW w:w="1720" w:type="dxa"/>
            <w:vAlign w:val="bottom"/>
            <w:gridSpan w:val="8"/>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20,994</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20,994</w:t>
            </w:r>
            <w:r>
              <w:rPr>
                <w:rFonts w:ascii="Times New Roman" w:cs="Times New Roman" w:eastAsia="Times New Roman" w:hAnsi="Times New Roman"/>
                <w:sz w:val="23"/>
                <w:szCs w:val="23"/>
                <w:color w:val="auto"/>
                <w:vertAlign w:val="subscript"/>
              </w:rPr>
              <w:t>​</w:t>
            </w:r>
          </w:p>
        </w:tc>
      </w:tr>
      <w:tr>
        <w:trPr>
          <w:trHeight w:val="20"/>
        </w:trPr>
        <w:tc>
          <w:tcPr>
            <w:tcW w:w="25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8"/>
            <w:shd w:val="clear" w:color="auto" w:fill="CCEEFF"/>
          </w:tcPr>
          <w:p>
            <w:pPr>
              <w:ind w:left="40"/>
              <w:spacing w:after="0" w:line="200" w:lineRule="exact"/>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740" w:type="dxa"/>
            <w:vAlign w:val="bottom"/>
            <w:gridSpan w:val="3"/>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20,994</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2"/>
              </w:rPr>
              <w:t>20,994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7"/>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380" w:type="dxa"/>
            <w:vAlign w:val="bottom"/>
          </w:tcPr>
          <w:p>
            <w:pPr>
              <w:ind w:left="6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Balance Sheet Classification</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40" w:type="dxa"/>
            <w:vAlign w:val="bottom"/>
            <w:gridSpan w:val="10"/>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1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Level 2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Level 3   </w:t>
            </w:r>
            <w:r>
              <w:rPr>
                <w:rFonts w:ascii="Times New Roman" w:cs="Times New Roman" w:eastAsia="Times New Roman" w:hAnsi="Times New Roman"/>
                <w:sz w:val="21"/>
                <w:szCs w:val="21"/>
                <w:b w:val="1"/>
                <w:bCs w:val="1"/>
                <w:color w:val="auto"/>
                <w:vertAlign w:val="subscript"/>
              </w:rPr>
              <w:t>​ ​</w:t>
            </w:r>
          </w:p>
        </w:tc>
        <w:tc>
          <w:tcPr>
            <w:tcW w:w="4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Total   </w:t>
            </w:r>
            <w:r>
              <w:rPr>
                <w:rFonts w:ascii="Times New Roman" w:cs="Times New Roman" w:eastAsia="Times New Roman" w:hAnsi="Times New Roman"/>
                <w:sz w:val="21"/>
                <w:szCs w:val="21"/>
                <w:b w:val="1"/>
                <w:bCs w:val="1"/>
                <w:color w:val="auto"/>
                <w:vertAlign w:val="subscript"/>
              </w:rPr>
              <w:t>​</w:t>
            </w:r>
          </w:p>
        </w:tc>
      </w:tr>
      <w:tr>
        <w:trPr>
          <w:trHeight w:val="20"/>
        </w:trPr>
        <w:tc>
          <w:tcPr>
            <w:tcW w:w="256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 ​</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5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BMS Note</w:t>
            </w:r>
          </w:p>
        </w:tc>
        <w:tc>
          <w:tcPr>
            <w:tcW w:w="1560" w:type="dxa"/>
            <w:vAlign w:val="bottom"/>
            <w:gridSpan w:val="3"/>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Non-current liability</w:t>
            </w:r>
          </w:p>
        </w:tc>
        <w:tc>
          <w:tcPr>
            <w:tcW w:w="880" w:type="dxa"/>
            <w:vAlign w:val="bottom"/>
            <w:gridSpan w:val="5"/>
          </w:tcPr>
          <w:p>
            <w:pPr>
              <w:ind w:left="40"/>
              <w:spacing w:after="0" w:line="220" w:lineRule="exact"/>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 xml:space="preserve">$ </w:t>
            </w:r>
          </w:p>
        </w:tc>
        <w:tc>
          <w:tcPr>
            <w:tcW w:w="1720" w:type="dxa"/>
            <w:vAlign w:val="bottom"/>
            <w:gridSpan w:val="8"/>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20,300</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20,300</w:t>
            </w:r>
            <w:r>
              <w:rPr>
                <w:rFonts w:ascii="Times New Roman" w:cs="Times New Roman" w:eastAsia="Times New Roman" w:hAnsi="Times New Roman"/>
                <w:sz w:val="25"/>
                <w:szCs w:val="25"/>
                <w:color w:val="auto"/>
                <w:vertAlign w:val="subscript"/>
              </w:rPr>
              <w:t>​</w:t>
            </w:r>
          </w:p>
        </w:tc>
      </w:tr>
      <w:tr>
        <w:trPr>
          <w:trHeight w:val="20"/>
        </w:trPr>
        <w:tc>
          <w:tcPr>
            <w:tcW w:w="25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8"/>
            <w:shd w:val="clear" w:color="auto" w:fill="CCEEFF"/>
          </w:tcPr>
          <w:p>
            <w:pPr>
              <w:ind w:left="40"/>
              <w:spacing w:after="0" w:line="200" w:lineRule="exact"/>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740" w:type="dxa"/>
            <w:vAlign w:val="bottom"/>
            <w:gridSpan w:val="3"/>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20,300</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2"/>
              </w:rPr>
              <w:t>20,300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-996950</wp:posOffset>
            </wp:positionV>
            <wp:extent cx="11874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-996950</wp:posOffset>
            </wp:positionV>
            <wp:extent cx="341122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-173990</wp:posOffset>
            </wp:positionV>
            <wp:extent cx="11874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41122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-452755</wp:posOffset>
            </wp:positionV>
            <wp:extent cx="111760"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-452755</wp:posOffset>
            </wp:positionV>
            <wp:extent cx="11176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-452755</wp:posOffset>
            </wp:positionV>
            <wp:extent cx="11176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-452755</wp:posOffset>
            </wp:positionV>
            <wp:extent cx="11176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-452755</wp:posOffset>
            </wp:positionV>
            <wp:extent cx="11176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During the three months ended March 31, 2024 and year ended December 31, 2023, there were no transfers between levels. The Company uses the carrying amounts of its prepaid expenses and other current assets, accounts payable and accrued expenses to approximate their fair value due to the short-term nature of these amounts.</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BMS Note</w:t>
      </w:r>
    </w:p>
    <w:p>
      <w:pPr>
        <w:spacing w:after="0" w:line="126"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In August 2023, the Company entered into a $20.0 million convertible promissory note agreement with BMS (the “BMS Note”) in connection with its strategic license and collaboration agreement with BMS (the “BMS Agreement”) (see Note 7). The BMS Note has a stated interest rate of 8.5% per annum and a maturity date of August 30, 2026, and contains various conversion features including mandatory conversion upon the occurrence of a qualified financing event, IPO, reverse merger, or special purpose acquisition company transaction and conversion at the option of BMS upon the occurrence of a non-qualified financing event. If the Company issues and sells its convertible preferred stock to accredited investors with total gross proceeds</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6" w:name="page247"/>
    <w:bookmarkEnd w:id="2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 (Continued)</w:t>
      </w:r>
    </w:p>
    <w:p>
      <w:pPr>
        <w:spacing w:after="0" w:line="181"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equal to at least $70.0 million (a “BMS Qualified Financing”), the outstanding principal and accrued interest of the BMS Note shall automatically convert into equity securities sold in the BMS Qualified Financing at a conversion price equal (i) to the outstanding principal and accrued interest under the BMS Note divided by (ii) the lowest cash price paid per equity security. Similarly, automatic conversion of the BMS Note upon an IPO would result in a conversion price equal to (i) the outstanding principal and accrued interest under the BMS Note divided by (ii) the price per share listed in the registration statement to be paid by the investors for the Company’s common stock. The Company elected the fair value option to account for the BMS Note. Changes in fair value at every reporting date are recorded as a component of other income (expense), net in the condensed consolidated statements of operations and comprehensive loss.</w:t>
      </w:r>
    </w:p>
    <w:p>
      <w:pPr>
        <w:spacing w:after="0" w:line="105"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BMS Note is classified as a liability on the Company’s consolidated balance sheet and was initially recorded at fair value. The fair value of the BMS Note was estimated based on significant inputs not observable in the market, representing a Level 3 measurement within the fair value hierarchy. The Company used a scenario-based analysis to incorporate estimates and assumptions concerning the Company’s prospects and market indications into a model to estimate the fair value of the BMS Note. The most significant estimates and assumptions used as inputs were those concerning the timing and probability of possible scenarios for conversion or settlement of the BMS Note and the discount rate. The Company will subsequently remeasure the fair value of the BMS Note at each reporting period.</w:t>
      </w:r>
    </w:p>
    <w:p>
      <w:pPr>
        <w:spacing w:after="0" w:line="101"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On May 3, 2024, the Company issued and sold Series C Preferred Stock, which was deemed to be a BMS Qualified Financing, as described above, and resulted in the outstanding BMS Note plus accrued interest being automatically converted into 12,284,686 shares of Series C Preferred Stock (see Note 16). Immediately prior to settlement, the BMS Note is remeasured to fair value. Due to the close proximity between March 31, 2024 and the BMS Note conversion on May 3, 2024, the Company utilized the fair value of the shares of Series C Preferred Stock for which the BMS Note converted into to mark the BMS Note to fair value as of March 31, 2024, and recorded a $0.7 million change in fair value for the BMS Note as a component of other income (expense), net in the Company’s condensed consolidated statements of operations and comprehensive loss for the three months ended March 31, 2024. There were no liabilities with significant unobservable inputs outstanding as of March 31, 2023.</w:t>
      </w:r>
    </w:p>
    <w:p>
      <w:pPr>
        <w:spacing w:after="0" w:line="92"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table below presents changes in the Company’s liabilities with significant unobservable inputs (Level 3 liabilities) during the three months ended March 31, 2024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94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 ​</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Convertible notes</w:t>
            </w:r>
            <w:r>
              <w:rPr>
                <w:rFonts w:ascii="Times New Roman" w:cs="Times New Roman" w:eastAsia="Times New Roman" w:hAnsi="Times New Roman"/>
                <w:sz w:val="23"/>
                <w:szCs w:val="23"/>
                <w:b w:val="1"/>
                <w:bCs w:val="1"/>
                <w:color w:val="auto"/>
                <w:w w:val="95"/>
                <w:vertAlign w:val="subscript"/>
              </w:rPr>
              <w:t>​</w:t>
            </w:r>
          </w:p>
        </w:tc>
      </w:tr>
      <w:tr>
        <w:trPr>
          <w:trHeight w:val="20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940" w:type="dxa"/>
            <w:vAlign w:val="bottom"/>
            <w:tcBorders>
              <w:top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20,300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of BMS Note</w:t>
            </w:r>
          </w:p>
        </w:tc>
        <w:tc>
          <w:tcPr>
            <w:tcW w:w="1940" w:type="dxa"/>
            <w:vAlign w:val="bottom"/>
          </w:tcPr>
          <w:p>
            <w:pPr>
              <w:ind w:left="18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tcPr>
          <w:p>
            <w:pPr>
              <w:ind w:left="30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694</w:t>
            </w:r>
            <w:r>
              <w:rPr>
                <w:rFonts w:ascii="Times New Roman" w:cs="Times New Roman" w:eastAsia="Times New Roman" w:hAnsi="Times New Roman"/>
                <w:sz w:val="25"/>
                <w:szCs w:val="25"/>
                <w:color w:val="auto"/>
                <w:vertAlign w:val="subscript"/>
              </w:rPr>
              <w:t>​</w:t>
            </w:r>
          </w:p>
        </w:tc>
      </w:tr>
      <w:tr>
        <w:trPr>
          <w:trHeight w:val="20"/>
        </w:trPr>
        <w:tc>
          <w:tcPr>
            <w:tcW w:w="38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19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3"/>
            <w:shd w:val="clear" w:color="auto" w:fill="CCEEFF"/>
          </w:tcPr>
          <w:p>
            <w:pPr>
              <w:ind w:left="30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20,994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886200"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69760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697605"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4. Other Assets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assets consisted of the following (in thousands):</w:t>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83"/>
              </w:rPr>
              <w:t>March 31,</w:t>
            </w:r>
          </w:p>
        </w:tc>
        <w:tc>
          <w:tcPr>
            <w:tcW w:w="1700" w:type="dxa"/>
            <w:vAlign w:val="bottom"/>
            <w:gridSpan w:val="4"/>
          </w:tcPr>
          <w:p>
            <w:pPr>
              <w:jc w:val="center"/>
              <w:ind w:right="972"/>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r>
      <w:tr>
        <w:trPr>
          <w:trHeight w:val="173"/>
        </w:trPr>
        <w:tc>
          <w:tcPr>
            <w:tcW w:w="102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980" w:type="dxa"/>
            <w:vAlign w:val="bottom"/>
          </w:tcPr>
          <w:p>
            <w:pPr>
              <w:ind w:left="2800"/>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Pr>
          <w:p>
            <w:pPr>
              <w:spacing w:after="0"/>
              <w:rPr>
                <w:sz w:val="15"/>
                <w:szCs w:val="15"/>
                <w:color w:val="auto"/>
              </w:rPr>
            </w:pPr>
          </w:p>
        </w:tc>
        <w:tc>
          <w:tcPr>
            <w:tcW w:w="5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0"/>
                <w:szCs w:val="20"/>
                <w:b w:val="1"/>
                <w:bCs w:val="1"/>
                <w:color w:val="auto"/>
                <w:vertAlign w:val="subscript"/>
              </w:rPr>
              <w:t>​ ​</w:t>
            </w:r>
          </w:p>
        </w:tc>
        <w:tc>
          <w:tcPr>
            <w:tcW w:w="460" w:type="dxa"/>
            <w:vAlign w:val="bottom"/>
            <w:gridSpan w:val="2"/>
          </w:tcPr>
          <w:p>
            <w:pPr>
              <w:jc w:val="center"/>
              <w:ind w:left="175"/>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20" w:type="dxa"/>
            <w:vAlign w:val="bottom"/>
          </w:tcPr>
          <w:p>
            <w:pPr>
              <w:spacing w:after="0"/>
              <w:rPr>
                <w:sz w:val="15"/>
                <w:szCs w:val="15"/>
                <w:color w:val="auto"/>
              </w:rPr>
            </w:pPr>
          </w:p>
        </w:tc>
        <w:tc>
          <w:tcPr>
            <w:tcW w:w="1020" w:type="dxa"/>
            <w:vAlign w:val="bottom"/>
          </w:tcPr>
          <w:p>
            <w:pPr>
              <w:jc w:val="right"/>
              <w:ind w:right="91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0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9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clinical expenses</w:t>
            </w:r>
          </w:p>
        </w:tc>
        <w:tc>
          <w:tcPr>
            <w:tcW w:w="3640" w:type="dxa"/>
            <w:vAlign w:val="bottom"/>
            <w:gridSpan w:val="4"/>
            <w:shd w:val="clear" w:color="auto" w:fill="CCEEFF"/>
          </w:tcPr>
          <w:p>
            <w:pPr>
              <w:ind w:left="2800"/>
              <w:spacing w:after="0"/>
              <w:rPr>
                <w:sz w:val="20"/>
                <w:szCs w:val="20"/>
                <w:color w:val="auto"/>
              </w:rPr>
            </w:pPr>
            <w:r>
              <w:rPr>
                <w:rFonts w:ascii="Times New Roman" w:cs="Times New Roman" w:eastAsia="Times New Roman" w:hAnsi="Times New Roman"/>
                <w:sz w:val="15"/>
                <w:szCs w:val="15"/>
                <w:color w:val="auto"/>
              </w:rPr>
              <w:t>​ ​ ​$  5,788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​$5,788</w:t>
            </w:r>
          </w:p>
        </w:tc>
        <w:tc>
          <w:tcPr>
            <w:tcW w:w="1020" w:type="dxa"/>
            <w:vAlign w:val="bottom"/>
          </w:tcPr>
          <w:p>
            <w:pPr>
              <w:jc w:val="right"/>
              <w:ind w:right="912"/>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0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3640" w:type="dxa"/>
            <w:vAlign w:val="bottom"/>
            <w:gridSpan w:val="4"/>
          </w:tcPr>
          <w:p>
            <w:pPr>
              <w:ind w:left="2800"/>
              <w:spacing w:after="0"/>
              <w:rPr>
                <w:sz w:val="20"/>
                <w:szCs w:val="20"/>
                <w:color w:val="auto"/>
              </w:rPr>
            </w:pPr>
            <w:r>
              <w:rPr>
                <w:rFonts w:ascii="Times New Roman" w:cs="Times New Roman" w:eastAsia="Times New Roman" w:hAnsi="Times New Roman"/>
                <w:sz w:val="15"/>
                <w:szCs w:val="15"/>
                <w:color w:val="auto"/>
              </w:rPr>
              <w:t>​ ​ ​ ​ 2,527</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700" w:type="dxa"/>
            <w:vAlign w:val="bottom"/>
            <w:gridSpan w:val="4"/>
          </w:tcPr>
          <w:p>
            <w:pPr>
              <w:jc w:val="right"/>
              <w:ind w:right="912"/>
              <w:spacing w:after="0"/>
              <w:rPr>
                <w:sz w:val="20"/>
                <w:szCs w:val="20"/>
                <w:color w:val="auto"/>
              </w:rPr>
            </w:pPr>
            <w:r>
              <w:rPr>
                <w:rFonts w:ascii="Times New Roman" w:cs="Times New Roman" w:eastAsia="Times New Roman" w:hAnsi="Times New Roman"/>
                <w:sz w:val="15"/>
                <w:szCs w:val="15"/>
                <w:color w:val="auto"/>
              </w:rPr>
              <w:t>​ ​1,388​</w:t>
            </w:r>
          </w:p>
        </w:tc>
      </w:tr>
      <w:tr>
        <w:trPr>
          <w:trHeight w:val="220"/>
        </w:trPr>
        <w:tc>
          <w:tcPr>
            <w:tcW w:w="10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3080" w:type="dxa"/>
            <w:vAlign w:val="bottom"/>
            <w:gridSpan w:val="2"/>
            <w:shd w:val="clear" w:color="auto" w:fill="CCEEFF"/>
          </w:tcPr>
          <w:p>
            <w:pPr>
              <w:ind w:left="2800"/>
              <w:spacing w:after="0" w:line="220"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56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98</w:t>
            </w:r>
            <w:r>
              <w:rPr>
                <w:rFonts w:ascii="Times New Roman" w:cs="Times New Roman" w:eastAsia="Times New Roman" w:hAnsi="Times New Roman"/>
                <w:sz w:val="13"/>
                <w:szCs w:val="13"/>
                <w:color w:val="auto"/>
              </w:rPr>
              <w:t>​​ ​</w:t>
            </w:r>
          </w:p>
        </w:tc>
        <w:tc>
          <w:tcPr>
            <w:tcW w:w="460" w:type="dxa"/>
            <w:vAlign w:val="bottom"/>
            <w:gridSpan w:val="2"/>
            <w:shd w:val="clear" w:color="auto" w:fill="CCEEFF"/>
          </w:tcPr>
          <w:p>
            <w:pPr>
              <w:jc w:val="center"/>
              <w:ind w:left="115"/>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100</w:t>
            </w:r>
          </w:p>
        </w:tc>
        <w:tc>
          <w:tcPr>
            <w:tcW w:w="1020" w:type="dxa"/>
            <w:vAlign w:val="bottom"/>
          </w:tcPr>
          <w:p>
            <w:pPr>
              <w:jc w:val="right"/>
              <w:ind w:right="912"/>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0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9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other assets</w:t>
            </w:r>
          </w:p>
        </w:tc>
        <w:tc>
          <w:tcPr>
            <w:tcW w:w="3080" w:type="dxa"/>
            <w:vAlign w:val="bottom"/>
            <w:gridSpan w:val="2"/>
          </w:tcPr>
          <w:p>
            <w:pPr>
              <w:ind w:left="2800"/>
              <w:spacing w:after="0" w:line="200" w:lineRule="exact"/>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3"/>
                <w:szCs w:val="23"/>
                <w:color w:val="auto"/>
                <w:vertAlign w:val="superscript"/>
              </w:rPr>
              <w:t>$</w:t>
            </w:r>
          </w:p>
        </w:tc>
        <w:tc>
          <w:tcPr>
            <w:tcW w:w="5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8,413</w:t>
            </w:r>
            <w:r>
              <w:rPr>
                <w:rFonts w:ascii="Times New Roman" w:cs="Times New Roman" w:eastAsia="Times New Roman" w:hAnsi="Times New Roman"/>
                <w:sz w:val="23"/>
                <w:szCs w:val="23"/>
                <w:color w:val="auto"/>
                <w:vertAlign w:val="subscript"/>
              </w:rPr>
              <w:t>​​ ​</w:t>
            </w:r>
          </w:p>
        </w:tc>
        <w:tc>
          <w:tcPr>
            <w:tcW w:w="1700" w:type="dxa"/>
            <w:vAlign w:val="bottom"/>
            <w:gridSpan w:val="4"/>
          </w:tcPr>
          <w:p>
            <w:pPr>
              <w:jc w:val="right"/>
              <w:ind w:right="912"/>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7,276</w:t>
            </w:r>
            <w:r>
              <w:rPr>
                <w:rFonts w:ascii="Times New Roman" w:cs="Times New Roman" w:eastAsia="Times New Roman" w:hAnsi="Times New Roman"/>
                <w:sz w:val="23"/>
                <w:szCs w:val="23"/>
                <w:color w:val="auto"/>
                <w:vertAlign w:val="subscript"/>
              </w:rPr>
              <w:t>​</w:t>
            </w:r>
          </w:p>
        </w:tc>
      </w:tr>
      <w:tr>
        <w:trPr>
          <w:trHeight w:val="20"/>
        </w:trPr>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11"/>
        </w:trPr>
        <w:tc>
          <w:tcPr>
            <w:tcW w:w="1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8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auto"/>
              </w:rPr>
              <w:t>F-42</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-1136650</wp:posOffset>
            </wp:positionV>
            <wp:extent cx="380936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0936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7" w:name="page248"/>
    <w:bookmarkEnd w:id="24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5. Accrued Expenses</w:t>
      </w:r>
    </w:p>
    <w:p>
      <w:pPr>
        <w:sectPr>
          <w:pgSz w:w="11900" w:h="16838" w:orient="portrait"/>
          <w:cols w:equalWidth="0" w:num="1">
            <w:col w:w="9019"/>
          </w:cols>
          <w:pgMar w:left="1440" w:top="98" w:right="1440" w:bottom="1440" w:gutter="0" w:footer="0" w:header="0"/>
        </w:sectPr>
      </w:pP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Accrued expenses consisted of the following (in thousands):</w:t>
      </w:r>
    </w:p>
    <w:p>
      <w:pPr>
        <w:spacing w:after="0" w:line="2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Employee compensation and benefits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External research, development and manufacturing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Professional and consultant fees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w:t>
      </w:r>
    </w:p>
    <w:p>
      <w:pPr>
        <w:spacing w:after="0" w:line="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accrued expenses</w:t>
      </w:r>
    </w:p>
    <w:p>
      <w:pPr>
        <w:spacing w:after="0" w:line="2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6.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4"/>
              </w:rPr>
              <w:t>March 31,</w:t>
            </w:r>
          </w:p>
        </w:tc>
        <w:tc>
          <w:tcPr>
            <w:tcW w:w="72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r>
      <w:tr>
        <w:trPr>
          <w:trHeight w:val="173"/>
        </w:trPr>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Pr>
          <w:p>
            <w:pPr>
              <w:spacing w:after="0"/>
              <w:rPr>
                <w:sz w:val="15"/>
                <w:szCs w:val="15"/>
                <w:color w:val="auto"/>
              </w:rPr>
            </w:pPr>
          </w:p>
        </w:tc>
        <w:tc>
          <w:tcPr>
            <w:tcW w:w="60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0"/>
                <w:szCs w:val="20"/>
                <w:b w:val="1"/>
                <w:bCs w:val="1"/>
                <w:color w:val="auto"/>
                <w:vertAlign w:val="subscript"/>
              </w:rPr>
              <w:t>​ ​</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5"/>
                <w:szCs w:val="15"/>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2,222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5,122​</w:t>
            </w:r>
          </w:p>
        </w:tc>
      </w:tr>
      <w:tr>
        <w:trPr>
          <w:trHeight w:val="209"/>
        </w:trPr>
        <w:tc>
          <w:tcPr>
            <w:tcW w:w="92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 14,405</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9,398​</w:t>
            </w:r>
          </w:p>
        </w:tc>
      </w:tr>
      <w:tr>
        <w:trPr>
          <w:trHeight w:val="209"/>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2,409</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2,379​</w:t>
            </w:r>
          </w:p>
        </w:tc>
      </w:tr>
      <w:tr>
        <w:trPr>
          <w:trHeight w:val="209"/>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301​</w:t>
            </w:r>
          </w:p>
        </w:tc>
      </w:tr>
      <w:tr>
        <w:trPr>
          <w:trHeight w:val="201"/>
        </w:trPr>
        <w:tc>
          <w:tcPr>
            <w:tcW w:w="32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6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150</w:t>
            </w:r>
            <w:r>
              <w:rPr>
                <w:rFonts w:ascii="Times New Roman" w:cs="Times New Roman" w:eastAsia="Times New Roman" w:hAnsi="Times New Roman"/>
                <w:sz w:val="23"/>
                <w:szCs w:val="23"/>
                <w:color w:val="auto"/>
                <w:vertAlign w:val="subscript"/>
              </w:rPr>
              <w:t>​​ ​</w:t>
            </w:r>
          </w:p>
        </w:tc>
        <w:tc>
          <w:tcPr>
            <w:tcW w:w="1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160" w:type="dxa"/>
            <w:vAlign w:val="bottom"/>
          </w:tcPr>
          <w:p>
            <w:pPr>
              <w:spacing w:after="0"/>
              <w:rPr>
                <w:sz w:val="17"/>
                <w:szCs w:val="17"/>
                <w:color w:val="auto"/>
              </w:rPr>
            </w:pPr>
          </w:p>
        </w:tc>
        <w:tc>
          <w:tcPr>
            <w:tcW w:w="2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106</w:t>
            </w:r>
            <w:r>
              <w:rPr>
                <w:rFonts w:ascii="Times New Roman" w:cs="Times New Roman" w:eastAsia="Times New Roman" w:hAnsi="Times New Roman"/>
                <w:sz w:val="23"/>
                <w:szCs w:val="23"/>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92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19,487</w:t>
            </w:r>
            <w:r>
              <w:rPr>
                <w:rFonts w:ascii="Times New Roman" w:cs="Times New Roman" w:eastAsia="Times New Roman" w:hAnsi="Times New Roman"/>
                <w:sz w:val="23"/>
                <w:szCs w:val="23"/>
                <w:color w:val="auto"/>
                <w:vertAlign w:val="subscript"/>
              </w:rPr>
              <w:t>​​ ​</w:t>
            </w:r>
          </w:p>
        </w:tc>
        <w:tc>
          <w:tcPr>
            <w:tcW w:w="120" w:type="dxa"/>
            <w:vAlign w:val="bottom"/>
          </w:tcPr>
          <w:p>
            <w:pPr>
              <w:spacing w:after="0"/>
              <w:rPr>
                <w:sz w:val="18"/>
                <w:szCs w:val="18"/>
                <w:color w:val="auto"/>
              </w:rPr>
            </w:pPr>
          </w:p>
        </w:tc>
        <w:tc>
          <w:tcPr>
            <w:tcW w:w="600" w:type="dxa"/>
            <w:vAlign w:val="bottom"/>
            <w:gridSpan w:val="5"/>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17,306</w:t>
            </w:r>
            <w:r>
              <w:rPr>
                <w:rFonts w:ascii="Times New Roman" w:cs="Times New Roman" w:eastAsia="Times New Roman" w:hAnsi="Times New Roman"/>
                <w:sz w:val="23"/>
                <w:szCs w:val="23"/>
                <w:color w:val="auto"/>
                <w:vertAlign w:val="subscript"/>
              </w:rPr>
              <w:t>​</w:t>
            </w:r>
          </w:p>
        </w:tc>
      </w:tr>
      <w:tr>
        <w:trPr>
          <w:trHeight w:val="20"/>
        </w:trPr>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34" w:lineRule="exact"/>
        <w:rPr>
          <w:sz w:val="20"/>
          <w:szCs w:val="20"/>
          <w:color w:val="auto"/>
        </w:rPr>
      </w:pPr>
    </w:p>
    <w:p>
      <w:pPr>
        <w:sectPr>
          <w:pgSz w:w="11900" w:h="16838" w:orient="portrait"/>
          <w:cols w:equalWidth="0" w:num="2">
            <w:col w:w="5520" w:space="720"/>
            <w:col w:w="2779"/>
          </w:cols>
          <w:pgMar w:left="1440" w:top="98" w:right="1440" w:bottom="1440" w:gutter="0" w:footer="0" w:header="0"/>
          <w:type w:val="continuous"/>
        </w:sect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On September 8, 2021, Zenas US entered into a lease agreement for office space in Waltham, Massachusetts (the “Waltham Lease”), commencing on March 1, 2022. The Waltham Lease was classified as an operating lease, and has a lease term of 3.3 years with total fixed payments of approximately $1.8 million over that period. Zenas US has an irrevocable letter of credit agreement for the benefit of its landlord for the Waltham Lease in the amount of $0.1 million.</w:t>
      </w:r>
    </w:p>
    <w:p>
      <w:pPr>
        <w:spacing w:after="0" w:line="10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On June 28, 2022, Zenas China entered into a lease agreement for office space in Shanghai, China (the “Shanghai Lease”), commencing on September 10, 2022. The Shanghai Lease has a lease term of 3.0 years with total fixed payments of $0.8 million over that period, and an option to extend the lease term for an additional three years.</w:t>
      </w:r>
    </w:p>
    <w:p>
      <w:pPr>
        <w:spacing w:after="0" w:line="89"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For each of the three months ended March 31, 2024 and 2023, the total lease cost for operating leases (recorded in general and administrative expenses in the Company’s condensed consolidated statements of operations and comprehensive loss) was $0.2 million.</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Maturities of the operating lease liabilities as of March 31, 2024 are as follows (in thousands):</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297"/>
        </w:trPr>
        <w:tc>
          <w:tcPr>
            <w:tcW w:w="5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760" w:type="dxa"/>
            <w:vAlign w:val="bottom"/>
            <w:gridSpan w:val="4"/>
          </w:tcPr>
          <w:p>
            <w:pP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Amount </w:t>
            </w:r>
            <w:r>
              <w:rPr>
                <w:rFonts w:ascii="Times New Roman" w:cs="Times New Roman" w:eastAsia="Times New Roman" w:hAnsi="Times New Roman"/>
                <w:sz w:val="23"/>
                <w:szCs w:val="23"/>
                <w:b w:val="1"/>
                <w:bCs w:val="1"/>
                <w:color w:val="auto"/>
                <w:vertAlign w:val="subscript"/>
              </w:rPr>
              <w:t>​</w:t>
            </w:r>
          </w:p>
        </w:tc>
      </w:tr>
      <w:tr>
        <w:trPr>
          <w:trHeight w:val="20"/>
        </w:trPr>
        <w:tc>
          <w:tcPr>
            <w:tcW w:w="5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 (remaining nine months)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603​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36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435​ </w:t>
            </w:r>
            <w:r>
              <w:rPr>
                <w:rFonts w:ascii="Times New Roman" w:cs="Times New Roman" w:eastAsia="Times New Roman" w:hAnsi="Times New Roman"/>
                <w:sz w:val="25"/>
                <w:szCs w:val="25"/>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future minimum lease payments</w:t>
            </w: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1,038​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5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Less: imputed interest</w:t>
            </w:r>
          </w:p>
        </w:tc>
        <w:tc>
          <w:tcPr>
            <w:tcW w:w="36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(389)</w:t>
            </w:r>
            <w:r>
              <w:rPr>
                <w:rFonts w:ascii="Times New Roman" w:cs="Times New Roman" w:eastAsia="Times New Roman" w:hAnsi="Times New Roman"/>
                <w:sz w:val="25"/>
                <w:szCs w:val="25"/>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lease liabilities</w:t>
            </w:r>
          </w:p>
        </w:tc>
        <w:tc>
          <w:tcPr>
            <w:tcW w:w="360" w:type="dxa"/>
            <w:vAlign w:val="bottom"/>
            <w:gridSpan w:val="2"/>
            <w:shd w:val="clear" w:color="auto" w:fill="CCEEFF"/>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649​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89953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89953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-732155</wp:posOffset>
            </wp:positionV>
            <wp:extent cx="11176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7. Collaboration Revenue</w:t>
      </w:r>
    </w:p>
    <w:p>
      <w:pPr>
        <w:spacing w:after="0" w:line="126"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In August 2023, the Company entered into a license agreement with Bristol-Myers Squibb (the “BMS Agreement”),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 The details of the BMS Agreement are further described in Note 8, “Collaboration Revenue,” in the audited consolidated financial statements for the years ended December 31, 2023 and 2022, included elsewhere in this prospectus. Since the</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48" w:name="page249"/>
    <w:bookmarkEnd w:id="24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7. Collaboration Revenue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date of the audited consolidated financial statements for the years ended December 31, 2023 and 2022, there have been no changes to the BMS Agreement.</w:t>
      </w:r>
    </w:p>
    <w:p>
      <w:pPr>
        <w:spacing w:after="0" w:line="86"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Pursuant to the BMS Agreement, BMS paid the Company a one-time non-refundable upfront cash payment of $50.0 million, which was determined to be the transaction price. The Company is entitled to receive further separate development, regulatory, and sales milestone payments from BMS of up to approximately $149.5 million if certain milestones are successfully achieved. The Company is also eligible to receive tiered high single-digit to low double-digit royalties on net sales in the BMS Territory, subject to specified reductions. As of March 31, 2024, no milestones were achieved or deemed probable of achievement, and as such, all remaining milestones remained fully constrained and excluded from the transaction price.</w:t>
      </w:r>
    </w:p>
    <w:p>
      <w:pPr>
        <w:spacing w:after="0" w:line="104"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The Company and BMS collaborate on the performance of the ongoing Phase 3 clinical study of obexelimab in the IgG4-RD indication.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The global development activities under the agreement do not represent a transaction with a customer and reimbursement payments received by the Company for global development activities are accounted for as a reduction of the related research and development expenses. The Company recorded $1.0 million as a reduction to research and development expense during the three months ended March 31, 2024, with a $1.0 million receivable included in prepaid expenses and other current assets on the Company’s condensed consolidated balance sheet as of March 31, 2024.</w:t>
      </w:r>
    </w:p>
    <w:p>
      <w:pPr>
        <w:spacing w:after="0" w:line="9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 satisfied the performance obligation through delivery of the license and initial technology transfer prior to December 31, 2023 and recognized the upfront payment of $50.0 million as revenue during the year ended December 31, 2023. The Company recognized no revenue during each of the three months ended March 31, 2024 and 2023.</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License and Option Agreements</w:t>
      </w:r>
    </w:p>
    <w:p>
      <w:pPr>
        <w:spacing w:after="0" w:line="126"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Prior to 2024, the Company entered into license and option agreements with various companies in the biotechnology and life sciences industry to in-license certain technologies for the Company’s use. The Company’s agreements are disclosed in Note 9, “License and Option Agreements,” in the audited consolidated financial statements for the years ended December 31, 2023 and 2022, included elsewhere in this prospectus. Since the date of the audited consolidated financial statements for the years ended December 31, 2023 and 2022, there have been no changes to these agreements.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Xencor, Inc.</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2020 Xencor Agreement</w:t>
      </w:r>
    </w:p>
    <w:p>
      <w:pPr>
        <w:spacing w:after="0" w:line="126"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In September 2020, the Company entered into the 2020 Xencor Agreement, under which the Company is obligated to reimburse Xencor for third-party costs incurred for certain patent filings, prosecution and maintenance as further specified in the 2020 Xencor Agreement. During each of the three months ended March 31, 2024 and 2023, the Company incurred immaterial reimbursable costs, which are included in general and administrative expenses in the condensed consolidated statements of operations and comprehensive loss. Costs incurred during the period pertained to the development of ZB002.</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2021 Xencor Agreement</w:t>
      </w:r>
    </w:p>
    <w:p>
      <w:pPr>
        <w:spacing w:after="0" w:line="115"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In May 2021, the Company entered into the 2021 Xencor Agreement, through which they obtained an exclusive, royalty-bearing, sublicensable worldwide license to research, develop, manufacture, market and sell obexelimab. In April 2023, the Company incurred a $10.0 million development milestone pursuant to the 2021</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9" w:name="page250"/>
    <w:bookmarkEnd w:id="24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License and Option Agreements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Xencor Agreement, which Xencor elected to receive in the form of the Company’s Series B convertible preferred stock (“Series B Preferred Stock). See Note 9, “Convertible Preferred Stock,” for details.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Dianthus Therapeutics Inc.</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September 2020, the Company entered into the Dianthus Option Agreement, under which Dianthus will notify the Company when it has identified each of two antibody product candidates, and the Company will then have sixty (60) days to notify Dianthus if the Company intends to exercise each of the options. In October 2021, the Company notified Dianthus of its intention to exercise its option to ZB005 (also known as DNTH103). As of March 31, 2024, Dianthus had not notified the Company of its identification of the second antibody product candidate.</w:t>
      </w:r>
    </w:p>
    <w:p>
      <w:pPr>
        <w:spacing w:after="0" w:line="99"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During the three months ended March 31, 2024 and 2023, the Company incurred $1.0 million and $0.8 million of reimbursable expenses, respectively, which are recorded within research and development expenses in the condensed consolidated statements of operations and comprehensive loss. Of these amounts, $0.2 million and $0.7 million were recorded in accounts payable and accrued expenses, respectively, on the Company’s condensed consolidated balance sheet as of March 31, 2024. As of December 31, 2023, less than $0.1 million and $0.4 million were recorded in accounts payable and accrued expenses, respectively, on the Company’s consolidated balance sheet.</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Viridian Therapeutics, Inc.</w:t>
      </w:r>
    </w:p>
    <w:p>
      <w:pPr>
        <w:spacing w:after="0" w:line="117"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In October 2020, the Company entered into the Viridian Agreement to obtain an exclusive, royalty-bearing, sublicensable license to research, develop, manufacture, market and sell certain antibody product candidates based on Viridian’s proprietary technology. The Company’s license rights are limited to non- oncology indications and are limited to China, Hong Kong, Macau and Taiwan (the “Zenas Territories”). Viridian retains its rights to develop and commercialize such product candidates outside of the Zenas Territories. The Company is obligated to make development milestone payments to Viridian, totaling up to $12.0 million, based on achievement of each of the specified milestone events. During each of the three months ended March 31, 2024 and 2023, the Company incurred and paid no milestones to Viridian. As of March 31, 2024, Viridian had not notified the Company of any additional antibody product candidate.</w:t>
      </w:r>
    </w:p>
    <w:p>
      <w:pPr>
        <w:spacing w:after="0" w:line="98"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During the three months ended March 31, 2024 and 2023, the Company recognized no expense and $0.1 million of expense, respectively, related to amounts reimbursed to Viridian for manufacturing activities, which were recorded in research and development expenses in the condensed consolidated statement of operations. As of March 31, 2024, there were no related amounts recorded in accounts payable or accrued expenses on the Company’s condensed consolidated balance sheet. As of December 31, 2023, less than $0.1 million was included in accrued expenses and no amount was included in accounts payable on the Company’s consolidated balance sheet.</w:t>
      </w:r>
    </w:p>
    <w:p>
      <w:pPr>
        <w:spacing w:after="0" w:line="99"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In January 2024, the Company entered into a Letter of Agreement (“LOA”) with Viridian to perform certain research and development activities, pursuant to which Viridian paid the Company $1.5 million, which is classified as an other current liability as of March 31, 2024. No amounts have been recognized related to this letter agreement as of March 31, 2024.</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Convertible Preferred Stock</w:t>
      </w:r>
    </w:p>
    <w:p>
      <w:pPr>
        <w:spacing w:after="0" w:line="126"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In September 2020, the Company issued and sold 1,785,714 shares of Series Seed convertible preferred stock (“Series Seed Preferred Stock”) in a private financing transaction, at a purchase price of $0.56 per share, for total net cash proceeds of $1.0 million.</w:t>
      </w:r>
    </w:p>
    <w:p>
      <w:pPr>
        <w:spacing w:after="0" w:line="9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In November 2020, the Company issued 5,041,542 shares of Series A convertible preferred stock (“Series A Preferred Stock”) to Xencor as initial consideration for the 2020 Xencor Agreement. Also in November 2020,</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0" w:name="page251"/>
    <w:bookmarkEnd w:id="25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Convertible Preferred Stock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issued and sold 12,547,838 shares of Series A Preferred Stock in a private financing transaction, at a purchase price of $3.1878 per share, for total net cash proceeds of $39.9 million.</w:t>
      </w:r>
    </w:p>
    <w:p>
      <w:pPr>
        <w:spacing w:after="0" w:line="75"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November 2022, the Company issued and sold 25,139,732 shares of Series B Preferred Stock in a private financing transaction, at a purchase price of $2.38666 per share, for total net cash proceeds of $59.4 million. Concurrent with the issuance and sale of the Series B Preferred Stock, which was deemed to be a qualified financing as defined in the convertible note agreement and resulted in the principal plus accrued interest being automatically converted into Series B Preferred Stock, the outstanding convertible notes were exchanged for 37,471,107 shares of Series B Preferred Stock. At the same time, the Xencor Warrant, which was issued as initial consideration for the 2021 Xencor Agreement, was deemed exercised for 14,441,793 shares of Series B Preferred Stock.</w:t>
      </w:r>
    </w:p>
    <w:p>
      <w:pPr>
        <w:spacing w:after="0" w:line="99"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In April 2023, the Company incurred a $10.0 million development milestone pursuant to the 2021 Xencor Agreement. Xencor elected to receive payment in the form of the Company’s Series B Preferred Stock and the Company issued 4,189,955 shares of Series B Preferred Stock as payment for the development milestone in June 2023.</w:t>
      </w:r>
    </w:p>
    <w:p>
      <w:pPr>
        <w:spacing w:after="0" w:line="95"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Upon the issuance of Series Seed, Series A and Series B Preferred Stock (collectively “Preferred Stock”), the Company assessed the embedded conversion and liquidation features of the shares and determined that such features did not require the Company to separately account for these features.</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Preferred Stock consisted of the following (in thousands, except share amounts):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tcPr>
          <w:p>
            <w:pPr>
              <w:ind w:left="11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1"/>
              </w:rPr>
              <w:t>Preferred</w:t>
            </w:r>
          </w:p>
        </w:tc>
        <w:tc>
          <w:tcPr>
            <w:tcW w:w="180" w:type="dxa"/>
            <w:vAlign w:val="bottom"/>
          </w:tcPr>
          <w:p>
            <w:pPr>
              <w:spacing w:after="0"/>
              <w:rPr>
                <w:sz w:val="11"/>
                <w:szCs w:val="11"/>
                <w:color w:val="auto"/>
              </w:rPr>
            </w:pP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
              <w:spacing w:after="0" w:line="137" w:lineRule="exact"/>
              <w:rPr>
                <w:sz w:val="20"/>
                <w:szCs w:val="20"/>
                <w:color w:val="auto"/>
              </w:rPr>
            </w:pPr>
            <w:r>
              <w:rPr>
                <w:rFonts w:ascii="Times New Roman" w:cs="Times New Roman" w:eastAsia="Times New Roman" w:hAnsi="Times New Roman"/>
                <w:sz w:val="12"/>
                <w:szCs w:val="12"/>
                <w:b w:val="1"/>
                <w:bCs w:val="1"/>
                <w:color w:val="auto"/>
                <w:w w:val="93"/>
              </w:rPr>
              <w:t>Common Stock</w:t>
            </w:r>
          </w:p>
        </w:tc>
      </w:tr>
      <w:tr>
        <w:trPr>
          <w:trHeight w:val="132"/>
        </w:trPr>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Stock</w:t>
            </w:r>
          </w:p>
        </w:tc>
        <w:tc>
          <w:tcPr>
            <w:tcW w:w="18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Issued and</w:t>
            </w:r>
          </w:p>
        </w:tc>
        <w:tc>
          <w:tcPr>
            <w:tcW w:w="180" w:type="dxa"/>
            <w:vAlign w:val="bottom"/>
          </w:tcPr>
          <w:p>
            <w:pPr>
              <w:spacing w:after="0"/>
              <w:rPr>
                <w:sz w:val="11"/>
                <w:szCs w:val="11"/>
                <w:color w:val="auto"/>
              </w:rPr>
            </w:pPr>
          </w:p>
        </w:tc>
        <w:tc>
          <w:tcPr>
            <w:tcW w:w="6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Carrying</w:t>
            </w:r>
          </w:p>
        </w:tc>
        <w:tc>
          <w:tcPr>
            <w:tcW w:w="180" w:type="dxa"/>
            <w:vAlign w:val="bottom"/>
          </w:tcPr>
          <w:p>
            <w:pPr>
              <w:spacing w:after="0"/>
              <w:rPr>
                <w:sz w:val="11"/>
                <w:szCs w:val="11"/>
                <w:color w:val="auto"/>
              </w:rPr>
            </w:pP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80" w:type="dxa"/>
            <w:vAlign w:val="bottom"/>
          </w:tcPr>
          <w:p>
            <w:pPr>
              <w:spacing w:after="0"/>
              <w:rPr>
                <w:sz w:val="11"/>
                <w:szCs w:val="11"/>
                <w:color w:val="auto"/>
              </w:rPr>
            </w:pPr>
          </w:p>
        </w:tc>
        <w:tc>
          <w:tcPr>
            <w:tcW w:w="820" w:type="dxa"/>
            <w:vAlign w:val="bottom"/>
            <w:gridSpan w:val="2"/>
          </w:tcPr>
          <w:p>
            <w:pPr>
              <w:jc w:val="right"/>
              <w:ind w:right="41"/>
              <w:spacing w:after="0" w:line="132" w:lineRule="exact"/>
              <w:rPr>
                <w:sz w:val="20"/>
                <w:szCs w:val="20"/>
                <w:color w:val="auto"/>
              </w:rPr>
            </w:pPr>
            <w:r>
              <w:rPr>
                <w:rFonts w:ascii="Times New Roman" w:cs="Times New Roman" w:eastAsia="Times New Roman" w:hAnsi="Times New Roman"/>
                <w:sz w:val="12"/>
                <w:szCs w:val="12"/>
                <w:b w:val="1"/>
                <w:bCs w:val="1"/>
                <w:color w:val="auto"/>
                <w:w w:val="95"/>
              </w:rPr>
              <w:t>Issuable Upon</w:t>
            </w:r>
          </w:p>
        </w:tc>
      </w:tr>
      <w:tr>
        <w:trPr>
          <w:trHeight w:val="173"/>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tcPr>
          <w:p>
            <w:pPr>
              <w:ind w:left="114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Authorized</w:t>
            </w:r>
          </w:p>
        </w:tc>
        <w:tc>
          <w:tcPr>
            <w:tcW w:w="9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Outstanding</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100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Conversion  </w:t>
            </w:r>
            <w:r>
              <w:rPr>
                <w:rFonts w:ascii="Times New Roman" w:cs="Times New Roman" w:eastAsia="Times New Roman" w:hAnsi="Times New Roman"/>
                <w:sz w:val="20"/>
                <w:szCs w:val="20"/>
                <w:b w:val="1"/>
                <w:bCs w:val="1"/>
                <w:color w:val="auto"/>
                <w:vertAlign w:val="subscript"/>
              </w:rPr>
              <w:t>​</w:t>
            </w:r>
          </w:p>
        </w:tc>
      </w:tr>
      <w:tr>
        <w:trPr>
          <w:trHeight w:val="20"/>
        </w:trPr>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Seed Preferred Stock</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1,785,714​​</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0"/>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17,589,380​​</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17,589,380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56,071​​</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17,589,380</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81,242,587</w:t>
            </w:r>
            <w:r>
              <w:rPr>
                <w:rFonts w:ascii="Times New Roman" w:cs="Times New Roman" w:eastAsia="Times New Roman" w:hAnsi="Times New Roman"/>
                <w:sz w:val="25"/>
                <w:szCs w:val="25"/>
                <w:color w:val="auto"/>
                <w:vertAlign w:val="subscript"/>
              </w:rPr>
              <w:t>​​</w:t>
            </w:r>
          </w:p>
        </w:tc>
        <w:tc>
          <w:tcPr>
            <w:tcW w:w="860" w:type="dxa"/>
            <w:vAlign w:val="bottom"/>
            <w:tcBorders>
              <w:right w:val="single" w:sz="8" w:color="CCEEFF"/>
            </w:tcBorders>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81,242,587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193,290</w:t>
            </w:r>
            <w:r>
              <w:rPr>
                <w:rFonts w:ascii="Times New Roman" w:cs="Times New Roman" w:eastAsia="Times New Roman" w:hAnsi="Times New Roman"/>
                <w:sz w:val="25"/>
                <w:szCs w:val="25"/>
                <w:color w:val="auto"/>
                <w:vertAlign w:val="subscript"/>
              </w:rPr>
              <w:t>​​</w:t>
            </w:r>
          </w:p>
        </w:tc>
        <w:tc>
          <w:tcPr>
            <w:tcW w:w="820" w:type="dxa"/>
            <w:vAlign w:val="bottom"/>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193,898</w:t>
            </w:r>
            <w:r>
              <w:rPr>
                <w:rFonts w:ascii="Times New Roman" w:cs="Times New Roman" w:eastAsia="Times New Roman" w:hAnsi="Times New Roman"/>
                <w:sz w:val="25"/>
                <w:szCs w:val="25"/>
                <w:color w:val="auto"/>
                <w:vertAlign w:val="subscript"/>
              </w:rPr>
              <w:t>​​</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81,242,587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color w:val="auto"/>
                <w:vertAlign w:val="subscript"/>
              </w:rPr>
              <w:t>​​</w:t>
            </w:r>
          </w:p>
        </w:tc>
        <w:tc>
          <w:tcPr>
            <w:tcW w:w="86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250,086</w:t>
            </w:r>
            <w:r>
              <w:rPr>
                <w:rFonts w:ascii="Times New Roman" w:cs="Times New Roman" w:eastAsia="Times New Roman" w:hAnsi="Times New Roman"/>
                <w:sz w:val="23"/>
                <w:szCs w:val="23"/>
                <w:color w:val="auto"/>
                <w:vertAlign w:val="subscript"/>
              </w:rPr>
              <w:t>​​</w:t>
            </w:r>
          </w:p>
        </w:tc>
        <w:tc>
          <w:tcPr>
            <w:tcW w:w="82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250,969</w:t>
            </w:r>
            <w:r>
              <w:rPr>
                <w:rFonts w:ascii="Times New Roman" w:cs="Times New Roman" w:eastAsia="Times New Roman" w:hAnsi="Times New Roman"/>
                <w:sz w:val="23"/>
                <w:szCs w:val="23"/>
                <w:color w:val="auto"/>
                <w:vertAlign w:val="subscript"/>
              </w:rPr>
              <w:t>​​</w:t>
            </w:r>
          </w:p>
        </w:tc>
        <w:tc>
          <w:tcPr>
            <w:tcW w:w="88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b w:val="1"/>
                <w:bCs w:val="1"/>
                <w:color w:val="auto"/>
                <w:vertAlign w:val="subscript"/>
              </w:rPr>
              <w:t>​</w:t>
            </w: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w w:val="92"/>
              </w:rPr>
              <w:t>March 31, 2024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2"/>
                <w:szCs w:val="12"/>
                <w:b w:val="1"/>
                <w:bCs w:val="1"/>
                <w:color w:val="auto"/>
                <w:w w:val="91"/>
              </w:rPr>
              <w:t>Preferred</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w w:val="83"/>
              </w:rPr>
              <w:t>Preferred Stock</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6"/>
              </w:rPr>
              <w:t>Common Stock</w:t>
            </w:r>
          </w:p>
        </w:tc>
        <w:tc>
          <w:tcPr>
            <w:tcW w:w="60" w:type="dxa"/>
            <w:vAlign w:val="bottom"/>
          </w:tcPr>
          <w:p>
            <w:pPr>
              <w:spacing w:after="0"/>
              <w:rPr>
                <w:sz w:val="11"/>
                <w:szCs w:val="11"/>
                <w:color w:val="auto"/>
              </w:rPr>
            </w:pPr>
          </w:p>
        </w:tc>
      </w:tr>
      <w:tr>
        <w:trPr>
          <w:trHeight w:val="132"/>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0"/>
              </w:rPr>
              <w:t>Stock</w:t>
            </w:r>
          </w:p>
        </w:tc>
        <w:tc>
          <w:tcPr>
            <w:tcW w:w="140" w:type="dxa"/>
            <w:vAlign w:val="bottom"/>
          </w:tcPr>
          <w:p>
            <w:pPr>
              <w:spacing w:after="0"/>
              <w:rPr>
                <w:sz w:val="11"/>
                <w:szCs w:val="11"/>
                <w:color w:val="auto"/>
              </w:rPr>
            </w:pPr>
          </w:p>
        </w:tc>
        <w:tc>
          <w:tcPr>
            <w:tcW w:w="720" w:type="dxa"/>
            <w:vAlign w:val="bottom"/>
          </w:tcPr>
          <w:p>
            <w:pPr>
              <w:jc w:val="right"/>
              <w:ind w:right="76"/>
              <w:spacing w:after="0" w:line="132" w:lineRule="exact"/>
              <w:rPr>
                <w:sz w:val="20"/>
                <w:szCs w:val="20"/>
                <w:color w:val="auto"/>
              </w:rPr>
            </w:pPr>
            <w:r>
              <w:rPr>
                <w:rFonts w:ascii="Times New Roman" w:cs="Times New Roman" w:eastAsia="Times New Roman" w:hAnsi="Times New Roman"/>
                <w:sz w:val="12"/>
                <w:szCs w:val="12"/>
                <w:b w:val="1"/>
                <w:bCs w:val="1"/>
                <w:color w:val="auto"/>
              </w:rPr>
              <w:t>Issued and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Carrying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Issuable Upon</w:t>
            </w:r>
          </w:p>
        </w:tc>
        <w:tc>
          <w:tcPr>
            <w:tcW w:w="60" w:type="dxa"/>
            <w:vAlign w:val="bottom"/>
          </w:tcPr>
          <w:p>
            <w:pPr>
              <w:spacing w:after="0"/>
              <w:rPr>
                <w:sz w:val="11"/>
                <w:szCs w:val="11"/>
                <w:color w:val="auto"/>
              </w:rPr>
            </w:pPr>
          </w:p>
        </w:tc>
      </w:tr>
      <w:tr>
        <w:trPr>
          <w:trHeight w:val="173"/>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Authorized  </w:t>
            </w:r>
            <w:r>
              <w:rPr>
                <w:rFonts w:ascii="Times New Roman" w:cs="Times New Roman" w:eastAsia="Times New Roman" w:hAnsi="Times New Roman"/>
                <w:sz w:val="20"/>
                <w:szCs w:val="20"/>
                <w:b w:val="1"/>
                <w:bCs w:val="1"/>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2"/>
                <w:szCs w:val="12"/>
                <w:b w:val="1"/>
                <w:bCs w:val="1"/>
                <w:color w:val="auto"/>
                <w:w w:val="93"/>
              </w:rPr>
              <w:t>Outstanding</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ind w:right="9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Conversion</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0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Seed Preferred Stock</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1,785,714​​</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17,589,380​​</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17,589,380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56,071​​</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17,589,380</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81,242,587</w:t>
            </w:r>
            <w:r>
              <w:rPr>
                <w:rFonts w:ascii="Times New Roman" w:cs="Times New Roman" w:eastAsia="Times New Roman" w:hAnsi="Times New Roman"/>
                <w:sz w:val="25"/>
                <w:szCs w:val="25"/>
                <w:color w:val="auto"/>
                <w:vertAlign w:val="subscript"/>
              </w:rPr>
              <w:t>​​</w:t>
            </w:r>
          </w:p>
        </w:tc>
        <w:tc>
          <w:tcPr>
            <w:tcW w:w="860" w:type="dxa"/>
            <w:vAlign w:val="bottom"/>
            <w:tcBorders>
              <w:right w:val="single" w:sz="8" w:color="CCEEFF"/>
            </w:tcBorders>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81,242,587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193,290</w:t>
            </w:r>
            <w:r>
              <w:rPr>
                <w:rFonts w:ascii="Times New Roman" w:cs="Times New Roman" w:eastAsia="Times New Roman" w:hAnsi="Times New Roman"/>
                <w:sz w:val="25"/>
                <w:szCs w:val="25"/>
                <w:color w:val="auto"/>
                <w:vertAlign w:val="subscript"/>
              </w:rPr>
              <w:t>​​</w:t>
            </w:r>
          </w:p>
        </w:tc>
        <w:tc>
          <w:tcPr>
            <w:tcW w:w="820" w:type="dxa"/>
            <w:vAlign w:val="bottom"/>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193,898</w:t>
            </w:r>
            <w:r>
              <w:rPr>
                <w:rFonts w:ascii="Times New Roman" w:cs="Times New Roman" w:eastAsia="Times New Roman" w:hAnsi="Times New Roman"/>
                <w:sz w:val="25"/>
                <w:szCs w:val="25"/>
                <w:color w:val="auto"/>
                <w:vertAlign w:val="subscript"/>
              </w:rPr>
              <w:t>​​</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81,242,587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color w:val="auto"/>
                <w:vertAlign w:val="subscript"/>
              </w:rPr>
              <w:t>​​</w:t>
            </w:r>
          </w:p>
        </w:tc>
        <w:tc>
          <w:tcPr>
            <w:tcW w:w="86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250,086</w:t>
            </w:r>
            <w:r>
              <w:rPr>
                <w:rFonts w:ascii="Times New Roman" w:cs="Times New Roman" w:eastAsia="Times New Roman" w:hAnsi="Times New Roman"/>
                <w:sz w:val="23"/>
                <w:szCs w:val="23"/>
                <w:color w:val="auto"/>
                <w:vertAlign w:val="subscript"/>
              </w:rPr>
              <w:t>​​</w:t>
            </w:r>
          </w:p>
        </w:tc>
        <w:tc>
          <w:tcPr>
            <w:tcW w:w="82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250,969</w:t>
            </w:r>
            <w:r>
              <w:rPr>
                <w:rFonts w:ascii="Times New Roman" w:cs="Times New Roman" w:eastAsia="Times New Roman" w:hAnsi="Times New Roman"/>
                <w:sz w:val="23"/>
                <w:szCs w:val="23"/>
                <w:color w:val="auto"/>
                <w:vertAlign w:val="subscript"/>
              </w:rPr>
              <w:t>​​</w:t>
            </w:r>
          </w:p>
        </w:tc>
        <w:tc>
          <w:tcPr>
            <w:tcW w:w="88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b w:val="1"/>
                <w:bCs w:val="1"/>
                <w:color w:val="auto"/>
                <w:vertAlign w:val="subscript"/>
              </w:rPr>
              <w:t>​</w:t>
            </w: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-1290320</wp:posOffset>
            </wp:positionV>
            <wp:extent cx="1397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-173990</wp:posOffset>
            </wp:positionV>
            <wp:extent cx="13970"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-585470</wp:posOffset>
            </wp:positionV>
            <wp:extent cx="111760"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-585470</wp:posOffset>
            </wp:positionV>
            <wp:extent cx="11176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-585470</wp:posOffset>
            </wp:positionV>
            <wp:extent cx="11176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099945"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099945"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holders of preferred stock have the following rights, preferences and privileges: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Voting</w:t>
      </w:r>
    </w:p>
    <w:p>
      <w:pPr>
        <w:spacing w:after="0" w:line="12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holder of each share of Preferred Stock is entitled to one vote for each share of common stock into which it would convert and to vote with the common stock on all matters.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Conversion</w:t>
      </w:r>
    </w:p>
    <w:p>
      <w:pPr>
        <w:spacing w:after="0" w:line="126"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Each share of convertible preferred stock shall be automatically converted into a share of common stock, upon affirmative vote of majority of the holders of each series or upon the closing of an initial public offering</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1" w:name="page252"/>
    <w:bookmarkEnd w:id="25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Convertible Preferred Stock (Continued)</w:t>
      </w:r>
    </w:p>
    <w:p>
      <w:pPr>
        <w:spacing w:after="0" w:line="18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of the Company’s common stock which results in a specified minimum amount of gross cash proceeds. The conversion ratio is initially one share of common stock for each share of convertible preferred stock and shall be adjusted in the event of a split or reverse split of the Company’s common stock, an issuance or declaration of dividends to holders of the Company’s common stock, a reorganization or merger transaction, or certain issuances of shares of common stock which are dilutive to holders of the Company’s preferred stock. Holders of preferred stock have the right to one vote for each share of the Company’s common stock into which such holder’s shares of preferred stock could then convert.</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15"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Holders of Series B Preferred Stock will be entitled to receive dividends, only when, as and if declared by the Board, at the annual rate of 6% of the Series B Preferred Stock issue price, payable in preference to and satisfied before any dividend or distribution on any other class or series of the Company’s shares (except for certain exempted distributions). If any assets or funds remain after dividends have been distributed to holders of Series B Preferred Stock, holders of Series A Preferred Stock will be entitled to receive dividends, only when, as and if declared by the Board, at the annual rate of 6% of the Series A issue price, payable in preference to and satisfied before any dividend or distribution on any other class or series of the Company’s shares (except for certain exempted distributions). If any assets or funds remain after dividends have been distributed to holders of Series A Preferred Stock, holders of Series Seed Preferred Stock will be entitled to receive dividends, only when, as and if declared by the Board, at the annual rate of 6% of the Series Seed issue price, payable in preference to and satisfied before any dividend or distribution on any other class or series of the Company’s shares (except for certain exempted distributions). The right to receive dividends on shares of all series of preferred stock is not cumulative, and no such right accrues to holders of such shares. There have been no dividends declared or paid as of March 31, 2024.</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Liquidation Preference</w:t>
      </w:r>
    </w:p>
    <w:p>
      <w:pPr>
        <w:spacing w:after="0" w:line="126"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In the event of a voluntary or involuntary liquidation, dissolution or winding up of the Company or a deemed liquidation event, holders of Series B Preferred Stock prior and in preference to any distribution to holders of Series A Preferred Stock, Series Seed Preferred Stock and common shares, would be entitled to be paid the issue price they originally paid to acquire their shares, plus any declared but unpaid dividends. After full payment to holders of Series B Preferred Stock, holders of Series A Preferred Stock prior and in preference to any distribution to holders of Series Seed Preferred Stock and common shares, would be entitled to be paid the issue price they originally paid to acquire their shares, plus any declared and unpaid dividends. After full payment to holders of Series B Preferred Stock and Series A Preferred Stock, holders of Series Seed Preferred Stock prior and in preference to any distribution to holders of common shares, would be entitled to be paid the issue price they originally paid to acquire their shares, plus any declared and unpaid dividends. Any remaining amounts after payment to holders of preferred stock, would be paid to holders of common shares. A deemed liquidation event is defined (in the Company’s Third Amended Articles of Association) as any consolidation, amalgamation, scheme of arrangement or merger of the Company (and any of its subsidiaries) or other reorganization resulting in loss of more than 50% voting power; the sale, transfer, lease or other disposition of all or substantially all of the Company’s assets; or the exclusive licensing of all or substantially all of the Company’s intellectual property.</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Redemption</w:t>
      </w:r>
    </w:p>
    <w:p>
      <w:pPr>
        <w:spacing w:after="0" w:line="115"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Preferred Stock does not have redemption rights, except for the contingent redemption upon the occurrence of a Liquidation Event.</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Common Stock</w:t>
      </w:r>
    </w:p>
    <w:p>
      <w:pPr>
        <w:spacing w:after="0" w:line="12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In August 2023, all outstanding shares of ordinary stock of Zenas Cayman were exchanged for shares of common stock upon the Redomicile and incorporation in the State of Delaware as Zenas BioPharma, Inc.</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2" w:name="page253"/>
    <w:bookmarkEnd w:id="25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Common Stock (Continued)</w:t>
      </w:r>
    </w:p>
    <w:p>
      <w:pPr>
        <w:spacing w:after="0" w:line="18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 was authorized to issue 175,000,000 shares of $0.0001 par value common stock as of March 31, 2024 and December 31, 2023. The voting, dividend and liquidation rights of the holders of the Company’s common stock are subject to and qualified by the rights, powers and preference of the holders of the preferred stock set forth above.</w:t>
      </w:r>
    </w:p>
    <w:p>
      <w:pPr>
        <w:spacing w:after="0" w:line="100"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 holders of the common stock are entitled to one vote for each share of common stock held at all meetings of stockholders (and written actions in lieu of meetings), and there are not any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convertible preferred stock.</w:t>
      </w:r>
    </w:p>
    <w:p>
      <w:pPr>
        <w:spacing w:after="0" w:line="10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had reserved the following shares of common stock for the potential conversion of outstanding convertible preferred stock and exercise of stock options: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outstanding shares of convertible preferred stock</w:t>
            </w:r>
          </w:p>
        </w:tc>
        <w:tc>
          <w:tcPr>
            <w:tcW w:w="18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​​100,617,681​​ ​​100,617,681</w:t>
            </w:r>
          </w:p>
        </w:tc>
        <w:tc>
          <w:tcPr>
            <w:tcW w:w="2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Options to purchase common stock</w:t>
            </w:r>
          </w:p>
        </w:tc>
        <w:tc>
          <w:tcPr>
            <w:tcW w:w="1880" w:type="dxa"/>
            <w:vAlign w:val="bottom"/>
            <w:gridSpan w:val="8"/>
          </w:tcPr>
          <w:p>
            <w:pPr>
              <w:jc w:val="right"/>
              <w:spacing w:after="0"/>
              <w:rPr>
                <w:sz w:val="20"/>
                <w:szCs w:val="20"/>
                <w:color w:val="auto"/>
              </w:rPr>
            </w:pPr>
            <w:r>
              <w:rPr>
                <w:rFonts w:ascii="Times New Roman" w:cs="Times New Roman" w:eastAsia="Times New Roman" w:hAnsi="Times New Roman"/>
                <w:sz w:val="15"/>
                <w:szCs w:val="15"/>
                <w:color w:val="auto"/>
              </w:rPr>
              <w:t>​ ​​ 20,867,081​​ ​​ 20,691,247​</w:t>
            </w:r>
          </w:p>
        </w:tc>
      </w:tr>
      <w:tr>
        <w:trPr>
          <w:trHeight w:val="22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Remaining shares reserved for future issuance</w:t>
            </w:r>
          </w:p>
        </w:tc>
        <w:tc>
          <w:tcPr>
            <w:tcW w:w="260" w:type="dxa"/>
            <w:vAlign w:val="bottom"/>
            <w:gridSpan w:val="2"/>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1000" w:type="dxa"/>
            <w:vAlign w:val="bottom"/>
            <w:gridSpan w:val="3"/>
            <w:shd w:val="clear" w:color="auto" w:fill="CCEEFF"/>
          </w:tcPr>
          <w:p>
            <w:pPr>
              <w:ind w:left="180"/>
              <w:spacing w:after="0" w:line="220" w:lineRule="exact"/>
              <w:rPr>
                <w:sz w:val="20"/>
                <w:szCs w:val="20"/>
                <w:color w:val="auto"/>
              </w:rPr>
            </w:pPr>
            <w:r>
              <w:rPr>
                <w:rFonts w:ascii="Times New Roman" w:cs="Times New Roman" w:eastAsia="Times New Roman" w:hAnsi="Times New Roman"/>
                <w:sz w:val="13"/>
                <w:szCs w:val="13"/>
                <w:color w:val="auto"/>
              </w:rPr>
              <w:t>474,739</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4"/>
              </w:rPr>
              <w:t>527,876</w:t>
            </w:r>
          </w:p>
        </w:tc>
        <w:tc>
          <w:tcPr>
            <w:tcW w:w="2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4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880" w:type="dxa"/>
            <w:vAlign w:val="bottom"/>
            <w:gridSpan w:val="8"/>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​121,959,501</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​121,836,804</w:t>
            </w:r>
            <w:r>
              <w:rPr>
                <w:rFonts w:ascii="Times New Roman" w:cs="Times New Roman" w:eastAsia="Times New Roman" w:hAnsi="Times New Roman"/>
                <w:sz w:val="23"/>
                <w:szCs w:val="23"/>
                <w:color w:val="auto"/>
                <w:vertAlign w:val="subscript"/>
              </w:rPr>
              <w:t>​</w:t>
            </w: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376745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11. Stock-Based Compensation</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Plan</w:t>
      </w:r>
    </w:p>
    <w:p>
      <w:pPr>
        <w:spacing w:after="0" w:line="117"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On August 21, 2020, the Company’s sole director and member approved the 2020 Plan. The 2020 Plan initially allowed the Company to grant awards for up to 314,000 shares of the Company’s common stock. The 2020 Plan allows for grants of stock options, restricted stock awards (“RSAs”), restricted stock units, and other stock-based awards to employees, officers, directors and consultants of the Company and its subsidiaries. The exercise price per share of stock options granted under the 2020 Plan must be no less than the fair value of a share of the Company’s common stock on the grant date. If the Company’s common stock is traded on a national securities exchange, then fair value is based on the stock’s closing price as reported by that exchange. Otherwise, fair value is determined by the Board (or its Compensation Committee), consistent with the applicable rules of the U.S. Internal Revenue Code of 1986 (the “IRC”), or any successor statute.</w:t>
      </w:r>
    </w:p>
    <w:p>
      <w:pPr>
        <w:spacing w:after="0" w:line="28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Terms of stock award agreements, including vesting requirements, are determined by the Board, subject to the provisions of the 2020 Plan. The Company may grant stock awards to employees, non-employee consultants, and members of the Board, and all grantees must be providing services to the Company or its subsidiaries on the date of grant. Since inception of the 2020 Plan, the Company has granted RSAs and stock options. RSAs and stock options granted by the Company generally vest over four years, with 25% of the total shares granted vesting on the anniversary of the vesting commencement date and the remaining 75% vesting in equal monthly installments over the subsequent thirty-six (36) months.</w:t>
      </w:r>
    </w:p>
    <w:p>
      <w:pPr>
        <w:spacing w:after="0" w:line="104"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In August 2023, as part of the Redomicile, the 2020 Plan was transferred from Zenas Biopharma Cayman Limited to Zenas Biopharma, Inc and was renamed the Zenas BioPharma, Inc. 2020 Equity Incentive Plan. Upon the transfer, there was no legal modification to the outstanding RSAs and stock options, and no changes to any existing terms of the outstanding awards (exercise price, term, vesting, etc.).</w:t>
      </w:r>
    </w:p>
    <w:p>
      <w:pPr>
        <w:spacing w:after="0" w:line="89"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2020 Plan was subsequently amended by the Board and provided for the issuance of 22,232,224 shares of common stock as of March 31, 2024, of which 474,739 shares of common stock remain available for future grant under the 2020 Plan.</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3" w:name="page254"/>
    <w:bookmarkEnd w:id="25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11. Stock-Based Compensation (Continued)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Awards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following table presents a summary of the Company’s RSA activity and related information:</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c>
          <w:tcPr>
            <w:tcW w:w="40" w:type="dxa"/>
            <w:vAlign w:val="bottom"/>
          </w:tcPr>
          <w:p>
            <w:pPr>
              <w:spacing w:after="0"/>
              <w:rPr>
                <w:sz w:val="12"/>
                <w:szCs w:val="12"/>
                <w:color w:val="auto"/>
              </w:rPr>
            </w:pPr>
          </w:p>
        </w:tc>
      </w:tr>
      <w:tr>
        <w:trPr>
          <w:trHeight w:val="132"/>
        </w:trPr>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20" w:type="dxa"/>
            <w:vAlign w:val="bottom"/>
            <w:gridSpan w:val="5"/>
          </w:tcPr>
          <w:p>
            <w:pPr>
              <w:jc w:val="center"/>
              <w:ind w:right="20"/>
              <w:spacing w:after="0" w:line="132" w:lineRule="exact"/>
              <w:rPr>
                <w:sz w:val="20"/>
                <w:szCs w:val="20"/>
                <w:color w:val="auto"/>
              </w:rPr>
            </w:pPr>
            <w:r>
              <w:rPr>
                <w:rFonts w:ascii="Times New Roman" w:cs="Times New Roman" w:eastAsia="Times New Roman" w:hAnsi="Times New Roman"/>
                <w:sz w:val="12"/>
                <w:szCs w:val="12"/>
                <w:b w:val="1"/>
                <w:bCs w:val="1"/>
                <w:color w:val="auto"/>
                <w:w w:val="90"/>
              </w:rPr>
              <w:t>Grant-Date</w:t>
            </w:r>
          </w:p>
        </w:tc>
        <w:tc>
          <w:tcPr>
            <w:tcW w:w="40" w:type="dxa"/>
            <w:vAlign w:val="bottom"/>
          </w:tcPr>
          <w:p>
            <w:pPr>
              <w:spacing w:after="0"/>
              <w:rPr>
                <w:sz w:val="11"/>
                <w:szCs w:val="11"/>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5"/>
                <w:szCs w:val="15"/>
                <w:color w:val="auto"/>
              </w:rPr>
            </w:pPr>
          </w:p>
        </w:tc>
        <w:tc>
          <w:tcPr>
            <w:tcW w:w="68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0"/>
                <w:szCs w:val="20"/>
                <w:b w:val="1"/>
                <w:bCs w:val="1"/>
                <w:color w:val="auto"/>
                <w:vertAlign w:val="subscript"/>
              </w:rPr>
              <w:t>​ ​</w:t>
            </w: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December 31, 2023</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​​236,176​ ​​ ​</w:t>
            </w:r>
          </w:p>
        </w:tc>
        <w:tc>
          <w:tcPr>
            <w:tcW w:w="2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0.31​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8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Vested</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(19,624)​​ ​</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Repurchased</w:t>
            </w:r>
          </w:p>
        </w:tc>
        <w:tc>
          <w:tcPr>
            <w:tcW w:w="940" w:type="dxa"/>
            <w:vAlign w:val="bottom"/>
            <w:gridSpan w:val="4"/>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​(183,841)</w:t>
            </w:r>
            <w:r>
              <w:rPr>
                <w:rFonts w:ascii="Times New Roman" w:cs="Times New Roman" w:eastAsia="Times New Roman" w:hAnsi="Times New Roman"/>
                <w:sz w:val="25"/>
                <w:szCs w:val="25"/>
                <w:color w:val="auto"/>
                <w:vertAlign w:val="subscript"/>
              </w:rPr>
              <w:t>​​ ​</w:t>
            </w:r>
          </w:p>
        </w:tc>
        <w:tc>
          <w:tcPr>
            <w:tcW w:w="240" w:type="dxa"/>
            <w:vAlign w:val="bottom"/>
          </w:tcPr>
          <w:p>
            <w:pPr>
              <w:spacing w:after="0"/>
              <w:rPr>
                <w:sz w:val="19"/>
                <w:szCs w:val="19"/>
                <w:color w:val="auto"/>
              </w:rPr>
            </w:pPr>
          </w:p>
        </w:tc>
        <w:tc>
          <w:tcPr>
            <w:tcW w:w="68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0.40​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March 31, 2024</w:t>
            </w:r>
          </w:p>
        </w:tc>
        <w:tc>
          <w:tcPr>
            <w:tcW w:w="26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68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13"/>
                <w:szCs w:val="13"/>
                <w:color w:val="auto"/>
              </w:rPr>
              <w:t xml:space="preserve">32,711​ </w:t>
            </w:r>
            <w:r>
              <w:rPr>
                <w:rFonts w:ascii="Times New Roman" w:cs="Times New Roman" w:eastAsia="Times New Roman" w:hAnsi="Times New Roman"/>
                <w:sz w:val="23"/>
                <w:szCs w:val="23"/>
                <w:color w:val="auto"/>
                <w:vertAlign w:val="subscript"/>
              </w:rPr>
              <w:t>​​ ​</w:t>
            </w:r>
          </w:p>
        </w:tc>
        <w:tc>
          <w:tcPr>
            <w:tcW w:w="240" w:type="dxa"/>
            <w:vAlign w:val="bottom"/>
          </w:tcPr>
          <w:p>
            <w:pPr>
              <w:spacing w:after="0"/>
              <w:rPr>
                <w:sz w:val="18"/>
                <w:szCs w:val="18"/>
                <w:color w:val="auto"/>
              </w:rPr>
            </w:pPr>
          </w:p>
        </w:tc>
        <w:tc>
          <w:tcPr>
            <w:tcW w:w="680" w:type="dxa"/>
            <w:vAlign w:val="bottom"/>
            <w:gridSpan w:val="4"/>
          </w:tcPr>
          <w:p>
            <w:pPr>
              <w:jc w:val="right"/>
              <w:ind w:right="2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0.00​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-313055</wp:posOffset>
            </wp:positionV>
            <wp:extent cx="4241800" cy="1397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4241800" cy="1397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141"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There were no RSAs granted during the period ended March 31, 2024. As of March 31, 2024, unrecognized compensation cost related to unvested restricted stock awards was immaterial and is expected to be recognized over a weighted average period of 0.4 years.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 Options</w:t>
      </w:r>
    </w:p>
    <w:p>
      <w:pPr>
        <w:spacing w:after="0" w:line="117"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 Company has granted stock options with service-based vesting conditions. Stock options typically vest over four years and have a maximum term of ten years. The Company typically grants stock options to employees and non-employees at exercise prices deemed by the Board to be equal to the fair value of the common stock at the time of grant.</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following table presents a summary of the Company’s stock option activity and related information:</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70"/>
              <w:spacing w:after="0" w:line="13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left="12"/>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1"/>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54"/>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Remaining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Intrinsic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Exercise Price</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5"/>
          </w:tcPr>
          <w:p>
            <w:pPr>
              <w:ind w:lef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Contractual Term </w:t>
            </w:r>
            <w:r>
              <w:rPr>
                <w:rFonts w:ascii="Times New Roman" w:cs="Times New Roman" w:eastAsia="Times New Roman" w:hAnsi="Times New Roman"/>
                <w:sz w:val="20"/>
                <w:szCs w:val="20"/>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left="32"/>
              <w:spacing w:after="0"/>
              <w:rPr>
                <w:sz w:val="20"/>
                <w:szCs w:val="20"/>
                <w:color w:val="auto"/>
              </w:rPr>
            </w:pPr>
            <w:r>
              <w:rPr>
                <w:rFonts w:ascii="Times New Roman" w:cs="Times New Roman" w:eastAsia="Times New Roman" w:hAnsi="Times New Roman"/>
                <w:sz w:val="12"/>
                <w:szCs w:val="12"/>
                <w:b w:val="1"/>
                <w:bCs w:val="1"/>
                <w:color w:val="auto"/>
                <w:w w:val="95"/>
              </w:rPr>
              <w:t>(in years)</w:t>
            </w:r>
          </w:p>
        </w:tc>
        <w:tc>
          <w:tcPr>
            <w:tcW w:w="8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(in thousands)</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​​20,691,247​</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0.98​</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Granted</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 1.37​</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Exercised</w:t>
            </w:r>
          </w:p>
        </w:tc>
        <w:tc>
          <w:tcPr>
            <w:tcW w:w="34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(61,144)</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 0.69​</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2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Forfeited or cancelled</w:t>
            </w:r>
          </w:p>
        </w:tc>
        <w:tc>
          <w:tcPr>
            <w:tcW w:w="34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(213,022)</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0.99​</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8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outstanding at March 31, 2024</w:t>
            </w:r>
          </w:p>
        </w:tc>
        <w:tc>
          <w:tcPr>
            <w:tcW w:w="1180" w:type="dxa"/>
            <w:vAlign w:val="bottom"/>
            <w:gridSpan w:val="5"/>
            <w:shd w:val="clear" w:color="auto" w:fill="CCEEFF"/>
          </w:tcPr>
          <w:p>
            <w:pPr>
              <w:ind w:left="14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​20,867,081​ </w:t>
            </w:r>
            <w:r>
              <w:rPr>
                <w:rFonts w:ascii="Times New Roman" w:cs="Times New Roman" w:eastAsia="Times New Roman" w:hAnsi="Times New Roman"/>
                <w:sz w:val="23"/>
                <w:szCs w:val="23"/>
                <w:color w:val="auto"/>
                <w:vertAlign w:val="subscript"/>
              </w:rPr>
              <w:t>​​ ​</w:t>
            </w:r>
          </w:p>
        </w:tc>
        <w:tc>
          <w:tcPr>
            <w:tcW w:w="7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0.99​</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8.00​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line="165" w:lineRule="exact"/>
              <w:rPr>
                <w:sz w:val="20"/>
                <w:szCs w:val="20"/>
                <w:color w:val="auto"/>
              </w:rPr>
            </w:pPr>
            <w:r>
              <w:rPr>
                <w:rFonts w:ascii="Times New Roman" w:cs="Times New Roman" w:eastAsia="Times New Roman" w:hAnsi="Times New Roman"/>
                <w:sz w:val="15"/>
                <w:szCs w:val="15"/>
                <w:color w:val="auto"/>
              </w:rPr>
              <w:t>Options vested and exercisable at March 31,</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2024</w:t>
            </w:r>
          </w:p>
        </w:tc>
        <w:tc>
          <w:tcPr>
            <w:tcW w:w="118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6,580,148​ ​​ ​</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0.75​</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5.63​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vested and expected to vest at</w:t>
            </w:r>
          </w:p>
        </w:tc>
        <w:tc>
          <w:tcPr>
            <w:tcW w:w="2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March 31, 2024</w:t>
            </w:r>
          </w:p>
        </w:tc>
        <w:tc>
          <w:tcPr>
            <w:tcW w:w="11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20,867,081​ ​​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0.99​</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8.00​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7,962​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-655320</wp:posOffset>
            </wp:positionV>
            <wp:extent cx="4241800"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64"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The aggregate intrinsic value of stock options is calculated as the difference between the exercise price of the options and the fair value of the Company’s common stock for those stock options that had an exercise price lower than the fair value of the Company’s common stock as of the measurement date of March 31, 2024.</w:t>
      </w:r>
    </w:p>
    <w:p>
      <w:pPr>
        <w:spacing w:after="0" w:line="25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As of March 31, 2024, unrecognized compensation cost related to unvested stock options was $11.0 million, which is expected to be recognized over a weighted average period of 3.0 years.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28"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The following table presents stock-based compensation expense as reflected in the Company’s condensed consolidated statements of operations and comprehensive loss for the three months ended March 31, 2024 and 2023 (in thousands):</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4" w:name="page255"/>
    <w:bookmarkEnd w:id="2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11. Stock-Based Compensation (Continued)</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3"/>
              </w:rPr>
              <w:t>Three Months</w:t>
            </w:r>
          </w:p>
        </w:tc>
        <w:tc>
          <w:tcPr>
            <w:tcW w:w="40" w:type="dxa"/>
            <w:vAlign w:val="bottom"/>
          </w:tcPr>
          <w:p>
            <w:pPr>
              <w:spacing w:after="0"/>
              <w:rPr>
                <w:sz w:val="12"/>
                <w:szCs w:val="12"/>
                <w:color w:val="auto"/>
              </w:rPr>
            </w:pPr>
          </w:p>
        </w:tc>
      </w:tr>
      <w:tr>
        <w:trPr>
          <w:trHeight w:val="173"/>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20" w:type="dxa"/>
            <w:vAlign w:val="bottom"/>
          </w:tcPr>
          <w:p>
            <w:pPr>
              <w:ind w:left="1520"/>
              <w:spacing w:after="0"/>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2"/>
              </w:rPr>
              <w:t>Ended March 31,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2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2024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040" w:type="dxa"/>
            <w:vAlign w:val="bottom"/>
            <w:shd w:val="clear" w:color="auto" w:fill="CCEEFF"/>
          </w:tcPr>
          <w:p>
            <w:pPr>
              <w:spacing w:after="0" w:line="20" w:lineRule="exact"/>
              <w:rPr>
                <w:sz w:val="1"/>
                <w:szCs w:val="1"/>
                <w:color w:val="auto"/>
              </w:rPr>
            </w:pPr>
          </w:p>
        </w:tc>
        <w:tc>
          <w:tcPr>
            <w:tcW w:w="17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720" w:type="dxa"/>
            <w:vAlign w:val="bottom"/>
            <w:tcBorders>
              <w:right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411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282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72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536</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405</w:t>
            </w:r>
            <w:r>
              <w:rPr>
                <w:rFonts w:ascii="Times New Roman" w:cs="Times New Roman" w:eastAsia="Times New Roman" w:hAnsi="Times New Roman"/>
                <w:sz w:val="25"/>
                <w:szCs w:val="25"/>
                <w:color w:val="auto"/>
                <w:vertAlign w:val="subscript"/>
              </w:rPr>
              <w:t>​</w:t>
            </w:r>
          </w:p>
        </w:tc>
      </w:tr>
      <w:tr>
        <w:trPr>
          <w:trHeight w:val="20"/>
        </w:trPr>
        <w:tc>
          <w:tcPr>
            <w:tcW w:w="404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1720" w:type="dxa"/>
            <w:vAlign w:val="bottom"/>
            <w:tcBorders>
              <w:right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shd w:val="clear" w:color="auto" w:fill="CCEEFF"/>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$ 947</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$ 687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00431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0043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9732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997325" cy="6985"/>
                    </a:xfrm>
                    <a:prstGeom prst="rect">
                      <a:avLst/>
                    </a:prstGeom>
                    <a:noFill/>
                  </pic:spPr>
                </pic:pic>
              </a:graphicData>
            </a:graphic>
          </wp:anchor>
        </w:drawing>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Net Loss Per Share</w:t>
      </w:r>
    </w:p>
    <w:p>
      <w:pPr>
        <w:spacing w:after="0" w:line="126"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Basic and diluted net loss per share attributable to common stockholders was calculated as follows (in thousands, except share and per share amounts):</w:t>
      </w:r>
    </w:p>
    <w:p>
      <w:pPr>
        <w:sectPr>
          <w:pgSz w:w="11900" w:h="16838" w:orient="portrait"/>
          <w:cols w:equalWidth="0" w:num="1">
            <w:col w:w="9019"/>
          </w:cols>
          <w:pgMar w:left="1440" w:top="98" w:right="1440" w:bottom="1440" w:gutter="0" w:footer="0" w:header="0"/>
        </w:sectPr>
      </w:pP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Numerator:</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25400</wp:posOffset>
            </wp:positionV>
            <wp:extent cx="4241800" cy="12573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Denominator:</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Weighted-average common stock outstanding–basic and diluted</w:t>
      </w:r>
    </w:p>
    <w:p>
      <w:pPr>
        <w:spacing w:after="0" w:line="36" w:lineRule="exact"/>
        <w:rPr>
          <w:sz w:val="20"/>
          <w:szCs w:val="20"/>
          <w:color w:val="auto"/>
        </w:rPr>
      </w:pPr>
    </w:p>
    <w:p>
      <w:pPr>
        <w:ind w:left="1320" w:hanging="145"/>
        <w:spacing w:after="0" w:line="269" w:lineRule="auto"/>
        <w:rPr>
          <w:sz w:val="20"/>
          <w:szCs w:val="20"/>
          <w:color w:val="auto"/>
        </w:rPr>
      </w:pPr>
      <w:r>
        <w:rPr>
          <w:rFonts w:ascii="Times New Roman" w:cs="Times New Roman" w:eastAsia="Times New Roman" w:hAnsi="Times New Roman"/>
          <w:sz w:val="15"/>
          <w:szCs w:val="15"/>
          <w:color w:val="auto"/>
        </w:rPr>
        <w:t>Net loss per share attributable to common stockholders–basic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-242570</wp:posOffset>
            </wp:positionV>
            <wp:extent cx="4241800" cy="2514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241800" cy="251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6"/>
          </w:tcPr>
          <w:p>
            <w:pPr>
              <w:jc w:val="center"/>
              <w:ind w:right="12"/>
              <w:spacing w:after="0"/>
              <w:rPr>
                <w:sz w:val="20"/>
                <w:szCs w:val="20"/>
                <w:color w:val="auto"/>
              </w:rPr>
            </w:pPr>
            <w:r>
              <w:rPr>
                <w:rFonts w:ascii="Times New Roman" w:cs="Times New Roman" w:eastAsia="Times New Roman" w:hAnsi="Times New Roman"/>
                <w:sz w:val="12"/>
                <w:szCs w:val="12"/>
                <w:b w:val="1"/>
                <w:bCs w:val="1"/>
                <w:color w:val="auto"/>
                <w:w w:val="93"/>
              </w:rPr>
              <w:t>Three Months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3"/>
        </w:trPr>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Ended March 31,</w:t>
            </w:r>
          </w:p>
        </w:tc>
        <w:tc>
          <w:tcPr>
            <w:tcW w:w="18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auto"/>
            </w:tcBorders>
            <w:gridSpan w:val="2"/>
          </w:tcPr>
          <w:p>
            <w:pPr>
              <w:spacing w:after="0"/>
              <w:rPr>
                <w:sz w:val="16"/>
                <w:szCs w:val="16"/>
                <w:color w:val="auto"/>
              </w:rPr>
            </w:pP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8"/>
        </w:trPr>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line="182"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(27,800)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(19,097)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4"/>
          </w:tcPr>
          <w:p>
            <w:pPr>
              <w:spacing w:after="0" w:line="182"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xml:space="preserve"> ​  13,494,293​ </w:t>
            </w:r>
            <w:r>
              <w:rPr>
                <w:rFonts w:ascii="Times New Roman" w:cs="Times New Roman" w:eastAsia="Times New Roman" w:hAnsi="Times New Roman"/>
                <w:sz w:val="21"/>
                <w:szCs w:val="21"/>
                <w:color w:val="auto"/>
                <w:vertAlign w:val="subscript"/>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2"/>
                <w:szCs w:val="12"/>
                <w:color w:val="auto"/>
              </w:rPr>
              <w:t xml:space="preserve">​  13,130,607​ </w:t>
            </w:r>
            <w:r>
              <w:rPr>
                <w:rFonts w:ascii="Times New Roman" w:cs="Times New Roman" w:eastAsia="Times New Roman" w:hAnsi="Times New Roman"/>
                <w:sz w:val="21"/>
                <w:szCs w:val="2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5200" w:space="540"/>
            <w:col w:w="3279"/>
          </w:cols>
          <w:pgMar w:left="1440" w:top="98" w:right="1440" w:bottom="1440" w:gutter="0" w:footer="0" w:header="0"/>
          <w:type w:val="continuous"/>
        </w:sect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March 31, 2024 and 2023 because including them would have had an anti-dilutive effect:</w:t>
      </w:r>
    </w:p>
    <w:p>
      <w:pPr>
        <w:sectPr>
          <w:pgSz w:w="11900" w:h="16838" w:orient="portrait"/>
          <w:cols w:equalWidth="0" w:num="1">
            <w:col w:w="9019"/>
          </w:cols>
          <w:pgMar w:left="1440" w:top="98" w:right="1440" w:bottom="1440" w:gutter="0" w:footer="0" w:header="0"/>
          <w:type w:val="continuous"/>
        </w:sectPr>
      </w:pP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Convertible preferred stock</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Options to purchase common stock</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500" w:type="dxa"/>
            <w:vAlign w:val="bottom"/>
            <w:tcBorders>
              <w:bottom w:val="single" w:sz="8" w:color="auto"/>
            </w:tcBorders>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​​100,617,681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​​96,427,726​</w:t>
      </w:r>
    </w:p>
    <w:p>
      <w:pPr>
        <w:spacing w:after="0" w:line="40" w:lineRule="exact"/>
        <w:rPr>
          <w:sz w:val="20"/>
          <w:szCs w:val="20"/>
          <w:color w:val="auto"/>
        </w:rPr>
      </w:pPr>
    </w:p>
    <w:p>
      <w:pPr>
        <w:ind w:left="40"/>
        <w:spacing w:after="0"/>
        <w:tabs>
          <w:tab w:leader="none" w:pos="500" w:val="left"/>
          <w:tab w:leader="none" w:pos="1260" w:val="left"/>
        </w:tabs>
        <w:rPr>
          <w:sz w:val="20"/>
          <w:szCs w:val="20"/>
          <w:color w:val="auto"/>
        </w:rPr>
      </w:pP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32,711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tab/>
        <w:t>386,971​</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20,867,081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​​17,525,961​</w:t>
      </w:r>
    </w:p>
    <w:p>
      <w:pPr>
        <w:spacing w:after="0" w:line="109" w:lineRule="exact"/>
        <w:rPr>
          <w:sz w:val="20"/>
          <w:szCs w:val="20"/>
          <w:color w:val="auto"/>
        </w:rPr>
      </w:pPr>
    </w:p>
    <w:p>
      <w:pPr>
        <w:sectPr>
          <w:pgSz w:w="11900" w:h="16838" w:orient="portrait"/>
          <w:cols w:equalWidth="0" w:num="2">
            <w:col w:w="5360" w:space="720"/>
            <w:col w:w="2939"/>
          </w:cols>
          <w:pgMar w:left="1440" w:top="98" w:right="1440" w:bottom="1440" w:gutter="0" w:footer="0" w:header="0"/>
          <w:type w:val="continuous"/>
        </w:sect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BMS Note was also outstanding as of March 31, 2024, which could obligate the Company to issue preferred shares or common shares upon the occurrence of various future events at prices and in amounts that are not determinable until the occurrence of those future events. As the necessary conditions for the conversion of the BMS Note had not been satisfied as of March 31, 2024, the Company has excluded the BMS Note from the table above and the calculation of diluted net loss per share. See Note 3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55" w:name="page256"/>
    <w:bookmarkEnd w:id="25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Commitments and Contingencies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Company has entered into arrangements for leases of office space; see Note 6, “Leases,” for details.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License and Option Agreements</w:t>
      </w:r>
    </w:p>
    <w:p>
      <w:pPr>
        <w:spacing w:after="0" w:line="128"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Company entered into licenses agreements under which it is obligated to make fixed and contingent payments; see Note 8 “License and Option Agreements,” for details.</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Contracts</w:t>
      </w:r>
    </w:p>
    <w:p>
      <w:pPr>
        <w:spacing w:after="0" w:line="128"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Agreements</w:t>
      </w:r>
    </w:p>
    <w:p>
      <w:pPr>
        <w:spacing w:after="0" w:line="117"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financial statements as of March 31, 2024.</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Litigation and Other Proceedings</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Employee Benefit Plans</w:t>
      </w:r>
    </w:p>
    <w:p>
      <w:pPr>
        <w:spacing w:after="0" w:line="126"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Effective June 2020, the Company adopted the Zenas BioPharma 401(k) Plan (the “401(k) Plan”) for its employees, which is designed to be qualified under Section 401(k) of the Internal Revenue Code. Eligible employees are permitted to contribute to the 401(k) Plan within statutory and 401(k) Plan limits. Since inception of the 401(k) Plan and through March 31, 2024, the Company has not made any contributions to the 401(k) Plan.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Related Party Transactions</w:t>
      </w:r>
    </w:p>
    <w:p>
      <w:pPr>
        <w:spacing w:after="0" w:line="12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As further described above in Note 8, “License and Option Agreements,” the Company has obtained exclusive, worldwide licenses from Xencor to research, develop, manufacture, market and sell four antibody product candidates pursuant to two license agreements. The Company has concluded that Xencor is a related party, because as initial consideration for the 2020 Xencor Agreement, the Company issued 5,041,542 shares of its Series A Preferred Stock to Xencor during the year ended December 31, 2020. In April 2023, Xencor elected to receive payment for a development milestone in the form of the Company’s Series B Preferred Stock and the Company issued 4,189,955 shares of Series B Preferred Stock as payment for the development milestone in</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6" w:name="page257"/>
    <w:bookmarkEnd w:id="2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Related Party Transactions (Continued)</w:t>
      </w:r>
    </w:p>
    <w:p>
      <w:pPr>
        <w:spacing w:after="0" w:line="181"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June 2023. As of that date, Xencor’s equity interest in Zenas was approximately 24% of all outstanding shares of all classes of the Company’s stock (common stock and convertible preferred stock). The Company recorded immaterial general and administrative expenses in the condensed consolidated statements of operations and comprehensive loss during each of the three months ended March 31, 2024 and 2023, relating to reimbursable patent-related costs owed to Xencor.</w:t>
      </w:r>
    </w:p>
    <w:p>
      <w:pPr>
        <w:spacing w:after="0" w:line="94"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As further described above in Note 8, “License and Option Agreements,” the Company has obtained a license from Viridian to research, develop, manufacture, market and sell an antibody product candidate in China. The Company has concluded that Viridian is a related party because Fairmount Funds Management LLC owns more than 5% of capital stock of the Company, has a seat on the Board and is also a 10% or greater stockholder of Viridian and has two seats on Viridian’s board of directors. As initial consideration for this license, the Company issued 336,103 shares of its common stock to Viridian during the year ended December 31, 2020. As of that date, Viridian’s equity interest in the Company was approximately 1% of all outstanding shares of all classes of the Company’s stock (assuming conversion of all outstanding shares of convertible preferred stock).</w:t>
      </w:r>
    </w:p>
    <w:p>
      <w:pPr>
        <w:spacing w:after="0" w:line="99"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As further described above in Note 8, “License and Option Agreements”, the Company has obtained an exclusive option to negotiate and enter into exclusive license agreements with Dianthus for the rights (in the Zenas Territories only) to either or both of two antibody product candidates. The Company has concluded that Dianthus is a related party because the Company’s Chair of the Board is a member of the board of directors of Dianthus. As initial consideration for this license, the Company issued 156,848 shares of its common stock to Dianthus during the year ended December 31, 2020. As of that date, Dianthus’s equity interest in the Company was approximately 0.5% of all outstanding shares of all classes of the Company’s stock (assuming conversion of all outstanding shares of convertible preferred stock).</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16. Subsequent Events</w:t>
      </w:r>
    </w:p>
    <w:p>
      <w:pPr>
        <w:spacing w:after="0" w:line="12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Company has assessed subsequent events through May 15, 2024, the date that these condensed consolidated financial statements were available for issuance.</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Plan Amendment and Option Grants</w:t>
      </w:r>
    </w:p>
    <w:p>
      <w:pPr>
        <w:spacing w:after="0" w:line="128"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On May 3, 2024, the Board approved an increase in the number of shares of common stock authorized for issuance under the 2020 Plan from 22,232,224 shares to 38,414,424 shares. This increase was approved by the Company’s stockholders on May 3, 2024. In connection with the increase, the Company granted options to purchase 16,475,000 shares of the Company’s common stock on May 9, 2024 at an exercise price of $1.15 per share.</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Series C Preferred Stock and BMS Note Conversion</w:t>
      </w:r>
    </w:p>
    <w:p>
      <w:pPr>
        <w:spacing w:after="0" w:line="128"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On May 3, 2024, the Company entered into a Series C Preferred Stock purchase agreement (“Series C Agreement”) whereby the Company issued 103,990,553 shares of Series C Preferred Stock at a price of $1.72131 per share for gross proceeds of $179.0 million. In connection with the issuance of the Series C Preferred Stock, which was considered a BMS Qualified Financing as further described above in Note 3, “Fair Value Measurement,” the BMS Note converted into 12,284,686 shares of Series C Preferred Stock, thereby making the total Series C issuance equal to 116,275,239 shares. The Certificate of Incorporation was amended and restated in connection with the execution of the Series C Agreement. In the event of a voluntary or involuntary liquidation, dissolution or winding up of the Company, a deemed liquidation event, or a dividend distribution, holders of Series C Preferred Stock have preference above all other classes of outstanding stock. All other rights and preferences of the Series C Preferred Stock are substantially the same as the rights and preferences of the Company’s existing classes of Preferred Stock, as further described in Note 9, “Convertible Preferred Stock”.</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7" w:name="page258"/>
    <w:bookmarkEnd w:id="257"/>
    <w:p>
      <w:pPr>
        <w:ind w:left="140"/>
        <w:spacing w:after="0"/>
        <w:rPr>
          <w:sz w:val="20"/>
          <w:szCs w:val="20"/>
          <w:color w:val="auto"/>
        </w:rPr>
      </w:pPr>
      <w:r>
        <w:rPr>
          <w:rFonts w:ascii="Calibri" w:cs="Calibri" w:eastAsia="Calibri" w:hAnsi="Calibri"/>
          <w:sz w:val="12"/>
          <w:szCs w:val="12"/>
          <w:color w:val="003366"/>
        </w:rPr>
        <w:t>TABLE OF CONTENTS</w:t>
      </w:r>
    </w:p>
    <w:p>
      <w:pPr>
        <w:spacing w:after="0" w:line="394" w:lineRule="exact"/>
        <w:rPr>
          <w:sz w:val="20"/>
          <w:szCs w:val="20"/>
          <w:color w:val="auto"/>
        </w:rPr>
      </w:pPr>
    </w:p>
    <w:p>
      <w:pPr>
        <w:ind w:left="11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-3175</wp:posOffset>
            </wp:positionV>
            <wp:extent cx="4241800" cy="139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241800" cy="139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38100</wp:posOffset>
            </wp:positionV>
            <wp:extent cx="4241800"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97155</wp:posOffset>
            </wp:positionV>
            <wp:extent cx="1144270" cy="39052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4427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Georgia" w:cs="Georgia" w:eastAsia="Georgia" w:hAnsi="Georgia"/>
          <w:sz w:val="21"/>
          <w:szCs w:val="21"/>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1179"/>
        <w:spacing w:after="0"/>
        <w:tabs>
          <w:tab w:leader="none" w:pos="4800" w:val="left"/>
          <w:tab w:leader="none" w:pos="3580" w:val="left"/>
          <w:tab w:leader="none" w:pos="2160" w:val="left"/>
        </w:tabs>
        <w:rPr>
          <w:sz w:val="20"/>
          <w:szCs w:val="20"/>
          <w:color w:val="auto"/>
        </w:rPr>
      </w:pPr>
      <w:r>
        <w:rPr>
          <w:rFonts w:ascii="Georgia" w:cs="Georgia" w:eastAsia="Georgia" w:hAnsi="Georgia"/>
          <w:sz w:val="15"/>
          <w:szCs w:val="15"/>
          <w:b w:val="1"/>
          <w:bCs w:val="1"/>
          <w:i w:val="1"/>
          <w:iCs w:val="1"/>
          <w:color w:val="auto"/>
        </w:rPr>
        <w:t>MORGAN STANLEY</w:t>
      </w:r>
      <w:r>
        <w:rPr>
          <w:sz w:val="20"/>
          <w:szCs w:val="20"/>
          <w:color w:val="auto"/>
        </w:rPr>
        <w:tab/>
      </w:r>
      <w:r>
        <w:rPr>
          <w:rFonts w:ascii="Georgia" w:cs="Georgia" w:eastAsia="Georgia" w:hAnsi="Georgia"/>
          <w:sz w:val="15"/>
          <w:szCs w:val="15"/>
          <w:b w:val="1"/>
          <w:bCs w:val="1"/>
          <w:i w:val="1"/>
          <w:iCs w:val="1"/>
          <w:color w:val="auto"/>
        </w:rPr>
        <w:t>JEFFERIES</w:t>
      </w:r>
      <w:r>
        <w:rPr>
          <w:sz w:val="20"/>
          <w:szCs w:val="20"/>
          <w:color w:val="auto"/>
        </w:rPr>
        <w:tab/>
      </w:r>
      <w:r>
        <w:rPr>
          <w:rFonts w:ascii="Georgia" w:cs="Georgia" w:eastAsia="Georgia" w:hAnsi="Georgia"/>
          <w:sz w:val="15"/>
          <w:szCs w:val="15"/>
          <w:b w:val="1"/>
          <w:bCs w:val="1"/>
          <w:i w:val="1"/>
          <w:iCs w:val="1"/>
          <w:color w:val="auto"/>
        </w:rPr>
        <w:t>CITIGROUP</w:t>
      </w:r>
      <w:r>
        <w:rPr>
          <w:sz w:val="20"/>
          <w:szCs w:val="20"/>
          <w:color w:val="auto"/>
        </w:rPr>
        <w:tab/>
      </w:r>
      <w:r>
        <w:rPr>
          <w:rFonts w:ascii="Georgia" w:cs="Georgia" w:eastAsia="Georgia" w:hAnsi="Georgia"/>
          <w:sz w:val="14"/>
          <w:szCs w:val="14"/>
          <w:b w:val="1"/>
          <w:bCs w:val="1"/>
          <w:i w:val="1"/>
          <w:i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i w:val="1"/>
          <w:i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361315</wp:posOffset>
            </wp:positionV>
            <wp:extent cx="424180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1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3175</wp:posOffset>
            </wp:positionV>
            <wp:extent cx="4241800" cy="139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241800" cy="139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207010</wp:posOffset>
            </wp:positionV>
            <wp:extent cx="5564505" cy="393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8" w:name="page259"/>
    <w:bookmarkEnd w:id="25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13. Other Expenses of Issuance and Distribution.</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following table sets forth the costs and expenses, other than the underwriting discounts and commissions, payable by the registrant in connection with the sale of common stock being registered. All amounts are estimates except for the SEC registration fee, the Financial Industry Regulatory Authority, Inc. (“FINRA”) filing fee and the Nasdaq Global Market (“Nasdaq”) listing fee:</w:t>
      </w:r>
    </w:p>
    <w:p>
      <w:pPr>
        <w:spacing w:after="0" w:line="11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5"/>
          </w:tcPr>
          <w:p>
            <w:pPr>
              <w:jc w:val="right"/>
              <w:ind w:right="7"/>
              <w:spacing w:after="0"/>
              <w:rPr>
                <w:sz w:val="20"/>
                <w:szCs w:val="20"/>
                <w:color w:val="auto"/>
              </w:rPr>
            </w:pPr>
            <w:r>
              <w:rPr>
                <w:rFonts w:ascii="Times New Roman" w:cs="Times New Roman" w:eastAsia="Times New Roman" w:hAnsi="Times New Roman"/>
                <w:sz w:val="12"/>
                <w:szCs w:val="12"/>
                <w:b w:val="1"/>
                <w:bCs w:val="1"/>
                <w:color w:val="auto"/>
                <w:w w:val="90"/>
              </w:rPr>
              <w:t>Amount Paid</w:t>
            </w:r>
          </w:p>
        </w:tc>
      </w:tr>
      <w:tr>
        <w:trPr>
          <w:trHeight w:val="151"/>
        </w:trPr>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1"/>
              </w:rPr>
              <w:t>Item</w:t>
            </w:r>
          </w:p>
        </w:tc>
        <w:tc>
          <w:tcPr>
            <w:tcW w:w="5580" w:type="dxa"/>
            <w:vAlign w:val="bottom"/>
            <w:gridSpan w:val="2"/>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gridSpan w:val="5"/>
          </w:tcPr>
          <w:p>
            <w:pPr>
              <w:jc w:val="center"/>
              <w:spacing w:after="0" w:line="151" w:lineRule="exact"/>
              <w:rPr>
                <w:sz w:val="20"/>
                <w:szCs w:val="20"/>
                <w:color w:val="auto"/>
              </w:rPr>
            </w:pPr>
            <w:r>
              <w:rPr>
                <w:rFonts w:ascii="Times New Roman" w:cs="Times New Roman" w:eastAsia="Times New Roman" w:hAnsi="Times New Roman"/>
                <w:sz w:val="9"/>
                <w:szCs w:val="9"/>
                <w:b w:val="1"/>
                <w:bCs w:val="1"/>
                <w:color w:val="auto"/>
              </w:rPr>
              <w:t xml:space="preserve">or To Be Paid </w:t>
            </w:r>
            <w:r>
              <w:rPr>
                <w:rFonts w:ascii="Times New Roman" w:cs="Times New Roman" w:eastAsia="Times New Roman" w:hAnsi="Times New Roman"/>
                <w:sz w:val="17"/>
                <w:szCs w:val="17"/>
                <w:b w:val="1"/>
                <w:bCs w:val="1"/>
                <w:color w:val="auto"/>
                <w:vertAlign w:val="subscript"/>
              </w:rPr>
              <w:t>​</w:t>
            </w:r>
          </w:p>
        </w:tc>
      </w:tr>
      <w:tr>
        <w:trPr>
          <w:trHeight w:val="22"/>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w w:val="98"/>
              </w:rPr>
              <w:t>​$          *</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Nasdaq listing fee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w w:val="98"/>
              </w:rPr>
              <w:t>​ ​          *</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Printing and engraving expenses</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w w:val="98"/>
              </w:rPr>
              <w:t>​ ​          *</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 agent fees and expenses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w w:val="98"/>
              </w:rPr>
              <w:t>​ ​          *</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5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Miscellaneous expenses</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9"/>
                <w:szCs w:val="19"/>
                <w:color w:val="auto"/>
              </w:rPr>
            </w:pPr>
          </w:p>
        </w:tc>
        <w:tc>
          <w:tcPr>
            <w:tcW w:w="70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b w:val="1"/>
                <w:bCs w:val="1"/>
                <w:color w:val="auto"/>
                <w:vertAlign w:val="subscript"/>
              </w:rPr>
              <w:t>​</w:t>
            </w:r>
          </w:p>
        </w:tc>
      </w:tr>
      <w:tr>
        <w:trPr>
          <w:trHeight w:val="20"/>
        </w:trPr>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center"/>
              <w:ind w:left="8"/>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79"/>
        </w:trPr>
        <w:tc>
          <w:tcPr>
            <w:tcW w:w="240" w:type="dxa"/>
            <w:vAlign w:val="bottom"/>
            <w:tcBorders>
              <w:top w:val="single" w:sz="8" w:color="CCEEFF"/>
              <w:bottom w:val="single" w:sz="8" w:color="auto"/>
            </w:tcBorders>
          </w:tcPr>
          <w:p>
            <w:pPr>
              <w:spacing w:after="0"/>
              <w:rPr>
                <w:sz w:val="6"/>
                <w:szCs w:val="6"/>
                <w:color w:val="auto"/>
              </w:rPr>
            </w:pPr>
          </w:p>
        </w:tc>
        <w:tc>
          <w:tcPr>
            <w:tcW w:w="460" w:type="dxa"/>
            <w:vAlign w:val="bottom"/>
            <w:tcBorders>
              <w:top w:val="single" w:sz="8" w:color="CCEEFF"/>
              <w:bottom w:val="single" w:sz="8" w:color="auto"/>
            </w:tcBorders>
          </w:tcPr>
          <w:p>
            <w:pPr>
              <w:spacing w:after="0"/>
              <w:rPr>
                <w:sz w:val="6"/>
                <w:szCs w:val="6"/>
                <w:color w:val="auto"/>
              </w:rPr>
            </w:pPr>
          </w:p>
        </w:tc>
        <w:tc>
          <w:tcPr>
            <w:tcW w:w="512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-222885</wp:posOffset>
            </wp:positionV>
            <wp:extent cx="424180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61" w:lineRule="exact"/>
        <w:rPr>
          <w:sz w:val="20"/>
          <w:szCs w:val="20"/>
          <w:color w:val="auto"/>
        </w:rPr>
      </w:pPr>
    </w:p>
    <w:p>
      <w:pPr>
        <w:ind w:left="1460" w:hanging="296"/>
        <w:spacing w:after="0"/>
        <w:tabs>
          <w:tab w:leader="none" w:pos="14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completed by amendment</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14. Indemnification of Directors and Officers.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permitted by Section 102(b)(7) of the DGCL, we plan to include in our Restated Charter a provision to eliminate the personal liability of our directors and officers for monetary damages for breach of their fiduciary duties as directors, subject to certain exceptions. In addition, our Restated Charter and Restated Bylaws will provide that we are required to indemnify our officers and directors under certain circumstances, including those circumstances in which indemnification would otherwise be discretionary, and we are required to advance expenses to our officers and directors as incurred in connection with proceedings against them for which they may be indemnified, in each case except to the extent that the DGCL prohibits the elimination or limitation of liability of directors or officers for breaches of fiduciary duty.</w:t>
      </w:r>
    </w:p>
    <w:p>
      <w:pPr>
        <w:spacing w:after="0" w:line="25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Section 145(a) of the DGCL provides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the person acted in good faith and in a manner the person reasonably believed to be in or not opposed to the best interest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his conduct was unlawful.</w:t>
      </w:r>
    </w:p>
    <w:p>
      <w:pPr>
        <w:spacing w:after="0" w:line="22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Section 145(b) of the DGCL provides that a corporation shall have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9" w:name="page260"/>
    <w:bookmarkEnd w:id="2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the person acted in good faith and in a manner the person reasonably believed to be in or not opposed to the best interests of the corporation and except that no indemnification shall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have entered into indemnification agreements with our directors and, prior to the completion of this offering, intend to enter into indemnification agreements with certain of our officers. These indemnification agreements will provide broader indemnity rights than those provided under the DGCL and our Restated Charter. These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 Such recoveries would accrue to our benefit but would be offset by our obligations to the director or officer under the indemnification agreement.</w:t>
      </w:r>
    </w:p>
    <w:p>
      <w:pPr>
        <w:spacing w:after="0" w:line="10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underwriting agreement will provide that the underwriters are obligated, under certain circumstances, to indemnify our directors, officers and controlling persons against certain liabilities, including liabilities under the Securities Act.</w:t>
      </w:r>
    </w:p>
    <w:p>
      <w:pPr>
        <w:spacing w:after="0" w:line="8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maintain directors’ and officers’ liability insurance for the benefit of our directors and officers.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15. Recent Sales of Unregistered Securities.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following list sets forth information regarding all unregistered securities sold by us since December 1, 2021. No underwriters were involved in the sales and the certificates representing the securities sold and issued contain legends restricting transfer of the securities without registration under the Securities Act or an applicable exemption from registration. The issuances of the above securities were exempt either pursuant to Rule 701, as transactions pursuant to a compensatory benefit plan, or pursuant to Section 4(a)(2), as transactions by an issuer not involving a public offering.</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  Grants of Stock Options and Restricted Stock</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2021, we granted stock options to purchase an aggregate of 5,386,003 shares of our common stock at a weighted-average exercise price of $0.40 to employees, directors and consultants. In 2021, we granted 459,601 shares of our restricted common stock with a grant date fair value of $0.40 per share.</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2022, we granted stock options to purchase an aggregate of 12,740,792 shares of our common stock at a weighted-average exercise price of $1.04 to employees, directors and consultants.</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2023, we granted stock options to purchase an aggregate of 9,155,000 shares of our common stock at a weighted-average exercise price of $1.18 to employees, directors and consultants.</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Since January 1, 2024, we have granted stock options to purchase an aggregate of                      shares of our common stock at a weighted-average price of $                to employees, directors and consultants.</w:t>
      </w:r>
    </w:p>
    <w:p>
      <w:pPr>
        <w:spacing w:after="0" w:line="7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2024,               shares of our common stock have been issued upon the exercise of stock options at a weighted-average exercise price of $              . In 2023, 239,500 shares of our common stock were issued upon the exercise of stock options at a weighted-average exercise price of $0.48. No stock options were exercised in prior years.</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0" w:name="page261"/>
    <w:bookmarkEnd w:id="26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  Issuances of Convertible Preferred Stock</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November 2021, pursuant to the amendment to the 2021 Xencor Agreement, we issued to Xencor a warrant exercisable for shares of our convertible preferred stock at an exercise price of $0.0001 per share, in lieu of the equity issued in the 2021 Xencor Agreement. This warrant was exercised for 14,441,793 shares of our Series B convertible preferred stock in November 2022.</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November 2022, we issued and sold an aggregate of 77,052,632 shares of our Series B convertible preferred stock at a purchase price of $2.38666 per share.</w:t>
      </w:r>
    </w:p>
    <w:p>
      <w:pPr>
        <w:spacing w:after="0" w:line="7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June 2023, the Company issued 4,189,955 shares of Series B convertible preferred stock to Xencor as payment for the development milestone at a purchase price of $2.38666 per share.</w:t>
      </w:r>
    </w:p>
    <w:p>
      <w:pPr>
        <w:spacing w:after="0" w:line="8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May 2024, the Company issued 116,275,239 shares of Series C convertible preferred stock at a purchase price of $1.72131 per share, including the conversion of a $20.0 million convertible promissory note issued and sold to Bristol-Myers Squibb Company into 12,284,686 shares of Series C convertible preferred stock.</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  Issuances of Convertible Notes</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November 2021, the Company issued and sold an aggregate of $58.0 million of convertible promissory notes to several investors. In November 2022, concurrently with the issuance and sale of Series B convertible preferred stock, such notes were automatically converted into an aggregate of 37,471,107 shares of Series B convertible preferred stock. Prior to the conversion, such notes bore interest at a rate of 8.0% per annum, with a maturity date of May 19, 2023.</w:t>
      </w:r>
    </w:p>
    <w:p>
      <w:pPr>
        <w:spacing w:after="0" w:line="9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August 2023, the Company issued and sold a $20.0 million convertible promissory note to Bristol-Myers Squibb Company. In May 2024, concurrently with the issuance and sale of Series C convertible preferred stock, such notes were automatically converted into an aggregate of 12,284,686 shares of Series C convertible preferred stock. Prior to the conversion, such notes bore interest at a rate of 8.5% per annum, with a maturity date of August 30, 2026.</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16. Exhibits and Financial Statement Schedules.</w:t>
      </w:r>
    </w:p>
    <w:p>
      <w:pPr>
        <w:spacing w:after="0" w:line="126" w:lineRule="exact"/>
        <w:rPr>
          <w:sz w:val="20"/>
          <w:szCs w:val="20"/>
          <w:color w:val="auto"/>
        </w:rPr>
      </w:pPr>
    </w:p>
    <w:p>
      <w:pPr>
        <w:ind w:left="1460"/>
        <w:spacing w:after="0"/>
        <w:tabs>
          <w:tab w:leader="none" w:pos="1740" w:val="left"/>
        </w:tabs>
        <w:rPr>
          <w:sz w:val="20"/>
          <w:szCs w:val="20"/>
          <w:color w:val="auto"/>
        </w:rPr>
      </w:pPr>
      <w:r>
        <w:rPr>
          <w:rFonts w:ascii="Times New Roman" w:cs="Times New Roman" w:eastAsia="Times New Roman" w:hAnsi="Times New Roman"/>
          <w:sz w:val="15"/>
          <w:szCs w:val="15"/>
          <w:color w:val="auto"/>
        </w:rPr>
        <w:t>(a)</w:t>
      </w:r>
      <w:r>
        <w:rPr>
          <w:sz w:val="20"/>
          <w:szCs w:val="20"/>
          <w:color w:val="auto"/>
        </w:rPr>
        <w:tab/>
      </w:r>
      <w:r>
        <w:rPr>
          <w:rFonts w:ascii="Times New Roman" w:cs="Times New Roman" w:eastAsia="Times New Roman" w:hAnsi="Times New Roman"/>
          <w:sz w:val="14"/>
          <w:szCs w:val="14"/>
          <w:color w:val="auto"/>
        </w:rPr>
        <w:t>Exhibits</w:t>
      </w:r>
    </w:p>
    <w:p>
      <w:pPr>
        <w:spacing w:after="0" w:line="12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See the Exhibit Index attached to this Registration Statement, which is incorporated by reference herein.</w:t>
      </w:r>
    </w:p>
    <w:p>
      <w:pPr>
        <w:spacing w:after="0" w:line="279" w:lineRule="exact"/>
        <w:rPr>
          <w:sz w:val="20"/>
          <w:szCs w:val="20"/>
          <w:color w:val="auto"/>
        </w:rPr>
      </w:pPr>
    </w:p>
    <w:p>
      <w:pPr>
        <w:ind w:left="1460"/>
        <w:spacing w:after="0"/>
        <w:tabs>
          <w:tab w:leader="none" w:pos="1740" w:val="left"/>
        </w:tabs>
        <w:rPr>
          <w:sz w:val="20"/>
          <w:szCs w:val="20"/>
          <w:color w:val="auto"/>
        </w:rPr>
      </w:pPr>
      <w:r>
        <w:rPr>
          <w:rFonts w:ascii="Times New Roman" w:cs="Times New Roman" w:eastAsia="Times New Roman" w:hAnsi="Times New Roman"/>
          <w:sz w:val="15"/>
          <w:szCs w:val="15"/>
          <w:color w:val="auto"/>
        </w:rPr>
        <w:t>(b)</w:t>
        <w:tab/>
        <w:t>Financial Statement Schedules</w:t>
      </w:r>
    </w:p>
    <w:p>
      <w:pPr>
        <w:spacing w:after="0" w:line="12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Schedules not listed above have been omitted because the information required to be set forth therein is not applicable or is shown in the financial statements or notes thereto.</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undersigned Registrant hereby undertakes that:</w:t>
      </w:r>
    </w:p>
    <w:p>
      <w:pPr>
        <w:spacing w:after="0" w:line="124" w:lineRule="exact"/>
        <w:rPr>
          <w:sz w:val="20"/>
          <w:szCs w:val="20"/>
          <w:color w:val="auto"/>
        </w:rPr>
      </w:pPr>
    </w:p>
    <w:p>
      <w:pPr>
        <w:jc w:val="both"/>
        <w:ind w:left="1460" w:right="1179" w:firstLine="290"/>
        <w:spacing w:after="0" w:line="269" w:lineRule="auto"/>
        <w:tabs>
          <w:tab w:leader="none" w:pos="2093"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determining any liability under the Securities Act, the information omitted from the form of prospectus filed as part of this Registration Statement in reliance upon Rule 430A and</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1" w:name="page262"/>
    <w:bookmarkEnd w:id="26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60" w:right="1179"/>
        <w:spacing w:after="0" w:line="257" w:lineRule="auto"/>
        <w:rPr>
          <w:sz w:val="20"/>
          <w:szCs w:val="20"/>
          <w:color w:val="auto"/>
        </w:rPr>
      </w:pPr>
      <w:r>
        <w:rPr>
          <w:rFonts w:ascii="Times New Roman" w:cs="Times New Roman" w:eastAsia="Times New Roman" w:hAnsi="Times New Roman"/>
          <w:sz w:val="15"/>
          <w:szCs w:val="15"/>
          <w:color w:val="auto"/>
        </w:rPr>
        <w:t>contained in a form of prospectus filed by the Registrant pursuant to Rule 424(b)(1) or (4) or 497(h) under the Securities Act shall be deemed to be part of this Registration Statement as of the time it was declared effective.</w:t>
      </w:r>
    </w:p>
    <w:p>
      <w:pPr>
        <w:spacing w:after="0" w:line="94" w:lineRule="exact"/>
        <w:rPr>
          <w:sz w:val="20"/>
          <w:szCs w:val="20"/>
          <w:color w:val="auto"/>
        </w:rPr>
      </w:pPr>
    </w:p>
    <w:p>
      <w:pPr>
        <w:jc w:val="both"/>
        <w:ind w:left="1460" w:right="1179" w:firstLine="290"/>
        <w:spacing w:after="0" w:line="252" w:lineRule="auto"/>
        <w:tabs>
          <w:tab w:leader="none" w:pos="2119"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2" w:name="page263"/>
    <w:bookmarkEnd w:id="26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ectPr>
          <w:pgSz w:w="11900" w:h="16838" w:orient="portrait"/>
          <w:cols w:equalWidth="0" w:num="1">
            <w:col w:w="9019"/>
          </w:cols>
          <w:pgMar w:left="1440" w:top="98" w:right="1440" w:bottom="1440" w:gutter="0" w:footer="0" w:header="0"/>
        </w:sectPr>
      </w:pP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2"/>
          <w:szCs w:val="12"/>
          <w:b w:val="1"/>
          <w:bCs w:val="1"/>
          <w:color w:val="auto"/>
        </w:rPr>
        <w:t>Exhibit</w:t>
      </w:r>
    </w:p>
    <w:p>
      <w:pPr>
        <w:ind w:left="1160"/>
        <w:spacing w:after="0" w:line="184" w:lineRule="auto"/>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0</wp:posOffset>
            </wp:positionV>
            <wp:extent cx="36957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69570" cy="6985"/>
                    </a:xfrm>
                    <a:prstGeom prst="rect">
                      <a:avLst/>
                    </a:prstGeom>
                    <a:noFill/>
                  </pic:spPr>
                </pic:pic>
              </a:graphicData>
            </a:graphic>
          </wp:anchor>
        </w:drawing>
      </w:r>
    </w:p>
    <w:p>
      <w:pPr>
        <w:ind w:left="1160"/>
        <w:spacing w:after="0" w:line="180"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1.1*</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3.1*​</w:t>
      </w:r>
    </w:p>
    <w:p>
      <w:pPr>
        <w:spacing w:after="0" w:line="1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​3.2*</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4.1*</w:t>
      </w:r>
    </w:p>
    <w:p>
      <w:pPr>
        <w:ind w:left="1160"/>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4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36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1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c>
          <w:tcPr>
            <w:tcW w:w="3640" w:type="dxa"/>
            <w:vAlign w:val="bottom"/>
            <w:tcBorders>
              <w:top w:val="single" w:sz="8" w:color="auto"/>
            </w:tcBorders>
          </w:tcPr>
          <w:p>
            <w:pPr>
              <w:spacing w:after="0"/>
              <w:rPr>
                <w:sz w:val="17"/>
                <w:szCs w:val="17"/>
                <w:color w:val="auto"/>
              </w:rPr>
            </w:pPr>
          </w:p>
        </w:tc>
        <w:tc>
          <w:tcPr>
            <w:tcW w:w="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r>
    </w:tbl>
    <w:p>
      <w:pPr>
        <w:jc w:val="both"/>
        <w:ind w:left="180" w:right="1139" w:hanging="175"/>
        <w:spacing w:after="0" w:line="259" w:lineRule="auto"/>
        <w:rPr>
          <w:sz w:val="20"/>
          <w:szCs w:val="20"/>
          <w:color w:val="auto"/>
        </w:rPr>
      </w:pPr>
      <w:r>
        <w:rPr>
          <w:rFonts w:ascii="Times New Roman" w:cs="Times New Roman" w:eastAsia="Times New Roman" w:hAnsi="Times New Roman"/>
          <w:sz w:val="15"/>
          <w:szCs w:val="15"/>
          <w:color w:val="auto"/>
        </w:rPr>
        <w:t>​ ​ Form of Restated Certificate of Incorporation of the Registrant (to be effective prior to the​ consummation of this offering).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Form of Amended and Restated Bylaws of the Registrant (to be effective prior to the​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consummation of this offering).</w:t>
            </w:r>
          </w:p>
        </w:tc>
        <w:tc>
          <w:tcPr>
            <w:tcW w:w="1060" w:type="dxa"/>
            <w:vAlign w:val="bottom"/>
          </w:tcPr>
          <w:p>
            <w:pPr>
              <w:spacing w:after="0"/>
              <w:rPr>
                <w:sz w:val="15"/>
                <w:szCs w:val="15"/>
                <w:color w:val="auto"/>
              </w:rPr>
            </w:pPr>
          </w:p>
        </w:tc>
      </w:tr>
      <w:tr>
        <w:trPr>
          <w:trHeight w:val="236"/>
        </w:trPr>
        <w:tc>
          <w:tcPr>
            <w:tcW w:w="5080" w:type="dxa"/>
            <w:vAlign w:val="bottom"/>
          </w:tcPr>
          <w:p>
            <w:pPr>
              <w:spacing w:after="0" w:line="236"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Specimen stock certificate evidencing shares of common stock.</w:t>
            </w:r>
          </w:p>
        </w:tc>
        <w:tc>
          <w:tcPr>
            <w:tcW w:w="10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r>
    </w:tbl>
    <w:p>
      <w:pPr>
        <w:jc w:val="both"/>
        <w:ind w:left="180" w:right="1139" w:hanging="175"/>
        <w:spacing w:after="0" w:line="258" w:lineRule="auto"/>
        <w:rPr>
          <w:sz w:val="20"/>
          <w:szCs w:val="20"/>
          <w:color w:val="auto"/>
        </w:rPr>
      </w:pPr>
      <w:r>
        <w:rPr>
          <w:rFonts w:ascii="Times New Roman" w:cs="Times New Roman" w:eastAsia="Times New Roman" w:hAnsi="Times New Roman"/>
          <w:sz w:val="15"/>
          <w:szCs w:val="15"/>
          <w:color w:val="auto"/>
        </w:rPr>
        <w:t>​ ​ Fourth Amended and Restated Shareholders Agreement, among the Registrant and certain of its​ stockholders, dated May 3, 2024.</w:t>
      </w:r>
    </w:p>
    <w:p>
      <w:pPr>
        <w:spacing w:after="0" w:line="1" w:lineRule="exact"/>
        <w:rPr>
          <w:sz w:val="20"/>
          <w:szCs w:val="20"/>
          <w:color w:val="auto"/>
        </w:rPr>
      </w:pPr>
    </w:p>
    <w:p>
      <w:pPr>
        <w:sectPr>
          <w:pgSz w:w="11900" w:h="16838" w:orient="portrait"/>
          <w:cols w:equalWidth="0" w:num="2">
            <w:col w:w="1660" w:space="80"/>
            <w:col w:w="7279"/>
          </w:cols>
          <w:pgMar w:left="1440" w:top="9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144"/>
        </w:trPr>
        <w:tc>
          <w:tcPr>
            <w:tcW w:w="58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Opinion of Ropes &amp; Gray LLP.</w:t>
            </w:r>
          </w:p>
        </w:tc>
        <w:tc>
          <w:tcPr>
            <w:tcW w:w="4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84"/>
        </w:trPr>
        <w:tc>
          <w:tcPr>
            <w:tcW w:w="58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5.1*</w:t>
            </w:r>
          </w:p>
        </w:tc>
        <w:tc>
          <w:tcPr>
            <w:tcW w:w="160" w:type="dxa"/>
            <w:vAlign w:val="bottom"/>
          </w:tcPr>
          <w:p>
            <w:pPr>
              <w:spacing w:after="0"/>
              <w:rPr>
                <w:sz w:val="7"/>
                <w:szCs w:val="7"/>
                <w:color w:val="auto"/>
              </w:rPr>
            </w:pPr>
          </w:p>
        </w:tc>
        <w:tc>
          <w:tcPr>
            <w:tcW w:w="59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License Agreement by and between Zenas BioPharma (Cayman) Limited and Xencor, Inc.,</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10.1+**</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dated September 23, 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License Agreement by and between Zenas BioPharma (Cayman) Limited and Xencor, Inc.,</w:t>
            </w:r>
          </w:p>
        </w:tc>
        <w:tc>
          <w:tcPr>
            <w:tcW w:w="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10.2+**</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dated May 27,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First Amendment to License Agreement by and between Zenas BioPharma (Cayman) Limited</w:t>
            </w:r>
          </w:p>
        </w:tc>
        <w:tc>
          <w:tcPr>
            <w:tcW w:w="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10.3+**</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 Xencor, Inc., dated May 27,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Second Amendment to License Agreement by and between Zenas BioPharma, Inc. and Xencor,</w:t>
            </w:r>
          </w:p>
        </w:tc>
        <w:tc>
          <w:tcPr>
            <w:tcW w:w="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10.4+**</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 dated May 27,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License Agreement by and between the Registrant and Bristol-Myers Squibb Company, dated as</w:t>
            </w:r>
          </w:p>
        </w:tc>
        <w:tc>
          <w:tcPr>
            <w:tcW w:w="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10.5+**</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 August 30, 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5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Zenas BioPharma, Inc. 2020 Equity Incentive Plan.</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580" w:type="dxa"/>
            <w:vAlign w:val="bottom"/>
          </w:tcPr>
          <w:p>
            <w:pPr>
              <w:spacing w:after="0" w:line="74" w:lineRule="exact"/>
              <w:rPr>
                <w:sz w:val="20"/>
                <w:szCs w:val="20"/>
                <w:color w:val="auto"/>
              </w:rPr>
            </w:pPr>
            <w:r>
              <w:rPr>
                <w:rFonts w:ascii="Times New Roman" w:cs="Times New Roman" w:eastAsia="Times New Roman" w:hAnsi="Times New Roman"/>
                <w:sz w:val="8"/>
                <w:szCs w:val="8"/>
                <w:color w:val="auto"/>
              </w:rPr>
              <w:t>10.6#**</w:t>
            </w:r>
          </w:p>
        </w:tc>
        <w:tc>
          <w:tcPr>
            <w:tcW w:w="160" w:type="dxa"/>
            <w:vAlign w:val="bottom"/>
          </w:tcPr>
          <w:p>
            <w:pPr>
              <w:spacing w:after="0"/>
              <w:rPr>
                <w:sz w:val="6"/>
                <w:szCs w:val="6"/>
                <w:color w:val="auto"/>
              </w:rPr>
            </w:pPr>
          </w:p>
        </w:tc>
        <w:tc>
          <w:tcPr>
            <w:tcW w:w="5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Amendment to Zenas BioPharma, Inc. 2020 Equity Incentive Plan.</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3"/>
        </w:trPr>
        <w:tc>
          <w:tcPr>
            <w:tcW w:w="580" w:type="dxa"/>
            <w:vAlign w:val="bottom"/>
          </w:tcPr>
          <w:p>
            <w:pPr>
              <w:spacing w:after="0" w:line="74" w:lineRule="exact"/>
              <w:rPr>
                <w:sz w:val="20"/>
                <w:szCs w:val="20"/>
                <w:color w:val="auto"/>
              </w:rPr>
            </w:pPr>
            <w:r>
              <w:rPr>
                <w:rFonts w:ascii="Times New Roman" w:cs="Times New Roman" w:eastAsia="Times New Roman" w:hAnsi="Times New Roman"/>
                <w:sz w:val="8"/>
                <w:szCs w:val="8"/>
                <w:color w:val="auto"/>
              </w:rPr>
              <w:t>10.7#**</w:t>
            </w:r>
          </w:p>
        </w:tc>
        <w:tc>
          <w:tcPr>
            <w:tcW w:w="160" w:type="dxa"/>
            <w:vAlign w:val="bottom"/>
          </w:tcPr>
          <w:p>
            <w:pPr>
              <w:spacing w:after="0"/>
              <w:rPr>
                <w:sz w:val="6"/>
                <w:szCs w:val="6"/>
                <w:color w:val="auto"/>
              </w:rPr>
            </w:pPr>
          </w:p>
        </w:tc>
        <w:tc>
          <w:tcPr>
            <w:tcW w:w="5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Amendment to Zenas BioPharma, Inc. 2020 Equity Incentive Plan</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84"/>
        </w:trPr>
        <w:tc>
          <w:tcPr>
            <w:tcW w:w="58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10.8#</w:t>
            </w:r>
          </w:p>
        </w:tc>
        <w:tc>
          <w:tcPr>
            <w:tcW w:w="160" w:type="dxa"/>
            <w:vAlign w:val="bottom"/>
          </w:tcPr>
          <w:p>
            <w:pPr>
              <w:spacing w:after="0"/>
              <w:rPr>
                <w:sz w:val="7"/>
                <w:szCs w:val="7"/>
                <w:color w:val="auto"/>
              </w:rPr>
            </w:pPr>
          </w:p>
        </w:tc>
        <w:tc>
          <w:tcPr>
            <w:tcW w:w="59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Form of Restricted Share Agreement under the Zenas BioPharma, Inc. 2020 Equity Incentive</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10.9#**</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Plan.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Form of Non-Qualified Stock Option (Non-Employee Directors) under the Zenas BioPharma,</w:t>
            </w:r>
          </w:p>
        </w:tc>
        <w:tc>
          <w:tcPr>
            <w:tcW w:w="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10.10#**</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 2020 Equity Incentive Plan.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Form of Non-Qualified Stock Option Agreement (Employees) under the Zenas BioPharma, Inc.</w:t>
            </w:r>
          </w:p>
        </w:tc>
        <w:tc>
          <w:tcPr>
            <w:tcW w:w="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10.11#**</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2020 Equity Incentive Plan.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Form of Incentive Stock Option Agreement under the Zenas BioPharma, Inc. 2020 Equity</w:t>
            </w:r>
          </w:p>
        </w:tc>
        <w:tc>
          <w:tcPr>
            <w:tcW w:w="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5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10.12#**</w:t>
            </w:r>
          </w:p>
        </w:tc>
        <w:tc>
          <w:tcPr>
            <w:tcW w:w="1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Incentive Plan.</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5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Separation Agreement between the Registrant and Hua Mu, dated June 29, 2023.</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8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10.13#**</w:t>
            </w:r>
          </w:p>
        </w:tc>
        <w:tc>
          <w:tcPr>
            <w:tcW w:w="160" w:type="dxa"/>
            <w:vAlign w:val="bottom"/>
          </w:tcPr>
          <w:p>
            <w:pPr>
              <w:spacing w:after="0"/>
              <w:rPr>
                <w:sz w:val="7"/>
                <w:szCs w:val="7"/>
                <w:color w:val="auto"/>
              </w:rPr>
            </w:pPr>
          </w:p>
        </w:tc>
        <w:tc>
          <w:tcPr>
            <w:tcW w:w="59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Form of Indemnification Agreement, between the Registrant and each of its directors and</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7"/>
        </w:trPr>
        <w:tc>
          <w:tcPr>
            <w:tcW w:w="5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10.14*</w:t>
            </w:r>
          </w:p>
        </w:tc>
        <w:tc>
          <w:tcPr>
            <w:tcW w:w="160" w:type="dxa"/>
            <w:vAlign w:val="bottom"/>
          </w:tcPr>
          <w:p>
            <w:pPr>
              <w:spacing w:after="0"/>
              <w:rPr>
                <w:sz w:val="5"/>
                <w:szCs w:val="5"/>
                <w:color w:val="auto"/>
              </w:rPr>
            </w:pPr>
          </w:p>
        </w:tc>
        <w:tc>
          <w:tcPr>
            <w:tcW w:w="5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98" w:right="1440" w:bottom="1440" w:gutter="0" w:footer="0" w:header="0"/>
          <w:type w:val="continuous"/>
        </w:sectPr>
      </w:pP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21.1*</w:t>
      </w:r>
    </w:p>
    <w:p>
      <w:pPr>
        <w:ind w:left="1160"/>
        <w:spacing w:after="0" w:line="183" w:lineRule="auto"/>
        <w:rPr>
          <w:sz w:val="20"/>
          <w:szCs w:val="20"/>
          <w:color w:val="auto"/>
        </w:rPr>
      </w:pPr>
      <w:r>
        <w:rPr>
          <w:rFonts w:ascii="Times New Roman" w:cs="Times New Roman" w:eastAsia="Times New Roman" w:hAnsi="Times New Roman"/>
          <w:sz w:val="13"/>
          <w:szCs w:val="13"/>
          <w:color w:val="auto"/>
        </w:rPr>
        <w:t>23.1*</w:t>
      </w:r>
      <w:r>
        <w:rPr>
          <w:rFonts w:ascii="Times New Roman" w:cs="Times New Roman" w:eastAsia="Times New Roman" w:hAnsi="Times New Roman"/>
          <w:sz w:val="25"/>
          <w:szCs w:val="25"/>
          <w:color w:val="auto"/>
          <w:vertAlign w:val="superscript"/>
        </w:rPr>
        <w:t>​</w:t>
      </w:r>
    </w:p>
    <w:p>
      <w:pPr>
        <w:ind w:left="1160"/>
        <w:spacing w:after="0" w:line="183" w:lineRule="auto"/>
        <w:rPr>
          <w:sz w:val="20"/>
          <w:szCs w:val="20"/>
          <w:color w:val="auto"/>
        </w:rPr>
      </w:pPr>
      <w:r>
        <w:rPr>
          <w:rFonts w:ascii="Times New Roman" w:cs="Times New Roman" w:eastAsia="Times New Roman" w:hAnsi="Times New Roman"/>
          <w:sz w:val="13"/>
          <w:szCs w:val="13"/>
          <w:color w:val="auto"/>
        </w:rPr>
        <w:t>23.2*</w:t>
      </w:r>
      <w:r>
        <w:rPr>
          <w:rFonts w:ascii="Times New Roman" w:cs="Times New Roman" w:eastAsia="Times New Roman" w:hAnsi="Times New Roman"/>
          <w:sz w:val="25"/>
          <w:szCs w:val="25"/>
          <w:color w:val="auto"/>
          <w:vertAlign w:val="superscript"/>
        </w:rPr>
        <w:t>​</w:t>
      </w:r>
    </w:p>
    <w:p>
      <w:pPr>
        <w:ind w:left="1160"/>
        <w:spacing w:after="0" w:line="184" w:lineRule="auto"/>
        <w:rPr>
          <w:sz w:val="20"/>
          <w:szCs w:val="20"/>
          <w:color w:val="auto"/>
        </w:rPr>
      </w:pPr>
      <w:r>
        <w:rPr>
          <w:rFonts w:ascii="Times New Roman" w:cs="Times New Roman" w:eastAsia="Times New Roman" w:hAnsi="Times New Roman"/>
          <w:sz w:val="13"/>
          <w:szCs w:val="13"/>
          <w:color w:val="auto"/>
        </w:rPr>
        <w:t>24.1*</w:t>
      </w:r>
      <w:r>
        <w:rPr>
          <w:rFonts w:ascii="Times New Roman" w:cs="Times New Roman" w:eastAsia="Times New Roman" w:hAnsi="Times New Roman"/>
          <w:sz w:val="25"/>
          <w:szCs w:val="25"/>
          <w:color w:val="auto"/>
          <w:vertAlign w:val="superscript"/>
        </w:rPr>
        <w:t>​</w:t>
      </w:r>
    </w:p>
    <w:p>
      <w:pPr>
        <w:ind w:left="1160"/>
        <w:spacing w:after="0" w:line="187" w:lineRule="auto"/>
        <w:rPr>
          <w:sz w:val="20"/>
          <w:szCs w:val="20"/>
          <w:color w:val="auto"/>
        </w:rPr>
      </w:pPr>
      <w:r>
        <w:rPr>
          <w:rFonts w:ascii="Times New Roman" w:cs="Times New Roman" w:eastAsia="Times New Roman" w:hAnsi="Times New Roman"/>
          <w:sz w:val="15"/>
          <w:szCs w:val="15"/>
          <w:color w:val="auto"/>
        </w:rPr>
        <w:t>107*</w:t>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50800</wp:posOffset>
            </wp:positionV>
            <wp:extent cx="44640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3"/>
        <w:spacing w:after="0"/>
        <w:rPr>
          <w:sz w:val="20"/>
          <w:szCs w:val="20"/>
          <w:color w:val="auto"/>
        </w:rPr>
      </w:pPr>
      <w:r>
        <w:rPr>
          <w:rFonts w:ascii="Times New Roman" w:cs="Times New Roman" w:eastAsia="Times New Roman" w:hAnsi="Times New Roman"/>
          <w:sz w:val="15"/>
          <w:szCs w:val="15"/>
          <w:color w:val="auto"/>
        </w:rPr>
        <w:t>executive officers.</w:t>
      </w:r>
    </w:p>
    <w:p>
      <w:pPr>
        <w:ind w:left="93" w:hanging="93"/>
        <w:spacing w:after="0" w:line="200" w:lineRule="auto"/>
        <w:tabs>
          <w:tab w:leader="none" w:pos="93" w:val="left"/>
        </w:tabs>
        <w:numPr>
          <w:ilvl w:val="0"/>
          <w:numId w:val="1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List of Subsidiaries of the Registrant.</w:t>
      </w:r>
    </w:p>
    <w:p>
      <w:pPr>
        <w:ind w:left="93" w:hanging="93"/>
        <w:spacing w:after="0" w:line="183" w:lineRule="auto"/>
        <w:tabs>
          <w:tab w:leader="none" w:pos="93" w:val="left"/>
        </w:tabs>
        <w:numPr>
          <w:ilvl w:val="0"/>
          <w:numId w:val="1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Consent of Ernst &amp; Young LLP independent registered public accounting firm.</w:t>
      </w:r>
    </w:p>
    <w:p>
      <w:pPr>
        <w:ind w:left="93" w:hanging="93"/>
        <w:spacing w:after="0" w:line="183" w:lineRule="auto"/>
        <w:tabs>
          <w:tab w:leader="none" w:pos="93" w:val="left"/>
        </w:tabs>
        <w:numPr>
          <w:ilvl w:val="0"/>
          <w:numId w:val="1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Consent of Ropes &amp; Gray LLP (included in Exhibit 5.1).</w:t>
      </w:r>
    </w:p>
    <w:p>
      <w:pPr>
        <w:ind w:left="93" w:hanging="93"/>
        <w:spacing w:after="0" w:line="183" w:lineRule="auto"/>
        <w:tabs>
          <w:tab w:leader="none" w:pos="93" w:val="left"/>
        </w:tabs>
        <w:numPr>
          <w:ilvl w:val="0"/>
          <w:numId w:val="1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Power of Attorney (included on signature page).</w:t>
      </w:r>
    </w:p>
    <w:p>
      <w:pPr>
        <w:ind w:left="93" w:hanging="93"/>
        <w:spacing w:after="0" w:line="234" w:lineRule="auto"/>
        <w:tabs>
          <w:tab w:leader="none" w:pos="93" w:val="left"/>
        </w:tabs>
        <w:numPr>
          <w:ilvl w:val="0"/>
          <w:numId w:val="1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Filing Fee Table.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18" w:lineRule="exact"/>
        <w:rPr>
          <w:sz w:val="20"/>
          <w:szCs w:val="20"/>
          <w:color w:val="auto"/>
        </w:rPr>
      </w:pPr>
    </w:p>
    <w:p>
      <w:pPr>
        <w:sectPr>
          <w:pgSz w:w="11900" w:h="16838" w:orient="portrait"/>
          <w:cols w:equalWidth="0" w:num="3">
            <w:col w:w="1500" w:space="247"/>
            <w:col w:w="5373" w:space="720"/>
            <w:col w:w="1179"/>
          </w:cols>
          <w:pgMar w:left="1440" w:top="98" w:right="1440" w:bottom="1440" w:gutter="0" w:footer="0" w:header="0"/>
          <w:type w:val="continuous"/>
        </w:sectPr>
      </w:pPr>
    </w:p>
    <w:p>
      <w:pPr>
        <w:ind w:left="1160" w:right="6259" w:firstLine="4"/>
        <w:spacing w:after="0" w:line="334" w:lineRule="auto"/>
        <w:tabs>
          <w:tab w:leader="none" w:pos="1453"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by amendment. ** Previously filed.</w:t>
      </w: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management contract or compensatory plan.</w:t>
      </w:r>
    </w:p>
    <w:p>
      <w:pPr>
        <w:spacing w:after="0" w:line="49" w:lineRule="exact"/>
        <w:rPr>
          <w:sz w:val="20"/>
          <w:szCs w:val="20"/>
          <w:color w:val="auto"/>
        </w:rPr>
      </w:pPr>
    </w:p>
    <w:p>
      <w:pPr>
        <w:ind w:left="1460" w:right="1179" w:hanging="296"/>
        <w:spacing w:after="0" w:line="250" w:lineRule="auto"/>
        <w:tabs>
          <w:tab w:leader="none" w:pos="146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this exhibit (indicated by asterisks) have been redacted pursuant to Item 601 of Regulation S-K because they are both not material and the registrant customarily and actually treats such information as private or confidential.</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63" w:name="page264"/>
    <w:bookmarkEnd w:id="26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the registrant has duly caused this registration statement to be signed on its behalf by the undersigned, thereunto duly authorized, in the City of Waltham, Massachusetts, on                      , 2024.</w:t>
      </w:r>
    </w:p>
    <w:p>
      <w:pPr>
        <w:spacing w:after="0" w:line="9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1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39370</wp:posOffset>
            </wp:positionV>
            <wp:extent cx="182054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820545" cy="6985"/>
                    </a:xfrm>
                    <a:prstGeom prst="rect">
                      <a:avLst/>
                    </a:prstGeom>
                    <a:noFill/>
                  </pic:spPr>
                </pic:pic>
              </a:graphicData>
            </a:graphic>
          </wp:anchor>
        </w:drawing>
      </w:r>
    </w:p>
    <w:p>
      <w:pPr>
        <w:spacing w:after="0" w:line="6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Leon O. Moulder, Jr.</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5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KNOW ALL PERSONS BY THESE PRESENTS, that each person whose signature appears below constitutes and appoints Leon O. Moulder, Jr. and Joseph Farmer,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27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by the following persons in the capacities and on the dates indicated:</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Signature</w:t>
            </w:r>
          </w:p>
        </w:tc>
        <w:tc>
          <w:tcPr>
            <w:tcW w:w="20" w:type="dxa"/>
            <w:vAlign w:val="bottom"/>
            <w:tcBorders>
              <w:bottom w:val="single" w:sz="8" w:color="auto"/>
            </w:tcBorders>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35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0" w:type="dxa"/>
            <w:vAlign w:val="bottom"/>
          </w:tcPr>
          <w:p>
            <w:pPr>
              <w:spacing w:after="0"/>
              <w:rPr>
                <w:sz w:val="24"/>
                <w:szCs w:val="2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7"/>
        </w:trPr>
        <w:tc>
          <w:tcPr>
            <w:tcW w:w="820" w:type="dxa"/>
            <w:vAlign w:val="bottom"/>
            <w:tcBorders>
              <w:bottom w:val="single" w:sz="8" w:color="auto"/>
            </w:tcBorders>
          </w:tcPr>
          <w:p>
            <w:pPr>
              <w:spacing w:after="0" w:line="57" w:lineRule="exact"/>
              <w:rPr>
                <w:sz w:val="20"/>
                <w:szCs w:val="20"/>
                <w:color w:val="auto"/>
              </w:rPr>
            </w:pPr>
            <w:r>
              <w:rPr>
                <w:rFonts w:ascii="Times New Roman" w:cs="Times New Roman" w:eastAsia="Times New Roman" w:hAnsi="Times New Roman"/>
                <w:sz w:val="6"/>
                <w:szCs w:val="6"/>
                <w:color w:val="auto"/>
              </w:rPr>
              <w:t>​</w:t>
            </w:r>
          </w:p>
        </w:tc>
        <w:tc>
          <w:tcPr>
            <w:tcW w:w="13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84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color w:val="auto"/>
              </w:rPr>
              <w:t>Chief Executive Officer and Director</w:t>
            </w:r>
          </w:p>
        </w:tc>
        <w:tc>
          <w:tcPr>
            <w:tcW w:w="160" w:type="dxa"/>
            <w:vAlign w:val="bottom"/>
            <w:vMerge w:val="continue"/>
          </w:tcPr>
          <w:p>
            <w:pPr>
              <w:spacing w:after="0"/>
              <w:rPr>
                <w:sz w:val="6"/>
                <w:szCs w:val="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                     , 2024</w:t>
            </w: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Leon O. Moulder, Jr.</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Executive Officer</w:t>
            </w:r>
            <w:r>
              <w:rPr>
                <w:rFonts w:ascii="Times New Roman" w:cs="Times New Roman" w:eastAsia="Times New Roman" w:hAnsi="Times New Roman"/>
                <w:sz w:val="15"/>
                <w:szCs w:val="15"/>
                <w:color w:val="auto"/>
              </w:rPr>
              <w:t>)</w:t>
            </w:r>
          </w:p>
        </w:tc>
        <w:tc>
          <w:tcPr>
            <w:tcW w:w="1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Chief Business Officer and Chief</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line="153"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ind w:left="20"/>
              <w:spacing w:after="0" w:line="153" w:lineRule="exact"/>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color w:val="auto"/>
              </w:rPr>
              <w:t>Financial Officer</w:t>
            </w:r>
          </w:p>
        </w:tc>
        <w:tc>
          <w:tcPr>
            <w:tcW w:w="160" w:type="dxa"/>
            <w:vAlign w:val="bottom"/>
          </w:tcPr>
          <w:p>
            <w:pPr>
              <w:ind w:left="40"/>
              <w:spacing w:after="0" w:line="153" w:lineRule="exact"/>
              <w:rPr>
                <w:sz w:val="20"/>
                <w:szCs w:val="20"/>
                <w:color w:val="auto"/>
              </w:rPr>
            </w:pPr>
            <w:r>
              <w:rPr>
                <w:rFonts w:ascii="Times New Roman" w:cs="Times New Roman" w:eastAsia="Times New Roman" w:hAnsi="Times New Roman"/>
                <w:sz w:val="15"/>
                <w:szCs w:val="15"/>
                <w:color w:val="auto"/>
              </w:rPr>
              <w:t>​ ​</w:t>
            </w:r>
          </w:p>
        </w:tc>
        <w:tc>
          <w:tcPr>
            <w:tcW w:w="140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color w:val="auto"/>
                <w:w w:val="96"/>
              </w:rPr>
              <w:t>                     , 2024</w:t>
            </w: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Jennifer Fox</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Financial and Accounting Officer</w:t>
            </w: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82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ind w:left="20"/>
              <w:spacing w:after="0" w:line="121" w:lineRule="exact"/>
              <w:rPr>
                <w:sz w:val="20"/>
                <w:szCs w:val="20"/>
                <w:color w:val="auto"/>
              </w:rPr>
            </w:pPr>
            <w:r>
              <w:rPr>
                <w:rFonts w:ascii="Times New Roman" w:cs="Times New Roman" w:eastAsia="Times New Roman" w:hAnsi="Times New Roman"/>
                <w:sz w:val="14"/>
                <w:szCs w:val="14"/>
                <w:color w:val="auto"/>
              </w:rPr>
              <w:t>​ ​</w:t>
            </w:r>
          </w:p>
        </w:tc>
        <w:tc>
          <w:tcPr>
            <w:tcW w:w="284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ind w:left="40"/>
              <w:spacing w:after="0" w:line="121" w:lineRule="exact"/>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color w:val="auto"/>
              </w:rPr>
              <w:t>                     , 2024</w:t>
            </w:r>
          </w:p>
        </w:tc>
        <w:tc>
          <w:tcPr>
            <w:tcW w:w="4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Patricia Allen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2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Director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40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                     , 2024</w:t>
            </w: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0"/>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Boylan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2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Director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40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                     , 2024</w:t>
            </w: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0"/>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Patrick Enright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2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Director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40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                     , 2024</w:t>
            </w: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0"/>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Tomas Kiselak</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2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Director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40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                     , 2024</w:t>
            </w: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0"/>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Hongbo Lu, Ph.D.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2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Director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40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                     , 2024</w:t>
            </w: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0"/>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John Orloff, M.D.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2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Director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40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                     , 2024</w:t>
            </w: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Jake Nunn</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2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 </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color w:val="auto"/>
              </w:rPr>
              <w:t>​ ​</w:t>
            </w:r>
          </w:p>
        </w:tc>
        <w:tc>
          <w:tcPr>
            <w:tcW w:w="284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ind w:left="40"/>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color w:val="auto"/>
              </w:rPr>
              <w:t>                     , 2024</w:t>
            </w:r>
          </w:p>
        </w:tc>
        <w:tc>
          <w:tcPr>
            <w:tcW w:w="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-2393315</wp:posOffset>
            </wp:positionV>
            <wp:extent cx="133921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39215" cy="698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-2072005</wp:posOffset>
            </wp:positionV>
            <wp:extent cx="133921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39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-1772285</wp:posOffset>
            </wp:positionV>
            <wp:extent cx="133921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39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-1479550</wp:posOffset>
            </wp:positionV>
            <wp:extent cx="133921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39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-1186180</wp:posOffset>
            </wp:positionV>
            <wp:extent cx="133921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39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-893445</wp:posOffset>
            </wp:positionV>
            <wp:extent cx="133921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39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-600075</wp:posOffset>
            </wp:positionV>
            <wp:extent cx="133921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392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-307340</wp:posOffset>
            </wp:positionV>
            <wp:extent cx="133921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39215" cy="698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-27940</wp:posOffset>
            </wp:positionV>
            <wp:extent cx="133921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5"/>
          <w:szCs w:val="15"/>
          <w:color w:val="auto"/>
        </w:rPr>
        <w:t>Tim Xiao</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AMENDMENT TO THE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EQUITY INCENTIVE PLAN</w:t>
      </w:r>
    </w:p>
    <w:p>
      <w:pPr>
        <w:spacing w:after="0" w:line="16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WHEREAS, </w:t>
      </w:r>
      <w:r>
        <w:rPr>
          <w:rFonts w:ascii="Times New Roman" w:cs="Times New Roman" w:eastAsia="Times New Roman" w:hAnsi="Times New Roman"/>
          <w:sz w:val="15"/>
          <w:szCs w:val="15"/>
          <w:color w:val="auto"/>
        </w:rPr>
        <w:t>pursuant to Section 9 of the 2020 Equity Incentive Plan (as may be amended from time to time, the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of Zenas BioPharma, Inc.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the Company’s Board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Directors (the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and stockholders (the “</w:t>
      </w:r>
      <w:r>
        <w:rPr>
          <w:rFonts w:ascii="Times New Roman" w:cs="Times New Roman" w:eastAsia="Times New Roman" w:hAnsi="Times New Roman"/>
          <w:sz w:val="15"/>
          <w:szCs w:val="15"/>
          <w:b w:val="1"/>
          <w:bCs w:val="1"/>
          <w:color w:val="auto"/>
        </w:rPr>
        <w:t>Stockholders</w:t>
      </w:r>
      <w:r>
        <w:rPr>
          <w:rFonts w:ascii="Times New Roman" w:cs="Times New Roman" w:eastAsia="Times New Roman" w:hAnsi="Times New Roman"/>
          <w:sz w:val="15"/>
          <w:szCs w:val="15"/>
          <w:color w:val="auto"/>
        </w:rPr>
        <w:t>”) are authorized to amend the Plan from time to time; and</w:t>
      </w:r>
    </w:p>
    <w:p>
      <w:pPr>
        <w:spacing w:after="0" w:line="13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WHEREAS, </w:t>
      </w:r>
      <w:r>
        <w:rPr>
          <w:rFonts w:ascii="Times New Roman" w:cs="Times New Roman" w:eastAsia="Times New Roman" w:hAnsi="Times New Roman"/>
          <w:sz w:val="15"/>
          <w:szCs w:val="15"/>
          <w:color w:val="auto"/>
        </w:rPr>
        <w:t>the Board and Stockholders find it desirable and in the best interests of the Company to amend the first sentence of Section 4(a) of the Plan to increase such maximum number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available for grant under the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NOW, THEREFORE, </w:t>
      </w:r>
      <w:r>
        <w:rPr>
          <w:rFonts w:ascii="Times New Roman" w:cs="Times New Roman" w:eastAsia="Times New Roman" w:hAnsi="Times New Roman"/>
          <w:sz w:val="15"/>
          <w:szCs w:val="15"/>
          <w:color w:val="auto"/>
        </w:rPr>
        <w:t>the Plan is hereby amended as follows: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first sentence of Section 4(a) of the Plan is hereby deleted and replaced in its entirety with the following:</w:t>
      </w:r>
    </w:p>
    <w:p>
      <w:pPr>
        <w:spacing w:after="0" w:line="177" w:lineRule="exact"/>
        <w:rPr>
          <w:sz w:val="20"/>
          <w:szCs w:val="20"/>
          <w:color w:val="auto"/>
        </w:rPr>
      </w:pPr>
    </w:p>
    <w:p>
      <w:pPr>
        <w:ind w:left="1060"/>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Number of Shares</w:t>
      </w:r>
      <w:r>
        <w:rPr>
          <w:rFonts w:ascii="Times New Roman" w:cs="Times New Roman" w:eastAsia="Times New Roman" w:hAnsi="Times New Roman"/>
          <w:sz w:val="15"/>
          <w:szCs w:val="15"/>
          <w:color w:val="auto"/>
        </w:rPr>
        <w:t>. Subject to adjustment as provided in Section 7(b) below, the number of Shares that may be issued in satisfaction of Awards under the Plan is 38,414,424 Shares (the ‘</w:t>
      </w:r>
      <w:r>
        <w:rPr>
          <w:rFonts w:ascii="Times New Roman" w:cs="Times New Roman" w:eastAsia="Times New Roman" w:hAnsi="Times New Roman"/>
          <w:sz w:val="15"/>
          <w:szCs w:val="15"/>
          <w:b w:val="1"/>
          <w:bCs w:val="1"/>
          <w:color w:val="auto"/>
        </w:rPr>
        <w:t>Share Pool</w:t>
      </w:r>
      <w:r>
        <w:rPr>
          <w:rFonts w:ascii="Times New Roman" w:cs="Times New Roman" w:eastAsia="Times New Roman" w:hAnsi="Times New Roman"/>
          <w:sz w:val="15"/>
          <w:szCs w:val="15"/>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Approved by the Board: May 3, 2024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Approved by the Stockholders: 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5772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sectPr>
      <w:pgSz w:w="11900" w:h="16838" w:orient="portrait"/>
      <w:cols w:equalWidth="0" w:num="1">
        <w:col w:w="11280"/>
      </w:cols>
      <w:pgMar w:left="300" w:top="31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
      <w:numFmt w:val="bullet"/>
      <w:start w:val="1"/>
    </w:lvl>
  </w:abstractNum>
  <w:abstractNum w:abstractNumId="8">
    <w:nsid w:val="613EFDC5"/>
    <w:multiLevelType w:val="hybridMultilevel"/>
    <w:lvl w:ilvl="0">
      <w:lvlJc w:val="left"/>
      <w:lvlText w:val="(%1)"/>
      <w:numFmt w:val="lowerRoman"/>
      <w:start w:val="2"/>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1)"/>
      <w:numFmt w:val="decimal"/>
      <w:start w:val="1"/>
    </w:lvl>
  </w:abstractNum>
  <w:abstractNum w:abstractNumId="17">
    <w:nsid w:val="4962813B"/>
    <w:multiLevelType w:val="hybridMultilevel"/>
    <w:lvl w:ilvl="0">
      <w:lvlJc w:val="left"/>
      <w:lvlText w:val="%1"/>
      <w:numFmt w:val="decimal"/>
      <w:start w:val="1"/>
    </w:lvl>
    <w:lvl w:ilvl="1">
      <w:lvlJc w:val="left"/>
      <w:lvlText w:val="(%2)"/>
      <w:numFmt w:val="lowerRoman"/>
      <w:start w:val="2"/>
    </w:lvl>
  </w:abstractNum>
  <w:abstractNum w:abstractNumId="18">
    <w:nsid w:val="60B6DF70"/>
    <w:multiLevelType w:val="hybridMultilevel"/>
    <w:lvl w:ilvl="0">
      <w:lvlJc w:val="left"/>
      <w:lvlText w:val="(%1)"/>
      <w:numFmt w:val="decimal"/>
      <w:start w:val="2"/>
    </w:lvl>
    <w:lvl w:ilvl="1">
      <w:lvlJc w:val="left"/>
      <w:lvlText w:val="%2"/>
      <w:numFmt w:val="lowerRoman"/>
      <w:start w:val="1"/>
    </w:lvl>
  </w:abstractNum>
  <w:abstractNum w:abstractNumId="19">
    <w:nsid w:val="6A5EE64"/>
    <w:multiLevelType w:val="hybridMultilevel"/>
    <w:lvl w:ilvl="0">
      <w:lvlJc w:val="left"/>
      <w:lvlText w:val="(%1)"/>
      <w:numFmt w:val="decimal"/>
      <w:start w:val="3"/>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1)"/>
      <w:numFmt w:val="lowerRoman"/>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
      <w:numFmt w:val="bullet"/>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lvl w:ilvl="1">
      <w:lvlJc w:val="left"/>
      <w:lvlText w:val="(%2)"/>
      <w:numFmt w:val="lowerRoman"/>
      <w:start w:val="2"/>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
      <w:numFmt w:val="bullet"/>
      <w:start w:val="1"/>
    </w:lvl>
  </w:abstractNum>
  <w:abstractNum w:abstractNumId="56">
    <w:nsid w:val="6A5F7029"/>
    <w:multiLevelType w:val="hybridMultilevel"/>
    <w:lvl w:ilvl="0">
      <w:lvlJc w:val="left"/>
      <w:lvlText w:val="(%1)"/>
      <w:numFmt w:val="lowerRoman"/>
      <w:start w:val="2"/>
    </w:lvl>
    <w:lvl w:ilvl="1">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lvl w:ilvl="1">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5"/>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a"/>
      <w:numFmt w:val="bullet"/>
      <w:start w:val="1"/>
    </w:lvl>
  </w:abstractNum>
  <w:abstractNum w:abstractNumId="91">
    <w:nsid w:val="379E21B5"/>
    <w:multiLevelType w:val="hybridMultilevel"/>
    <w:lvl w:ilvl="0">
      <w:lvlJc w:val="left"/>
      <w:lvlText w:val="(%1)"/>
      <w:numFmt w:val="lowerRoman"/>
      <w:start w:val="2"/>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1)"/>
      <w:numFmt w:val="decimal"/>
      <w:start w:val="1"/>
    </w:lvl>
  </w:abstractNum>
  <w:abstractNum w:abstractNumId="103">
    <w:nsid w:val="4F97E3E4"/>
    <w:multiLevelType w:val="hybridMultilevel"/>
    <w:lvl w:ilvl="0">
      <w:lvlJc w:val="left"/>
      <w:lvlText w:val="(%1)"/>
      <w:numFmt w:val="decimal"/>
      <w:start w:val="3"/>
    </w:lvl>
  </w:abstractNum>
  <w:abstractNum w:abstractNumId="104">
    <w:nsid w:val="53B0A9E"/>
    <w:multiLevelType w:val="hybridMultilevel"/>
    <w:lvl w:ilvl="0">
      <w:lvlJc w:val="left"/>
      <w:lvlText w:val="(%1)"/>
      <w:numFmt w:val="decimal"/>
      <w:start w:val="1"/>
    </w:lvl>
  </w:abstractNum>
  <w:abstractNum w:abstractNumId="105">
    <w:nsid w:val="34FD6B4F"/>
    <w:multiLevelType w:val="hybridMultilevel"/>
    <w:lvl w:ilvl="0">
      <w:lvlJc w:val="left"/>
      <w:lvlText w:val="(%1)"/>
      <w:numFmt w:val="decimal"/>
      <w:start w:val="6"/>
    </w:lvl>
  </w:abstractNum>
  <w:abstractNum w:abstractNumId="106">
    <w:nsid w:val="5915FF32"/>
    <w:multiLevelType w:val="hybridMultilevel"/>
    <w:lvl w:ilvl="0">
      <w:lvlJc w:val="left"/>
      <w:lvlText w:val="(%1)"/>
      <w:numFmt w:val="decimal"/>
      <w:start w:val="1"/>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1)"/>
      <w:numFmt w:val="decimal"/>
      <w:start w:val="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1)"/>
      <w:numFmt w:val="decimal"/>
      <w:start w:val="1"/>
    </w:lvl>
  </w:abstractNum>
  <w:abstractNum w:abstractNumId="115">
    <w:nsid w:val="5EC6AFD4"/>
    <w:multiLevelType w:val="hybridMultilevel"/>
    <w:lvl w:ilvl="0">
      <w:lvlJc w:val="left"/>
      <w:lvlText w:val=" "/>
      <w:numFmt w:val="bullet"/>
      <w:start w:val="1"/>
    </w:lvl>
  </w:abstractNum>
  <w:abstractNum w:abstractNumId="116">
    <w:nsid w:val="19E21BB2"/>
    <w:multiLevelType w:val="hybridMultilevel"/>
    <w:lvl w:ilvl="0">
      <w:lvlJc w:val="left"/>
      <w:lvlText w:val="(%1)"/>
      <w:numFmt w:val="lowerRoman"/>
      <w:start w:val="1"/>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
      <w:numFmt w:val="bullet"/>
      <w:start w:val="1"/>
    </w:lvl>
  </w:abstractNum>
  <w:abstractNum w:abstractNumId="120">
    <w:nsid w:val="20EE1348"/>
    <w:multiLevelType w:val="hybridMultilevel"/>
    <w:lvl w:ilvl="0">
      <w:lvlJc w:val="left"/>
      <w:lvlText w:val="•"/>
      <w:numFmt w:val="bullet"/>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
      <w:numFmt w:val="bullet"/>
      <w:start w:val="1"/>
    </w:lvl>
  </w:abstractNum>
  <w:abstractNum w:abstractNumId="124">
    <w:nsid w:val="704E1DD5"/>
    <w:multiLevelType w:val="hybridMultilevel"/>
    <w:lvl w:ilvl="0">
      <w:lvlJc w:val="left"/>
      <w:lvlText w:val="•"/>
      <w:numFmt w:val="bullet"/>
      <w:start w:val="1"/>
    </w:lvl>
  </w:abstractNum>
  <w:abstractNum w:abstractNumId="125">
    <w:nsid w:val="57D2F10E"/>
    <w:multiLevelType w:val="hybridMultilevel"/>
    <w:lvl w:ilvl="0">
      <w:lvlJc w:val="left"/>
      <w:lvlText w:val="•"/>
      <w:numFmt w:val="bullet"/>
      <w:start w:val="1"/>
    </w:lvl>
    <w:lvl w:ilvl="1">
      <w:lvlJc w:val="left"/>
      <w:lvlText w:val="(%2)"/>
      <w:numFmt w:val="lowerRoman"/>
      <w:start w:val="3"/>
    </w:lvl>
  </w:abstractNum>
  <w:abstractNum w:abstractNumId="126">
    <w:nsid w:val="BFFAE18"/>
    <w:multiLevelType w:val="hybridMultilevel"/>
    <w:lvl w:ilvl="0">
      <w:lvlJc w:val="left"/>
      <w:lvlText w:val="•"/>
      <w:numFmt w:val="bullet"/>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1)"/>
      <w:numFmt w:val="lowerRoman"/>
      <w:start w:val="1"/>
    </w:lvl>
  </w:abstractNum>
  <w:abstractNum w:abstractNumId="129">
    <w:nsid w:val="49D0FEAC"/>
    <w:multiLevelType w:val="hybridMultilevel"/>
    <w:lvl w:ilvl="0">
      <w:lvlJc w:val="left"/>
      <w:lvlText w:val="(%1)"/>
      <w:numFmt w:val="lowerRoman"/>
      <w:start w:val="1"/>
    </w:lvl>
  </w:abstractNum>
  <w:abstractNum w:abstractNumId="130">
    <w:nsid w:val="4BEE5A5B"/>
    <w:multiLevelType w:val="hybridMultilevel"/>
    <w:lvl w:ilvl="0">
      <w:lvlJc w:val="left"/>
      <w:lvlText w:val="(%1)"/>
      <w:numFmt w:val="lowerRoman"/>
      <w:start w:val="1"/>
    </w:lvl>
  </w:abstractNum>
  <w:abstractNum w:abstractNumId="131">
    <w:nsid w:val="5551B9F3"/>
    <w:multiLevelType w:val="hybridMultilevel"/>
    <w:lvl w:ilvl="0">
      <w:lvlJc w:val="left"/>
      <w:lvlText w:val="(%1)"/>
      <w:numFmt w:val="lowerRoman"/>
      <w:start w:val="1"/>
    </w:lvl>
  </w:abstractNum>
  <w:abstractNum w:abstractNumId="132">
    <w:nsid w:val="24F6AB8E"/>
    <w:multiLevelType w:val="hybridMultilevel"/>
    <w:lvl w:ilvl="0">
      <w:lvlJc w:val="left"/>
      <w:lvlText w:val="(%1)"/>
      <w:numFmt w:val="lowerRoman"/>
      <w:start w:val="1"/>
    </w:lvl>
  </w:abstractNum>
  <w:abstractNum w:abstractNumId="133">
    <w:nsid w:val="634C574C"/>
    <w:multiLevelType w:val="hybridMultilevel"/>
    <w:lvl w:ilvl="0">
      <w:lvlJc w:val="left"/>
      <w:lvlText w:val="(%1)"/>
      <w:numFmt w:val="lowerLetter"/>
      <w:start w:val="1"/>
    </w:lvl>
  </w:abstractNum>
  <w:abstractNum w:abstractNumId="134">
    <w:nsid w:val="24E99DD7"/>
    <w:multiLevelType w:val="hybridMultilevel"/>
    <w:lvl w:ilvl="0">
      <w:lvlJc w:val="left"/>
      <w:lvlText w:val="(%1)"/>
      <w:numFmt w:val="lowerLetter"/>
      <w:start w:val="2"/>
    </w:lvl>
  </w:abstractNum>
  <w:abstractNum w:abstractNumId="135">
    <w:nsid w:val="2A31B62D"/>
    <w:multiLevelType w:val="hybridMultilevel"/>
    <w:lvl w:ilvl="0">
      <w:lvlJc w:val="left"/>
      <w:lvlText w:val="(%1)"/>
      <w:numFmt w:val="lowerRoman"/>
      <w:start w:val="3"/>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decimal"/>
      <w:start w:val="2"/>
    </w:lvl>
  </w:abstractNum>
  <w:abstractNum w:abstractNumId="140">
    <w:nsid w:val="2A6DE806"/>
    <w:multiLevelType w:val="hybridMultilevel"/>
    <w:lvl w:ilvl="0">
      <w:lvlJc w:val="left"/>
      <w:lvlText w:val="​"/>
      <w:numFmt w:val="bullet"/>
      <w:start w:val="1"/>
    </w:lvl>
  </w:abstractNum>
  <w:abstractNum w:abstractNumId="141">
    <w:nsid w:val="1816F8C4"/>
    <w:multiLevelType w:val="hybridMultilevel"/>
    <w:lvl w:ilvl="0">
      <w:lvlJc w:val="left"/>
      <w:lvlText w:val="*"/>
      <w:numFmt w:val="bullet"/>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2024-08-26T23:24:16Z</dcterms:created>
  <dcterms:modified xsi:type="dcterms:W3CDTF">2024-08-26T23:24:16Z</dcterms:modified>
</cp:coreProperties>
</file>