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October 21, 2025</w:t>
      </w:r>
    </w:p>
    <w:p>
      <w:pPr>
        <w:spacing w:after="0" w:line="40"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6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1905</wp:posOffset>
            </wp:positionV>
            <wp:extent cx="48240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35560</wp:posOffset>
            </wp:positionV>
            <wp:extent cx="48240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56515</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1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ind w:left="4280"/>
        <w:spacing w:after="0" w:line="219" w:lineRule="auto"/>
        <w:rPr>
          <w:sz w:val="20"/>
          <w:szCs w:val="20"/>
          <w:color w:val="auto"/>
        </w:rPr>
      </w:pPr>
      <w:r>
        <w:rPr>
          <w:rFonts w:ascii="Times New Roman" w:cs="Times New Roman" w:eastAsia="Times New Roman" w:hAnsi="Times New Roman"/>
          <w:sz w:val="13"/>
          <w:szCs w:val="13"/>
          <w:b w:val="1"/>
          <w:bCs w:val="1"/>
          <w:color w:val="auto"/>
        </w:rPr>
        <w:t>UNDER</w:t>
      </w: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63500</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ZENAS BIOPHARMA, INC.</w:t>
      </w:r>
    </w:p>
    <w:p>
      <w:pPr>
        <w:jc w:val="center"/>
        <w:ind w:right="-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r>
        <w:rPr>
          <w:rFonts w:ascii="Times New Roman" w:cs="Times New Roman" w:eastAsia="Times New Roman" w:hAnsi="Times New Roman"/>
          <w:sz w:val="12"/>
          <w:szCs w:val="12"/>
          <w:color w:val="auto"/>
        </w:rPr>
        <w:t>​</w:t>
      </w:r>
    </w:p>
    <w:p>
      <w:pPr>
        <w:spacing w:after="0" w:line="67" w:lineRule="exact"/>
        <w:rPr>
          <w:sz w:val="24"/>
          <w:szCs w:val="24"/>
          <w:color w:val="auto"/>
        </w:rPr>
      </w:pPr>
    </w:p>
    <w:tbl>
      <w:tblPr>
        <w:tblLayout w:type="fixed"/>
        <w:tblInd w:w="700" w:type="dxa"/>
        <w:tblCellMar>
          <w:top w:w="0" w:type="dxa"/>
          <w:left w:w="0" w:type="dxa"/>
          <w:bottom w:w="0" w:type="dxa"/>
          <w:right w:w="0" w:type="dxa"/>
        </w:tblCellMar>
      </w:tblPr>
      <w:tr>
        <w:trPr>
          <w:trHeight w:val="16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Delaware</w:t>
            </w:r>
          </w:p>
        </w:tc>
        <w:tc>
          <w:tcPr>
            <w:tcW w:w="138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 ​</w:t>
            </w:r>
          </w:p>
        </w:tc>
        <w:tc>
          <w:tcPr>
            <w:tcW w:w="2300" w:type="dxa"/>
            <w:vAlign w:val="bottom"/>
          </w:tcPr>
          <w:p>
            <w:pPr>
              <w:jc w:val="right"/>
              <w:ind w:right="802"/>
              <w:spacing w:after="0"/>
              <w:rPr>
                <w:sz w:val="20"/>
                <w:szCs w:val="20"/>
                <w:color w:val="auto"/>
              </w:rPr>
            </w:pPr>
            <w:r>
              <w:rPr>
                <w:rFonts w:ascii="Times New Roman" w:cs="Times New Roman" w:eastAsia="Times New Roman" w:hAnsi="Times New Roman"/>
                <w:sz w:val="13"/>
                <w:szCs w:val="13"/>
                <w:b w:val="1"/>
                <w:bCs w:val="1"/>
                <w:color w:val="auto"/>
              </w:rPr>
              <w:t>93-2749244</w:t>
            </w:r>
          </w:p>
        </w:tc>
        <w:tc>
          <w:tcPr>
            <w:tcW w:w="74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560" w:type="dxa"/>
            <w:vAlign w:val="bottom"/>
          </w:tcPr>
          <w:p>
            <w:pPr>
              <w:spacing w:after="0"/>
              <w:rPr>
                <w:sz w:val="11"/>
                <w:szCs w:val="11"/>
                <w:color w:val="auto"/>
              </w:rPr>
            </w:pPr>
          </w:p>
        </w:tc>
        <w:tc>
          <w:tcPr>
            <w:tcW w:w="264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(State or other jurisdiction</w:t>
            </w:r>
          </w:p>
        </w:tc>
        <w:tc>
          <w:tcPr>
            <w:tcW w:w="138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740" w:type="dxa"/>
            <w:vAlign w:val="bottom"/>
          </w:tcPr>
          <w:p>
            <w:pPr>
              <w:spacing w:after="0"/>
              <w:rPr>
                <w:sz w:val="11"/>
                <w:szCs w:val="11"/>
                <w:color w:val="auto"/>
              </w:rPr>
            </w:pPr>
          </w:p>
        </w:tc>
      </w:tr>
      <w:tr>
        <w:trPr>
          <w:trHeight w:val="165"/>
        </w:trPr>
        <w:tc>
          <w:tcPr>
            <w:tcW w:w="56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of incorporation or organization)</w:t>
            </w:r>
            <w:r>
              <w:rPr>
                <w:rFonts w:ascii="Times New Roman" w:cs="Times New Roman" w:eastAsia="Times New Roman" w:hAnsi="Times New Roman"/>
                <w:sz w:val="12"/>
                <w:szCs w:val="12"/>
                <w:color w:val="auto"/>
              </w:rPr>
              <w:t>​</w:t>
            </w:r>
          </w:p>
        </w:tc>
        <w:tc>
          <w:tcPr>
            <w:tcW w:w="13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No.)</w:t>
            </w:r>
          </w:p>
        </w:tc>
        <w:tc>
          <w:tcPr>
            <w:tcW w:w="740" w:type="dxa"/>
            <w:vAlign w:val="bottom"/>
          </w:tcPr>
          <w:p>
            <w:pPr>
              <w:spacing w:after="0"/>
              <w:rPr>
                <w:sz w:val="14"/>
                <w:szCs w:val="14"/>
                <w:color w:val="auto"/>
              </w:rPr>
            </w:pPr>
          </w:p>
        </w:tc>
      </w:tr>
    </w:tbl>
    <w:p>
      <w:pPr>
        <w:spacing w:after="0" w:line="1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852 Winter Street, Suite 250</w:t>
      </w:r>
    </w:p>
    <w:p>
      <w:pPr>
        <w:jc w:val="center"/>
        <w:ind w:right="39"/>
        <w:spacing w:after="0" w:line="224" w:lineRule="auto"/>
        <w:rPr>
          <w:sz w:val="20"/>
          <w:szCs w:val="20"/>
          <w:color w:val="auto"/>
        </w:rPr>
      </w:pPr>
      <w:r>
        <w:rPr>
          <w:rFonts w:ascii="Times New Roman" w:cs="Times New Roman" w:eastAsia="Times New Roman" w:hAnsi="Times New Roman"/>
          <w:sz w:val="13"/>
          <w:szCs w:val="13"/>
          <w:b w:val="1"/>
          <w:bCs w:val="1"/>
          <w:color w:val="auto"/>
        </w:rPr>
        <w:t>Waltham, Massachusetts 02451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(857) 271-2954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68580</wp:posOffset>
            </wp:positionV>
            <wp:extent cx="9620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Leon O. Moulder, Jr.</w:t>
      </w:r>
    </w:p>
    <w:p>
      <w:pPr>
        <w:jc w:val="center"/>
        <w:ind w:right="39"/>
        <w:spacing w:after="0" w:line="224" w:lineRule="auto"/>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39"/>
        <w:spacing w:after="0" w:line="237" w:lineRule="auto"/>
        <w:rPr>
          <w:sz w:val="20"/>
          <w:szCs w:val="20"/>
          <w:color w:val="auto"/>
        </w:rPr>
      </w:pPr>
      <w:r>
        <w:rPr>
          <w:rFonts w:ascii="Times New Roman" w:cs="Times New Roman" w:eastAsia="Times New Roman" w:hAnsi="Times New Roman"/>
          <w:sz w:val="13"/>
          <w:szCs w:val="13"/>
          <w:b w:val="1"/>
          <w:bCs w:val="1"/>
          <w:color w:val="auto"/>
        </w:rPr>
        <w:t>Zenas BioPharma, Inc.</w:t>
      </w:r>
    </w:p>
    <w:p>
      <w:pPr>
        <w:jc w:val="center"/>
        <w:ind w:right="39"/>
        <w:spacing w:after="0" w:line="220" w:lineRule="auto"/>
        <w:rPr>
          <w:sz w:val="20"/>
          <w:szCs w:val="20"/>
          <w:color w:val="auto"/>
        </w:rPr>
      </w:pPr>
      <w:r>
        <w:rPr>
          <w:rFonts w:ascii="Times New Roman" w:cs="Times New Roman" w:eastAsia="Times New Roman" w:hAnsi="Times New Roman"/>
          <w:sz w:val="13"/>
          <w:szCs w:val="13"/>
          <w:b w:val="1"/>
          <w:bCs w:val="1"/>
          <w:color w:val="auto"/>
        </w:rPr>
        <w:t>852 Winter Street, Suite 250</w:t>
      </w:r>
    </w:p>
    <w:p>
      <w:pPr>
        <w:jc w:val="center"/>
        <w:ind w:right="39"/>
        <w:spacing w:after="0" w:line="219" w:lineRule="auto"/>
        <w:rPr>
          <w:sz w:val="20"/>
          <w:szCs w:val="20"/>
          <w:color w:val="auto"/>
        </w:rPr>
      </w:pPr>
      <w:r>
        <w:rPr>
          <w:rFonts w:ascii="Times New Roman" w:cs="Times New Roman" w:eastAsia="Times New Roman" w:hAnsi="Times New Roman"/>
          <w:sz w:val="13"/>
          <w:szCs w:val="13"/>
          <w:b w:val="1"/>
          <w:bCs w:val="1"/>
          <w:color w:val="auto"/>
        </w:rPr>
        <w:t>Waltham, Massachusetts 02451</w:t>
      </w:r>
    </w:p>
    <w:p>
      <w:pPr>
        <w:jc w:val="center"/>
        <w:spacing w:after="0"/>
        <w:rPr>
          <w:sz w:val="20"/>
          <w:szCs w:val="20"/>
          <w:color w:val="auto"/>
        </w:rPr>
      </w:pPr>
      <w:r>
        <w:rPr>
          <w:rFonts w:ascii="Times New Roman" w:cs="Times New Roman" w:eastAsia="Times New Roman" w:hAnsi="Times New Roman"/>
          <w:sz w:val="13"/>
          <w:szCs w:val="13"/>
          <w:b w:val="1"/>
          <w:bCs w:val="1"/>
          <w:color w:val="auto"/>
        </w:rPr>
        <w:t>(857) 271-2954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r>
        <w:rPr>
          <w:rFonts w:ascii="Times New Roman" w:cs="Times New Roman" w:eastAsia="Times New Roman" w:hAnsi="Times New Roman"/>
          <w:sz w:val="12"/>
          <w:szCs w:val="12"/>
          <w:color w:val="auto"/>
        </w:rPr>
        <w:t>​</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With copies to:</w:t>
      </w:r>
    </w:p>
    <w:p>
      <w:pPr>
        <w:jc w:val="center"/>
        <w:ind w:right="39"/>
        <w:spacing w:after="0" w:line="224" w:lineRule="auto"/>
        <w:rPr>
          <w:sz w:val="20"/>
          <w:szCs w:val="20"/>
          <w:color w:val="auto"/>
        </w:rPr>
      </w:pPr>
      <w:r>
        <w:rPr>
          <w:rFonts w:ascii="Times New Roman" w:cs="Times New Roman" w:eastAsia="Times New Roman" w:hAnsi="Times New Roman"/>
          <w:sz w:val="13"/>
          <w:szCs w:val="13"/>
          <w:b w:val="1"/>
          <w:bCs w:val="1"/>
          <w:color w:val="auto"/>
        </w:rPr>
        <w:t>Thomas Danielski</w:t>
      </w:r>
    </w:p>
    <w:p>
      <w:pPr>
        <w:jc w:val="center"/>
        <w:ind w:right="39"/>
        <w:spacing w:after="0" w:line="237" w:lineRule="auto"/>
        <w:rPr>
          <w:sz w:val="20"/>
          <w:szCs w:val="20"/>
          <w:color w:val="auto"/>
        </w:rPr>
      </w:pPr>
      <w:r>
        <w:rPr>
          <w:rFonts w:ascii="Times New Roman" w:cs="Times New Roman" w:eastAsia="Times New Roman" w:hAnsi="Times New Roman"/>
          <w:sz w:val="13"/>
          <w:szCs w:val="13"/>
          <w:b w:val="1"/>
          <w:bCs w:val="1"/>
          <w:color w:val="auto"/>
        </w:rPr>
        <w:t>Nicholas Roper</w:t>
      </w:r>
    </w:p>
    <w:p>
      <w:pPr>
        <w:jc w:val="center"/>
        <w:ind w:right="39"/>
        <w:spacing w:after="0" w:line="220" w:lineRule="auto"/>
        <w:rPr>
          <w:sz w:val="20"/>
          <w:szCs w:val="20"/>
          <w:color w:val="auto"/>
        </w:rPr>
      </w:pPr>
      <w:r>
        <w:rPr>
          <w:rFonts w:ascii="Times New Roman" w:cs="Times New Roman" w:eastAsia="Times New Roman" w:hAnsi="Times New Roman"/>
          <w:sz w:val="13"/>
          <w:szCs w:val="13"/>
          <w:b w:val="1"/>
          <w:bCs w:val="1"/>
          <w:color w:val="auto"/>
        </w:rPr>
        <w:t>Ropes &amp; Gray LLP</w:t>
      </w:r>
    </w:p>
    <w:p>
      <w:pPr>
        <w:jc w:val="center"/>
        <w:ind w:right="39"/>
        <w:spacing w:after="0" w:line="219" w:lineRule="auto"/>
        <w:rPr>
          <w:sz w:val="20"/>
          <w:szCs w:val="20"/>
          <w:color w:val="auto"/>
        </w:rPr>
      </w:pPr>
      <w:r>
        <w:rPr>
          <w:rFonts w:ascii="Times New Roman" w:cs="Times New Roman" w:eastAsia="Times New Roman" w:hAnsi="Times New Roman"/>
          <w:sz w:val="13"/>
          <w:szCs w:val="13"/>
          <w:b w:val="1"/>
          <w:bCs w:val="1"/>
          <w:color w:val="auto"/>
        </w:rPr>
        <w:t>Prudential Tower</w:t>
      </w:r>
    </w:p>
    <w:p>
      <w:pPr>
        <w:jc w:val="center"/>
        <w:ind w:right="39"/>
        <w:spacing w:after="0" w:line="220" w:lineRule="auto"/>
        <w:rPr>
          <w:sz w:val="20"/>
          <w:szCs w:val="20"/>
          <w:color w:val="auto"/>
        </w:rPr>
      </w:pPr>
      <w:r>
        <w:rPr>
          <w:rFonts w:ascii="Times New Roman" w:cs="Times New Roman" w:eastAsia="Times New Roman" w:hAnsi="Times New Roman"/>
          <w:sz w:val="13"/>
          <w:szCs w:val="13"/>
          <w:b w:val="1"/>
          <w:bCs w:val="1"/>
          <w:color w:val="auto"/>
        </w:rPr>
        <w:t>800 Boylston St.</w:t>
      </w:r>
    </w:p>
    <w:p>
      <w:pPr>
        <w:jc w:val="center"/>
        <w:ind w:right="39"/>
        <w:spacing w:after="0" w:line="236" w:lineRule="auto"/>
        <w:rPr>
          <w:sz w:val="20"/>
          <w:szCs w:val="20"/>
          <w:color w:val="auto"/>
        </w:rPr>
      </w:pPr>
      <w:r>
        <w:rPr>
          <w:rFonts w:ascii="Times New Roman" w:cs="Times New Roman" w:eastAsia="Times New Roman" w:hAnsi="Times New Roman"/>
          <w:sz w:val="13"/>
          <w:szCs w:val="13"/>
          <w:b w:val="1"/>
          <w:bCs w:val="1"/>
          <w:color w:val="auto"/>
        </w:rPr>
        <w:t>Boston, Massachusetts 02199</w:t>
      </w:r>
    </w:p>
    <w:p>
      <w:pPr>
        <w:jc w:val="center"/>
        <w:spacing w:after="0"/>
        <w:rPr>
          <w:sz w:val="20"/>
          <w:szCs w:val="20"/>
          <w:color w:val="auto"/>
        </w:rPr>
      </w:pPr>
      <w:r>
        <w:rPr>
          <w:rFonts w:ascii="Times New Roman" w:cs="Times New Roman" w:eastAsia="Times New Roman" w:hAnsi="Times New Roman"/>
          <w:sz w:val="13"/>
          <w:szCs w:val="13"/>
          <w:b w:val="1"/>
          <w:bCs w:val="1"/>
          <w:color w:val="auto"/>
        </w:rPr>
        <w:t>(617) 951-7000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From time to time after the effectiveness of the registration statement.</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(Approximate date of commencement of proposed sale to the public)</w:t>
      </w:r>
      <w:r>
        <w:rPr>
          <w:rFonts w:ascii="Times New Roman" w:cs="Times New Roman" w:eastAsia="Times New Roman" w:hAnsi="Times New Roman"/>
          <w:sz w:val="12"/>
          <w:szCs w:val="12"/>
          <w:color w:val="auto"/>
        </w:rPr>
        <w:t>​</w:t>
      </w:r>
    </w:p>
    <w:p>
      <w:pPr>
        <w:spacing w:after="0" w:line="55" w:lineRule="exact"/>
        <w:rPr>
          <w:sz w:val="24"/>
          <w:szCs w:val="24"/>
          <w:color w:val="auto"/>
        </w:rPr>
      </w:pPr>
    </w:p>
    <w:p>
      <w:pPr>
        <w:ind w:left="700" w:right="75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700" w:right="919" w:firstLine="280"/>
        <w:spacing w:after="0" w:line="153"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700" w:right="83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700" w:right="93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700" w:right="107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700" w:right="75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7" w:lineRule="exact"/>
        <w:rPr>
          <w:sz w:val="24"/>
          <w:szCs w:val="24"/>
          <w:color w:val="auto"/>
        </w:rPr>
      </w:pPr>
    </w:p>
    <w:p>
      <w:pPr>
        <w:ind w:left="700" w:right="819" w:firstLine="28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98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112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
        </w:trPr>
        <w:tc>
          <w:tcPr>
            <w:tcW w:w="1280" w:type="dxa"/>
            <w:vAlign w:val="bottom"/>
          </w:tcPr>
          <w:p>
            <w:pPr>
              <w:spacing w:after="0"/>
              <w:rPr>
                <w:sz w:val="20"/>
                <w:szCs w:val="20"/>
                <w:color w:val="auto"/>
              </w:rPr>
            </w:pPr>
            <w:r>
              <w:rPr>
                <w:rFonts w:ascii="Times New Roman" w:cs="Times New Roman" w:eastAsia="Times New Roman" w:hAnsi="Times New Roman"/>
                <w:sz w:val="1"/>
                <w:szCs w:val="1"/>
                <w:color w:val="auto"/>
              </w:rPr>
              <w:t>Large accelerated filer</w:t>
            </w:r>
          </w:p>
        </w:tc>
        <w:tc>
          <w:tcPr>
            <w:tcW w:w="1240" w:type="dxa"/>
            <w:vAlign w:val="bottom"/>
            <w:vMerge w:val="continue"/>
          </w:tcPr>
          <w:p>
            <w:pPr>
              <w:spacing w:after="0" w:line="20" w:lineRule="exact"/>
              <w:rPr>
                <w:sz w:val="1"/>
                <w:szCs w:val="1"/>
                <w:color w:val="auto"/>
              </w:rPr>
            </w:pPr>
          </w:p>
        </w:tc>
        <w:tc>
          <w:tcPr>
            <w:tcW w:w="1120" w:type="dxa"/>
            <w:vAlign w:val="bottom"/>
            <w:vMerge w:val="restart"/>
          </w:tcPr>
          <w:p>
            <w:pPr>
              <w:ind w:left="1060"/>
              <w:spacing w:after="0" w:line="12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920" w:type="dxa"/>
            <w:vAlign w:val="bottom"/>
            <w:vMerge w:val="restart"/>
          </w:tcPr>
          <w:p>
            <w:pPr>
              <w:ind w:left="8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16"/>
        </w:trPr>
        <w:tc>
          <w:tcPr>
            <w:tcW w:w="12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2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28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Non-accelerated filer</w:t>
            </w:r>
          </w:p>
        </w:tc>
        <w:tc>
          <w:tcPr>
            <w:tcW w:w="12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3"/>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24"/>
                <w:szCs w:val="24"/>
                <w:color w:val="auto"/>
              </w:rPr>
            </w:pPr>
          </w:p>
        </w:tc>
        <w:tc>
          <w:tcPr>
            <w:tcW w:w="2780" w:type="dxa"/>
            <w:vAlign w:val="bottom"/>
            <w:gridSpan w:val="3"/>
          </w:tcPr>
          <w:p>
            <w:pPr>
              <w:ind w:left="106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112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92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700" w:right="1219" w:firstLine="280"/>
        <w:spacing w:after="0" w:line="16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57150</wp:posOffset>
            </wp:positionV>
            <wp:extent cx="48240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7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1905</wp:posOffset>
            </wp:positionV>
            <wp:extent cx="482409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ZENAS BIOPHARMA,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 to 6,311,030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182245</wp:posOffset>
            </wp:positionV>
            <wp:extent cx="9620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300" w:right="1399" w:firstLine="281"/>
        <w:spacing w:after="0" w:line="257" w:lineRule="auto"/>
        <w:rPr>
          <w:sz w:val="20"/>
          <w:szCs w:val="20"/>
          <w:color w:val="auto"/>
        </w:rPr>
      </w:pPr>
      <w:r>
        <w:rPr>
          <w:rFonts w:ascii="Times New Roman" w:cs="Times New Roman" w:eastAsia="Times New Roman" w:hAnsi="Times New Roman"/>
          <w:sz w:val="14"/>
          <w:szCs w:val="14"/>
          <w:color w:val="auto"/>
        </w:rPr>
        <w:t>This prospectus relates to the resale or other disposition from time to time by the selling stockholders identified in this prospectus, including their transferees, pledgees, donees or successors, of up to 6,311,030 shares of our common stock par value $0.0001 per share (the “Common Stock”), that we issued to certain institutional and accredited investors (the “Institutional Investors”) and certain of our directors and officers (the “Director and Officer Investors”) in a private placement completed on October 9, 2025 (the “Private Placement”).</w:t>
      </w:r>
    </w:p>
    <w:p>
      <w:pPr>
        <w:spacing w:after="0" w:line="92"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 xml:space="preserve">The selling stockholders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We do not know when or in what amount the selling stockholders may dispose of or offer for sale the shares covered by this prospectus.</w:t>
      </w:r>
    </w:p>
    <w:p>
      <w:pPr>
        <w:spacing w:after="0" w:line="81" w:lineRule="exact"/>
        <w:rPr>
          <w:sz w:val="20"/>
          <w:szCs w:val="20"/>
          <w:color w:val="auto"/>
        </w:rPr>
      </w:pPr>
    </w:p>
    <w:p>
      <w:pPr>
        <w:jc w:val="both"/>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We are not offering any shares of Common Stock under this prospectus. We will not receive any of the proceeds from the sale of Common Stock by the selling stockholders. All expenses of registration incurred in connection with this offering are being borne by us. The selling stockholders will bear all discounts and commissions, if any, and expenses incurred by them for brokerage, accounting, tax or legal services or any other expenses incurred in their sale of shares of Common Stock.</w:t>
      </w:r>
    </w:p>
    <w:p>
      <w:pPr>
        <w:spacing w:after="0" w:line="89" w:lineRule="exact"/>
        <w:rPr>
          <w:sz w:val="20"/>
          <w:szCs w:val="20"/>
          <w:color w:val="auto"/>
        </w:rPr>
      </w:pPr>
    </w:p>
    <w:p>
      <w:pPr>
        <w:ind w:left="1300" w:right="1779" w:firstLine="281"/>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“ZBIO.” On October 20, 2025, the last reported sale price of our Common Stock was $26.15 per share.</w:t>
      </w:r>
    </w:p>
    <w:p>
      <w:pPr>
        <w:spacing w:after="0" w:line="73" w:lineRule="exact"/>
        <w:rPr>
          <w:sz w:val="20"/>
          <w:szCs w:val="20"/>
          <w:color w:val="auto"/>
        </w:rPr>
      </w:pPr>
    </w:p>
    <w:p>
      <w:pPr>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71" w:lineRule="exact"/>
        <w:rPr>
          <w:sz w:val="20"/>
          <w:szCs w:val="20"/>
          <w:color w:val="auto"/>
        </w:rPr>
      </w:pPr>
    </w:p>
    <w:p>
      <w:pPr>
        <w:jc w:val="both"/>
        <w:ind w:left="1300" w:right="157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See “Risk Factors”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and any applicable prospectus supplement, and under similar headings in the other documents that are incorporated by reference into this prospectus.</w:t>
      </w:r>
    </w:p>
    <w:p>
      <w:pPr>
        <w:spacing w:after="0" w:line="82"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dated 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196215</wp:posOffset>
            </wp:positionV>
            <wp:extent cx="533082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4062095" cy="93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PROSPECTUS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-8255</wp:posOffset>
            </wp:positionV>
            <wp:extent cx="4062095"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9" w:lineRule="exact"/>
        <w:rPr>
          <w:sz w:val="20"/>
          <w:szCs w:val="20"/>
          <w:color w:val="auto"/>
        </w:rPr>
      </w:pPr>
    </w:p>
    <w:p>
      <w:pPr>
        <w:ind w:left="1300" w:right="1220"/>
        <w:spacing w:after="0" w:line="313" w:lineRule="auto"/>
        <w:rPr>
          <w:sz w:val="20"/>
          <w:szCs w:val="20"/>
          <w:color w:val="auto"/>
        </w:rPr>
      </w:pPr>
      <w:r>
        <w:rPr>
          <w:rFonts w:ascii="Times New Roman" w:cs="Times New Roman" w:eastAsia="Times New Roman" w:hAnsi="Times New Roman"/>
          <w:sz w:val="14"/>
          <w:szCs w:val="14"/>
          <w:color w:val="0000EE"/>
        </w:rPr>
        <w:t>DISCLOSURE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REGARDING FORWARD-LOOKING STATEMENTS 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-169545</wp:posOffset>
            </wp:positionV>
            <wp:extent cx="406209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0000EE"/>
        </w:rPr>
        <w:t>SELLING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153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ectPr>
          <w:pgSz w:w="11900" w:h="16838" w:orient="portrait"/>
          <w:cols w:equalWidth="0" w:num="2">
            <w:col w:w="6700" w:space="720"/>
            <w:col w:w="1599"/>
          </w:cols>
          <w:pgMar w:left="1440" w:top="107" w:right="1440" w:bottom="1440" w:gutter="0" w:footer="0" w:header="0"/>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Securities and Exchange Commission (the “SEC”) as a “well-known seasoned issuer” as defined 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Rule 405 under the Securities Act of 1933, as amended (the “Securities Act”), using a “shelf” registration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process.</w:t>
      </w:r>
    </w:p>
    <w:p>
      <w:pPr>
        <w:spacing w:after="0" w:line="108" w:lineRule="exact"/>
        <w:rPr>
          <w:sz w:val="20"/>
          <w:szCs w:val="20"/>
          <w:color w:val="auto"/>
        </w:rPr>
      </w:pPr>
    </w:p>
    <w:p>
      <w:pPr>
        <w:ind w:left="1300" w:right="1559" w:firstLine="281"/>
        <w:spacing w:after="0" w:line="261" w:lineRule="auto"/>
        <w:rPr>
          <w:sz w:val="20"/>
          <w:szCs w:val="20"/>
          <w:color w:val="auto"/>
        </w:rPr>
      </w:pPr>
      <w:r>
        <w:rPr>
          <w:rFonts w:ascii="Times New Roman" w:cs="Times New Roman" w:eastAsia="Times New Roman" w:hAnsi="Times New Roman"/>
          <w:sz w:val="14"/>
          <w:szCs w:val="14"/>
          <w:color w:val="auto"/>
        </w:rPr>
        <w:t>You should read this prospectus and the information and documents incorporated by reference carefully. Such documents contain important information you should consider when making your investment decision. See “Where You Can Find More Information” and “Incorporation of Documents by Reference” in this prospectus.</w:t>
      </w:r>
    </w:p>
    <w:p>
      <w:pPr>
        <w:spacing w:after="0" w:line="78"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Neither we nor the selling stockholders has authorized any other person to provide you with different information. If anyone provides you with different or inconsistent information, you should not rely on it.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that is incorporated by reference,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95"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92" w:lineRule="exact"/>
        <w:rPr>
          <w:sz w:val="20"/>
          <w:szCs w:val="20"/>
          <w:color w:val="auto"/>
        </w:rPr>
      </w:pPr>
    </w:p>
    <w:p>
      <w:pPr>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References in this prospectus to “Zenas,” the “Company,” “we,” “us,” “our” or similar terms refer to Zenas BioPharma, Inc. and our subsidiaries on a consolidated basis, as appropriate, unless the context otherwise requires.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Trademarks and Tradenames</w:t>
      </w:r>
    </w:p>
    <w:p>
      <w:pPr>
        <w:spacing w:after="0" w:line="115" w:lineRule="exact"/>
        <w:rPr>
          <w:sz w:val="20"/>
          <w:szCs w:val="20"/>
          <w:color w:val="auto"/>
        </w:rPr>
      </w:pPr>
    </w:p>
    <w:p>
      <w:pPr>
        <w:ind w:left="1300" w:right="1339" w:firstLine="281"/>
        <w:spacing w:after="0"/>
        <w:rPr>
          <w:sz w:val="20"/>
          <w:szCs w:val="20"/>
          <w:color w:val="auto"/>
        </w:rPr>
      </w:pPr>
      <w:r>
        <w:rPr>
          <w:rFonts w:ascii="Times New Roman" w:cs="Times New Roman" w:eastAsia="Times New Roman" w:hAnsi="Times New Roman"/>
          <w:sz w:val="14"/>
          <w:szCs w:val="14"/>
          <w:color w:val="auto"/>
        </w:rPr>
        <w:t xml:space="preserve">The Zenas BioPharma word mark, logo mark, and the “lightning bolt” design are trademarks of Zenas BioPharma, Inc. or its affiliated companies. This prospectus and any applicable prospectus supplement and documents incorporated by reference herein and therein contain references to our trademarks and to trademarks belonging to other entities. Each of the other trademarks, trade names and service marks included in this prospectus belongs to its respective holder. Solely for convenience, trademarks, trade names and service marks referred to in this prospectus,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99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02125" cy="629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3" w:lineRule="exact"/>
        <w:rPr>
          <w:sz w:val="20"/>
          <w:szCs w:val="20"/>
          <w:color w:val="auto"/>
        </w:rPr>
      </w:pPr>
    </w:p>
    <w:p>
      <w:pPr>
        <w:ind w:left="1320" w:right="131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included or incorporated by reference in this prospectus and does not contain all of the information that may be important to you. You should carefully review this entire prospectus and any supplements to this prospectus, including the risk factors and financial statements included or incorporated by reference herein or therein.</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25" w:lineRule="exact"/>
        <w:rPr>
          <w:sz w:val="20"/>
          <w:szCs w:val="20"/>
          <w:color w:val="auto"/>
        </w:rPr>
      </w:pPr>
    </w:p>
    <w:p>
      <w:pPr>
        <w:ind w:left="1320" w:right="1339" w:firstLine="281"/>
        <w:spacing w:after="0" w:line="245" w:lineRule="auto"/>
        <w:rPr>
          <w:sz w:val="20"/>
          <w:szCs w:val="20"/>
          <w:color w:val="auto"/>
        </w:rPr>
      </w:pPr>
      <w:r>
        <w:rPr>
          <w:rFonts w:ascii="Times New Roman" w:cs="Times New Roman" w:eastAsia="Times New Roman" w:hAnsi="Times New Roman"/>
          <w:sz w:val="14"/>
          <w:szCs w:val="14"/>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89" w:lineRule="exact"/>
        <w:rPr>
          <w:sz w:val="20"/>
          <w:szCs w:val="20"/>
          <w:color w:val="auto"/>
        </w:rPr>
      </w:pPr>
    </w:p>
    <w:p>
      <w:pPr>
        <w:ind w:left="1320" w:right="1319" w:firstLine="281"/>
        <w:spacing w:after="0" w:line="247" w:lineRule="auto"/>
        <w:rPr>
          <w:sz w:val="20"/>
          <w:szCs w:val="20"/>
          <w:color w:val="auto"/>
        </w:rPr>
      </w:pPr>
      <w:r>
        <w:rPr>
          <w:rFonts w:ascii="Times New Roman" w:cs="Times New Roman" w:eastAsia="Times New Roman" w:hAnsi="Times New Roman"/>
          <w:sz w:val="14"/>
          <w:szCs w:val="14"/>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87" w:lineRule="exact"/>
        <w:rPr>
          <w:sz w:val="20"/>
          <w:szCs w:val="20"/>
          <w:color w:val="auto"/>
        </w:rPr>
      </w:pPr>
    </w:p>
    <w:p>
      <w:pPr>
        <w:ind w:left="1320" w:right="1319" w:firstLine="281"/>
        <w:spacing w:after="0" w:line="242" w:lineRule="auto"/>
        <w:rPr>
          <w:sz w:val="20"/>
          <w:szCs w:val="20"/>
          <w:color w:val="auto"/>
        </w:rPr>
      </w:pPr>
      <w:r>
        <w:rPr>
          <w:rFonts w:ascii="Times New Roman" w:cs="Times New Roman" w:eastAsia="Times New Roman" w:hAnsi="Times New Roman"/>
          <w:sz w:val="14"/>
          <w:szCs w:val="14"/>
          <w:color w:val="auto"/>
        </w:rPr>
        <w:t>We are developing obexelimab as a potential I&amp;I franchise for patients in several autoimmune diseases, representing substantial commercial opportunities individually and in the aggregate. The first three indications we are pursuing include IgG4-RD through an ongoing registration- directed Phase 3 trial (the “INDIGO” trial), and systemic lupus erythematosus (the “SunStone” trial) and relapsing multiple sclerosis (the “MoonStone” trial) through ongoing Phase 2, double-blind, randomized, placebo-controlled trials. In the fourth quarter of 2024, we completed the target enrollment of the INDIGO trial and expect to report topline results from the INDIGO trial around year-end 2025. If the topline results are positive, we expect to file a Biologics License Application with the U.S. Food and Drug Administration in the first half of 2026, followed by a Marketing Authorization Application with the European Medicines Agency, and, if approved, commence the commercial launch initially in the United States and then in Europe. In the second quarter of 2025, we completed enrollment of the MoonStone trial and expect to report results from the MoonStone trial, including the 12-week primary endpoint results, early in the fourth quarter of 2025. In early 2026, we expect to decide whether and how to advance obexelimab for RMS based on a variety of factors, including our analysis of MoonStone trial data, including the 12 and 24-week data, the evolving landscape for the development of new therapies for RMS, including available therapies and regulatory endpoints, and allocation of capital. We expect to complete enrollment in the SunStone trial by around year-end 2025 and to report topline results from the SunStone trial in mid-2026. Based on the outcome of the SunStone trial, and considering other factors, we may initiate a Phase 3 program in patients with SLE in the first half of 2027.</w:t>
      </w:r>
    </w:p>
    <w:p>
      <w:pPr>
        <w:spacing w:after="0" w:line="256" w:lineRule="exact"/>
        <w:rPr>
          <w:sz w:val="20"/>
          <w:szCs w:val="20"/>
          <w:color w:val="auto"/>
        </w:rPr>
      </w:pPr>
    </w:p>
    <w:p>
      <w:pPr>
        <w:ind w:left="1320" w:right="1319" w:firstLine="281"/>
        <w:spacing w:after="0" w:line="244" w:lineRule="auto"/>
        <w:rPr>
          <w:sz w:val="20"/>
          <w:szCs w:val="20"/>
          <w:color w:val="auto"/>
        </w:rPr>
      </w:pPr>
      <w:r>
        <w:rPr>
          <w:rFonts w:ascii="Times New Roman" w:cs="Times New Roman" w:eastAsia="Times New Roman" w:hAnsi="Times New Roman"/>
          <w:sz w:val="14"/>
          <w:szCs w:val="14"/>
          <w:color w:val="auto"/>
        </w:rPr>
        <w:t>On October 7, 2025, we entered into a License Agreement with InnoCare Pharma Inc. pursuant to which we were granted exclusive rights to develop, manufacture, and commercialize orelabrutinib, a Bruton’s Tyrosine Kinase inhibitor, for multiple sclerosis worldwide, and in all non-oncology indications worldwide excluding mainland China, Hong Kong, Macau and Taiwan (“Greater China”) and Brunei, Burma, Cambodia, Timor-Leste, Indonesia, Laos, Malaysia, Philippines, Singapore, Thailand and Vietnam (“Southeast Asia”), as well as two early -development product candidates: ZB021, an IL -17AA/AF inhibitor, in all fields of use worldwide excluding Greater China and Southeast Asia, and ZB022, a TYK2-JH2 inhibitor, in all fields of use worldwide.</w:t>
      </w:r>
    </w:p>
    <w:p>
      <w:pPr>
        <w:spacing w:after="0" w:line="254" w:lineRule="exact"/>
        <w:rPr>
          <w:sz w:val="20"/>
          <w:szCs w:val="20"/>
          <w:color w:val="auto"/>
        </w:rPr>
      </w:pPr>
    </w:p>
    <w:p>
      <w:pPr>
        <w:ind w:left="1320" w:right="1419" w:firstLine="281"/>
        <w:spacing w:after="0" w:line="248" w:lineRule="auto"/>
        <w:rPr>
          <w:sz w:val="20"/>
          <w:szCs w:val="20"/>
          <w:color w:val="auto"/>
        </w:rPr>
      </w:pPr>
      <w:r>
        <w:rPr>
          <w:rFonts w:ascii="Times New Roman" w:cs="Times New Roman" w:eastAsia="Times New Roman" w:hAnsi="Times New Roman"/>
          <w:sz w:val="14"/>
          <w:szCs w:val="14"/>
          <w:color w:val="auto"/>
        </w:rPr>
        <w:t>Orelabrutinib, also known as ZB020, is a highly selective and central nervous system (“CNS”)-penetrant, oral small molecule BTK inhibitor. Orelabrutinib is designed to bind irreversibly to BTK with minimal off-target effects, compared to certain other BTK inhibitors, which may potentially reduce certain side effects. We believe orelabrutinib is designed to efficiently cross the blood-brain barrier, reaching therapeutic levels within the CNS to directly target inflammation in diseases like MS. In September 2025, the Phase 3 clinical</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253365</wp:posOffset>
            </wp:positionV>
            <wp:extent cx="4302125" cy="6206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02125" cy="620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19"/>
        <w:spacing w:after="0" w:line="256" w:lineRule="auto"/>
        <w:rPr>
          <w:sz w:val="20"/>
          <w:szCs w:val="20"/>
          <w:color w:val="auto"/>
        </w:rPr>
      </w:pPr>
      <w:r>
        <w:rPr>
          <w:rFonts w:ascii="Times New Roman" w:cs="Times New Roman" w:eastAsia="Times New Roman" w:hAnsi="Times New Roman"/>
          <w:sz w:val="14"/>
          <w:szCs w:val="14"/>
          <w:color w:val="auto"/>
        </w:rPr>
        <w:t>trial of orelabrutinib in patients with Primary Progressive Multiple Sclerosis (“PPMS”) was initiated. In the first quarter of 2026, we plan to initiate a Phase 3 clinical trial evaluating orelabrutinib in patients with Secondary Progressive Multiple Sclerosis (“SPMS”). ZB021 is an oral IL-17AA/AF inhibitor designed to block both IL-17AA homodimer and IL-17AF heterodimer signaling, and ZB022 is an oral, brain-penetrant TYK2-JH2 inhibitor. Subject to the results of Investigational New Drug (“IND”)-enabling studies, we expect to submit an IND application for each of ZB021 and ZB022, and if cleared, initiate a Phase 1 clinical study in 2026 for each, with the potential for initial data in 2027.</w:t>
      </w:r>
    </w:p>
    <w:p>
      <w:pPr>
        <w:spacing w:after="0" w:line="92" w:lineRule="exact"/>
        <w:rPr>
          <w:sz w:val="20"/>
          <w:szCs w:val="20"/>
          <w:color w:val="auto"/>
        </w:rPr>
      </w:pPr>
    </w:p>
    <w:p>
      <w:pPr>
        <w:ind w:left="1320" w:right="1339" w:firstLine="281"/>
        <w:spacing w:after="0" w:line="259" w:lineRule="auto"/>
        <w:rPr>
          <w:sz w:val="20"/>
          <w:szCs w:val="20"/>
          <w:color w:val="auto"/>
        </w:rPr>
      </w:pPr>
      <w:r>
        <w:rPr>
          <w:rFonts w:ascii="Times New Roman" w:cs="Times New Roman" w:eastAsia="Times New Roman" w:hAnsi="Times New Roman"/>
          <w:sz w:val="14"/>
          <w:szCs w:val="14"/>
          <w:color w:val="auto"/>
        </w:rPr>
        <w:t>Our principal executive offices are located at 852 Winter Street, Suite 250, Waltham, MA 02451, and our telephone number is (857) 271-2954. Our website address is: www.zenasbio.com.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risks. See “Item 1A — Risk Factors” in our most recent Annual Report on Form 10-K incorporated by reference in this prospectus and in any subsequent Quarterly Reports on Form 10-Q, as may be updated by subsequent annual, quarterly and other reports that are incorporated by reference into this prospectus for a discussion of the factors you should carefully consider before deciding to purchase our securities. Before making a decision about investing in our securities, you should carefully consider these risks as well as other information we include or incorporate by reference into this prospectus. The risks and uncertainties we have described are not the only ones facing our Company. Additional risks and uncertainties not presently known to us or that we currently deem immaterial may also affect our business operations, operating results and financial condition.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PRIVATE PLACEMENT</w:t>
      </w:r>
    </w:p>
    <w:p>
      <w:pPr>
        <w:spacing w:after="0" w:line="125"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On October 7, 2025, the Company entered into a securities purchase agreement (the “Purchase Agreement”) with the selling stockholders named in this prospectus, pursuant to which the Company agreed to sell to (i) the Institutional Investors an aggregate of 6,262,112 shares of Common Stock at a price of $19.00 per share, and (ii) the Director and Officer Investors an aggregate of 48,918 shares of Common Stock at a price of $20.85 per share in the Private Placement. The gross proceeds of the Private Placement were approximately $120.0 million, before deducting placement agent fees and other expenses.</w:t>
      </w:r>
    </w:p>
    <w:p>
      <w:pPr>
        <w:spacing w:after="0" w:line="92" w:lineRule="exact"/>
        <w:rPr>
          <w:sz w:val="20"/>
          <w:szCs w:val="20"/>
          <w:color w:val="auto"/>
        </w:rPr>
      </w:pPr>
    </w:p>
    <w:p>
      <w:pPr>
        <w:ind w:left="1300" w:right="1699" w:firstLine="281"/>
        <w:spacing w:after="0" w:line="267" w:lineRule="auto"/>
        <w:rPr>
          <w:sz w:val="20"/>
          <w:szCs w:val="20"/>
          <w:color w:val="auto"/>
        </w:rPr>
      </w:pPr>
      <w:r>
        <w:rPr>
          <w:rFonts w:ascii="Times New Roman" w:cs="Times New Roman" w:eastAsia="Times New Roman" w:hAnsi="Times New Roman"/>
          <w:sz w:val="14"/>
          <w:szCs w:val="14"/>
          <w:color w:val="auto"/>
        </w:rPr>
        <w:t>The Company and the selling stockholders entered into a Registration Rights Agreement, dated October 7, 2025 (the “Registration Rights Agreement”), providing for the registration for resale of the shares of our Common Stock issued in the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5" w:lineRule="exact"/>
        <w:rPr>
          <w:sz w:val="20"/>
          <w:szCs w:val="20"/>
          <w:color w:val="auto"/>
        </w:rPr>
      </w:pPr>
    </w:p>
    <w:p>
      <w:pPr>
        <w:ind w:left="1300" w:right="1339" w:firstLine="281"/>
        <w:spacing w:after="0" w:line="267" w:lineRule="auto"/>
        <w:rPr>
          <w:rFonts w:ascii="Times New Roman" w:cs="Times New Roman" w:eastAsia="Times New Roman" w:hAnsi="Times New Roman"/>
          <w:sz w:val="14"/>
          <w:szCs w:val="14"/>
          <w:color w:val="0000EE"/>
        </w:rPr>
      </w:pPr>
      <w:hyperlink r:id="rId33">
        <w:r>
          <w:rPr>
            <w:rFonts w:ascii="Times New Roman" w:cs="Times New Roman" w:eastAsia="Times New Roman" w:hAnsi="Times New Roman"/>
            <w:sz w:val="14"/>
            <w:szCs w:val="14"/>
            <w:color w:val="auto"/>
          </w:rPr>
          <w:t xml:space="preserve">The description of our Common Stock is incorporated by reference to </w:t>
        </w:r>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color w:val="auto"/>
          </w:rPr>
          <w:t xml:space="preserve"> of our </w:t>
        </w:r>
        <w:r>
          <w:rPr>
            <w:rFonts w:ascii="Times New Roman" w:cs="Times New Roman" w:eastAsia="Times New Roman" w:hAnsi="Times New Roman"/>
            <w:sz w:val="14"/>
            <w:szCs w:val="14"/>
            <w:u w:val="single" w:color="auto"/>
            <w:color w:val="0000EE"/>
          </w:rPr>
          <w:t>Annual Report</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on Form 10-K for the year ended December 31, 2024</w:t>
        </w:r>
        <w:r>
          <w:rPr>
            <w:rFonts w:ascii="Times New Roman" w:cs="Times New Roman" w:eastAsia="Times New Roman" w:hAnsi="Times New Roman"/>
            <w:sz w:val="14"/>
            <w:szCs w:val="14"/>
            <w:color w:val="000000"/>
          </w:rPr>
          <w:t>, as filed with the SEC on March 11, 2025, including</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any amendments or reports filed for the purpose of updating such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This prospectus, any prospectus supplement and the other documents we have filed with the SEC that are incorporated herein by reference, contain forward-looking statements.</w:t>
      </w:r>
    </w:p>
    <w:p>
      <w:pPr>
        <w:spacing w:after="0" w:line="72" w:lineRule="exact"/>
        <w:rPr>
          <w:sz w:val="20"/>
          <w:szCs w:val="20"/>
          <w:color w:val="auto"/>
        </w:rPr>
      </w:pPr>
    </w:p>
    <w:p>
      <w:pPr>
        <w:ind w:left="1300" w:right="1359" w:firstLine="281"/>
        <w:spacing w:after="0" w:line="248" w:lineRule="auto"/>
        <w:rPr>
          <w:sz w:val="20"/>
          <w:szCs w:val="20"/>
          <w:color w:val="auto"/>
        </w:rPr>
      </w:pPr>
      <w:r>
        <w:rPr>
          <w:rFonts w:ascii="Times New Roman" w:cs="Times New Roman" w:eastAsia="Times New Roman" w:hAnsi="Times New Roman"/>
          <w:sz w:val="14"/>
          <w:szCs w:val="14"/>
          <w:color w:val="auto"/>
        </w:rPr>
        <w:t>All statements other than statements of historical facts contained incorporated by reference into this prospectus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54" w:lineRule="exact"/>
        <w:rPr>
          <w:sz w:val="20"/>
          <w:szCs w:val="20"/>
          <w:color w:val="auto"/>
        </w:rPr>
      </w:pPr>
    </w:p>
    <w:p>
      <w:pPr>
        <w:ind w:left="1720" w:right="135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opportunities stemming from the development of our product candidates for multiple immunology and inflammation diseases;</w:t>
      </w:r>
    </w:p>
    <w:p>
      <w:pPr>
        <w:spacing w:after="0" w:line="30"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if approved, ultimately commercialize our lead product candidates and, with partners, our other programs;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or maintain orphan drug designation for certain of our product candidates;</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61"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46"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cost and timing of our clinical development of our product candidates;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clinical differentiation of our product candidates;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product candidates that have broad therapeutic potential;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business development strategy and expertise to build a balanced portfolio;</w:t>
      </w:r>
    </w:p>
    <w:p>
      <w:pPr>
        <w:spacing w:after="0" w:line="91" w:lineRule="exact"/>
        <w:rPr>
          <w:rFonts w:ascii="Times New Roman" w:cs="Times New Roman" w:eastAsia="Times New Roman" w:hAnsi="Times New Roman"/>
          <w:sz w:val="14"/>
          <w:szCs w:val="14"/>
          <w:color w:val="auto"/>
        </w:rPr>
      </w:pPr>
    </w:p>
    <w:p>
      <w:pPr>
        <w:ind w:left="1720" w:right="187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collaborations and strategic partnerships to maximize the value of our portfolio;</w:t>
      </w:r>
    </w:p>
    <w:p>
      <w:pPr>
        <w:spacing w:after="0" w:line="30"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build our operational and commercial capabilities for supplying and marketing our products, if approved, in key markets;</w:t>
      </w:r>
    </w:p>
    <w:p>
      <w:pPr>
        <w:spacing w:after="0" w:line="41" w:lineRule="exact"/>
        <w:rPr>
          <w:rFonts w:ascii="Times New Roman" w:cs="Times New Roman" w:eastAsia="Times New Roman" w:hAnsi="Times New Roman"/>
          <w:sz w:val="14"/>
          <w:szCs w:val="14"/>
          <w:color w:val="auto"/>
        </w:rPr>
      </w:pPr>
    </w:p>
    <w:p>
      <w:pPr>
        <w:ind w:left="1720" w:right="165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biopharmaceutical sector and issuance of securities analysts’ reports or recommendations;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common stock;</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additional funding;</w:t>
      </w:r>
    </w:p>
    <w:p>
      <w:pPr>
        <w:spacing w:after="0" w:line="9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initiate, recruit and enroll patients in and conduct our clinical trials at the pace that we project;</w:t>
      </w:r>
    </w:p>
    <w:p>
      <w:pPr>
        <w:spacing w:after="0" w:line="4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product candidates, and any related restrictions, limitations or warnings in the label of any of our product candidates, if approved;</w:t>
      </w:r>
    </w:p>
    <w:p>
      <w:pPr>
        <w:spacing w:after="0" w:line="30"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manufacture drug substance and drug product for use in our clinical trials;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recruit key personnel;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adequate intellectual property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payor coverage and reimbursement;</w:t>
      </w:r>
    </w:p>
    <w:p>
      <w:pPr>
        <w:spacing w:after="0" w:line="8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and future healthcare reforms, including those affecting the delivery of or payment for healthcare products and services;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federal, state and foreign regulatory requirements;</w:t>
      </w:r>
    </w:p>
    <w:p>
      <w:pPr>
        <w:spacing w:after="0" w:line="9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our expenses, ongoing losses, capital requirements and our needs for or ability to obtain additional financing;</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3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existing cash and the sufficiency of our existing cash and proceeds from future capital-raising efforts, if any, to fund our future operating expenses and capital expenditure requirements;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w:t>
      </w:r>
    </w:p>
    <w:p>
      <w:pPr>
        <w:spacing w:after="0" w:line="91" w:lineRule="exact"/>
        <w:rPr>
          <w:rFonts w:ascii="Times New Roman" w:cs="Times New Roman" w:eastAsia="Times New Roman" w:hAnsi="Times New Roman"/>
          <w:sz w:val="14"/>
          <w:szCs w:val="14"/>
          <w:color w:val="auto"/>
        </w:rPr>
      </w:pPr>
    </w:p>
    <w:p>
      <w:pPr>
        <w:ind w:left="1720" w:right="181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stock by us, our insiders or our stockholders;</w:t>
      </w:r>
    </w:p>
    <w:p>
      <w:pPr>
        <w:spacing w:after="0" w:line="9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and smaller reporting company under the Jumpstart Our Business Startups Act of 2012, as amended;</w:t>
      </w:r>
    </w:p>
    <w:p>
      <w:pPr>
        <w:spacing w:after="0" w:line="41" w:lineRule="exact"/>
        <w:rPr>
          <w:rFonts w:ascii="Times New Roman" w:cs="Times New Roman" w:eastAsia="Times New Roman" w:hAnsi="Times New Roman"/>
          <w:sz w:val="14"/>
          <w:szCs w:val="14"/>
          <w:color w:val="auto"/>
        </w:rPr>
      </w:pPr>
    </w:p>
    <w:p>
      <w:pPr>
        <w:ind w:left="1720" w:right="1639" w:hanging="134"/>
        <w:spacing w:after="0" w:line="267"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geopolitical and market conditions, such as military conflict or war, inflation and financial institution instability, tariffs and other trade measures, or pandemic or epidemic disease outbreaks, many of which are beyond our control;</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senior management, directors or key personnel;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our competitors or our industry; and</w:t>
      </w:r>
    </w:p>
    <w:p>
      <w:pPr>
        <w:spacing w:after="0" w:line="91" w:lineRule="exact"/>
        <w:rPr>
          <w:rFonts w:ascii="Times New Roman" w:cs="Times New Roman" w:eastAsia="Times New Roman" w:hAnsi="Times New Roman"/>
          <w:sz w:val="14"/>
          <w:szCs w:val="14"/>
          <w:color w:val="auto"/>
        </w:rPr>
      </w:pPr>
    </w:p>
    <w:p>
      <w:pPr>
        <w:ind w:left="1720" w:right="1659" w:hanging="134"/>
        <w:spacing w:after="0" w:line="283" w:lineRule="auto"/>
        <w:tabs>
          <w:tab w:leader="none" w:pos="1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included under the section heading “Risk Factors” contained in this prospectus.</w:t>
      </w:r>
    </w:p>
    <w:p>
      <w:pPr>
        <w:spacing w:after="0" w:line="73" w:lineRule="exact"/>
        <w:rPr>
          <w:sz w:val="20"/>
          <w:szCs w:val="20"/>
          <w:color w:val="auto"/>
        </w:rPr>
      </w:pPr>
    </w:p>
    <w:p>
      <w:pPr>
        <w:ind w:left="1300" w:right="1319" w:firstLine="281"/>
        <w:spacing w:after="0" w:line="252"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forward-looking statements in this prospectus may prove incorrect. These forward-looking statements speak only as of the date of this prospectus and are subject to a number of known and unknown risks, uncertainties and assumptions, including those described under the sections titled “Risk Factors” and “Management’s Discussion and Analysis of Financial Condition and Results of Operations” contained in our </w:t>
      </w:r>
      <w:hyperlink r:id="rId33">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as filed with the SEC on March 11,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2025, any subsequent Quarterly Report on Form 10-Q, and as described or may be described in any subsequent Annual Report on Form 10-K, each incorporated by reference in this prospectus and any other documents we file with the SEC that are deemed incorporated by reference into this prospectus.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99" w:firstLine="281"/>
        <w:spacing w:after="0" w:line="267" w:lineRule="auto"/>
        <w:rPr>
          <w:sz w:val="20"/>
          <w:szCs w:val="20"/>
          <w:color w:val="auto"/>
        </w:rPr>
      </w:pPr>
      <w:r>
        <w:rPr>
          <w:rFonts w:ascii="Times New Roman" w:cs="Times New Roman" w:eastAsia="Times New Roman" w:hAnsi="Times New Roman"/>
          <w:sz w:val="14"/>
          <w:szCs w:val="14"/>
          <w:color w:val="auto"/>
        </w:rPr>
        <w:t>All of the shares of Common Stock offered by the selling stockholders pursuant to this prospectus will be sold by the selling stockholders for their respective accounts. We will not receive any of the proceeds from these sales.</w:t>
      </w:r>
    </w:p>
    <w:p>
      <w:pPr>
        <w:spacing w:after="0" w:line="84"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The selling stockholders will bear all discounts and commissions, if any, and expenses incurred by them for brokerage, accounting, tax or legal services or any other expenses incurred in disposing of the Common Stock. We will bear the costs, fees and expenses incurred in effecting the registration of the shares covered by this prospectus, including, without limitation,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25"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Pursuant to the Registration Rights Agreement, we agreed to (i) file the registration statement, of which this prospectus is a part, to cover the resale of the shares of Common Stock that the selling stockholders acquired pursuant to the Purchase Agreement and (ii) use reasonable best efforts to keep such registration statement continuously effective from the date on which the SEC declares the registration statement to be effective until the earlier of (x) the date on which the selling stockholders shall have resold all the Registrable Securities (as such term is defined in the Registration Rights Agreement) covered thereby, and</w:t>
      </w:r>
    </w:p>
    <w:p>
      <w:pPr>
        <w:spacing w:after="0" w:line="2" w:lineRule="exact"/>
        <w:rPr>
          <w:sz w:val="20"/>
          <w:szCs w:val="20"/>
          <w:color w:val="auto"/>
        </w:rPr>
      </w:pPr>
    </w:p>
    <w:p>
      <w:pPr>
        <w:ind w:left="1300" w:right="1339" w:firstLine="5"/>
        <w:spacing w:after="0" w:line="256" w:lineRule="auto"/>
        <w:tabs>
          <w:tab w:leader="none" w:pos="151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Registrable Securities may be resold by the selling stockholders without registration and without regard to any volume or manner-of-sale limitations by reason of Rule 144 under the Securities Act (“Rule 144”) and without current public information pursuant to Rule 144.</w:t>
      </w:r>
    </w:p>
    <w:p>
      <w:pPr>
        <w:spacing w:after="0" w:line="91"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We are registering the resale of the above-referenced securities to permit each of the selling stockholders identified below, or their permitted transferees, pledgees or donees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Throughout this prospectus, when we refer to the securities being registered on behalf of the selling stockholders, we are referring to the shares of Common Stock issued in the Private Placement pursuant to the Purchase Agreement. When we refer to “selling stockholders” in this prospectus, we mean those persons listed in the table below, as well as their permitted transferees, pledgees or donees or other successors-in-interest that may be identified in a supplement to this prospectus or, if required, a post-effective amendment to the registration statement, of which this prospectus is a part. The selling stockholders may sell some, all or none of their shares of Common Stock. We do not know how long the selling stockholders will hold the shares before selling them, and we currently have no agreements, arrangements or understandings with the selling stockholders regarding the sale or other disposition of any of the shares. The shares of Common Stock covered hereby may be offered from time to time by the selling stockholders.</w:t>
      </w:r>
    </w:p>
    <w:p>
      <w:pPr>
        <w:spacing w:after="0" w:line="253"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The information regarding shares beneficially owned after the offering assumes the sale of all shares of Common Stock offered by the selling stockholders. To our knowledge, subject to community property laws where applicable, each person named in the table has sole voting and investment power with respect to the shares of Common Stock set forth opposite such person’s name.</w:t>
      </w:r>
    </w:p>
    <w:p>
      <w:pPr>
        <w:spacing w:after="0" w:line="89"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The following table sets forth the name of each selling stockholder, the number and percentage of shares of Common Stock beneficially owned by each selling stockholder as of October 9, 2025, the number of shares of Common Stock that may be offered under this prospectus, and the number and percentage of Common Stock beneficially owned by each selling stockholder assuming all of the shares of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October 9, 2025.</w:t>
      </w:r>
    </w:p>
    <w:p>
      <w:pPr>
        <w:spacing w:after="0" w:line="263"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The number of shares described under the column “Shares of Common Stock Beneficially Owned Prior to this Offering” for each selling stockholder includes all shares of our Common Stock beneficially held by such selling stockholder as of October 9, 2025, which includes all shares of our Common Stock purchased by such selling stockholder in the Private Placement. Because each selling stockholder may dispose of all, none or some portion of their shares of Common Stock, no estimate can be given as to the number of shares of Common Stock that will be beneficially owned by a selling stockholder upon termination of this offering.</w:t>
      </w:r>
    </w:p>
    <w:p>
      <w:pPr>
        <w:spacing w:after="0" w:line="81" w:lineRule="exact"/>
        <w:rPr>
          <w:sz w:val="20"/>
          <w:szCs w:val="20"/>
          <w:color w:val="auto"/>
        </w:rPr>
      </w:pPr>
    </w:p>
    <w:p>
      <w:pPr>
        <w:ind w:left="1300" w:right="1379" w:firstLine="281"/>
        <w:spacing w:after="0" w:line="256" w:lineRule="auto"/>
        <w:rPr>
          <w:sz w:val="20"/>
          <w:szCs w:val="20"/>
          <w:color w:val="auto"/>
        </w:rPr>
      </w:pPr>
      <w:r>
        <w:rPr>
          <w:rFonts w:ascii="Times New Roman" w:cs="Times New Roman" w:eastAsia="Times New Roman" w:hAnsi="Times New Roman"/>
          <w:sz w:val="14"/>
          <w:szCs w:val="14"/>
          <w:color w:val="auto"/>
        </w:rPr>
        <w:t>For purposes of the table below, however, we have assumed that after termination of this offering none of the shares of Common Stock covered by this prospectus will be beneficially owned by the selling stockholders and further assumed that the selling stockholders will not acquire or dispose of beneficial ownership of any additional shares of Common Stock during the offering. In addition, the selling stockholders may have sold, transferred or otherwise disposed of, or may sell, transfer or otherwise dispose of, at any time and from time to time, any or all of their shares of Common Stock or interests in shares of Common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99" w:lineRule="auto"/>
        <w:rPr>
          <w:sz w:val="20"/>
          <w:szCs w:val="20"/>
          <w:color w:val="auto"/>
        </w:rPr>
      </w:pPr>
      <w:r>
        <w:rPr>
          <w:rFonts w:ascii="Times New Roman" w:cs="Times New Roman" w:eastAsia="Times New Roman" w:hAnsi="Times New Roman"/>
          <w:sz w:val="14"/>
          <w:szCs w:val="14"/>
          <w:color w:val="auto"/>
        </w:rPr>
        <w:t>Stock in transactions exempt from the registration requirements of the Securities Act after the date on which the information in the table is presented. See the section titled “Plan of Distribution.”</w:t>
      </w:r>
    </w:p>
    <w:p>
      <w:pPr>
        <w:spacing w:after="0" w:line="89"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2000" w:type="dxa"/>
            <w:vAlign w:val="bottom"/>
          </w:tcPr>
          <w:p>
            <w:pPr>
              <w:spacing w:after="0"/>
              <w:rPr>
                <w:sz w:val="11"/>
                <w:szCs w:val="11"/>
                <w:color w:val="auto"/>
              </w:rPr>
            </w:pPr>
          </w:p>
        </w:tc>
        <w:tc>
          <w:tcPr>
            <w:tcW w:w="250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250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700" w:type="dxa"/>
            <w:vAlign w:val="bottom"/>
          </w:tcPr>
          <w:p>
            <w:pPr>
              <w:jc w:val="center"/>
              <w:ind w:left="84"/>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Beneficial Ownership</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rPr>
                <w:sz w:val="10"/>
                <w:szCs w:val="10"/>
                <w:color w:val="auto"/>
              </w:rPr>
            </w:pPr>
          </w:p>
        </w:tc>
        <w:tc>
          <w:tcPr>
            <w:tcW w:w="2500" w:type="dxa"/>
            <w:vAlign w:val="bottom"/>
          </w:tcPr>
          <w:p>
            <w:pPr>
              <w:jc w:val="center"/>
              <w:ind w:left="1664"/>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700" w:type="dxa"/>
            <w:vAlign w:val="bottom"/>
          </w:tcPr>
          <w:p>
            <w:pPr>
              <w:jc w:val="center"/>
              <w:ind w:left="84"/>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spacing w:after="0" w:line="127" w:lineRule="exact"/>
              <w:rPr>
                <w:sz w:val="20"/>
                <w:szCs w:val="20"/>
                <w:color w:val="auto"/>
              </w:rPr>
            </w:pPr>
            <w:r>
              <w:rPr>
                <w:rFonts w:ascii="Times New Roman" w:cs="Times New Roman" w:eastAsia="Times New Roman" w:hAnsi="Times New Roman"/>
                <w:sz w:val="11"/>
                <w:szCs w:val="11"/>
                <w:b w:val="1"/>
                <w:bCs w:val="1"/>
                <w:color w:val="auto"/>
                <w:w w:val="97"/>
              </w:rPr>
              <w:t>After this Offering</w:t>
            </w:r>
            <w:r>
              <w:rPr>
                <w:rFonts w:ascii="Times New Roman" w:cs="Times New Roman" w:eastAsia="Times New Roman" w:hAnsi="Times New Roman"/>
                <w:sz w:val="14"/>
                <w:szCs w:val="14"/>
                <w:b w:val="1"/>
                <w:bCs w:val="1"/>
                <w:color w:val="auto"/>
                <w:w w:val="97"/>
                <w:vertAlign w:val="superscript"/>
              </w:rPr>
              <w:t>(4)</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53"/>
        </w:trPr>
        <w:tc>
          <w:tcPr>
            <w:tcW w:w="2000" w:type="dxa"/>
            <w:vAlign w:val="bottom"/>
          </w:tcPr>
          <w:p>
            <w:pPr>
              <w:spacing w:after="0"/>
              <w:rPr>
                <w:sz w:val="4"/>
                <w:szCs w:val="4"/>
                <w:color w:val="auto"/>
              </w:rPr>
            </w:pPr>
          </w:p>
        </w:tc>
        <w:tc>
          <w:tcPr>
            <w:tcW w:w="2500" w:type="dxa"/>
            <w:vAlign w:val="bottom"/>
            <w:vMerge w:val="restart"/>
          </w:tcPr>
          <w:p>
            <w:pPr>
              <w:jc w:val="center"/>
              <w:ind w:left="1684"/>
              <w:spacing w:after="0" w:line="97" w:lineRule="exact"/>
              <w:rPr>
                <w:sz w:val="20"/>
                <w:szCs w:val="20"/>
                <w:color w:val="auto"/>
              </w:rPr>
            </w:pPr>
            <w:r>
              <w:rPr>
                <w:rFonts w:ascii="Times New Roman" w:cs="Times New Roman" w:eastAsia="Times New Roman" w:hAnsi="Times New Roman"/>
                <w:sz w:val="11"/>
                <w:szCs w:val="11"/>
                <w:b w:val="1"/>
                <w:bCs w:val="1"/>
                <w:color w:val="auto"/>
                <w:w w:val="98"/>
              </w:rPr>
              <w:t>Owned Prior to</w:t>
            </w:r>
          </w:p>
        </w:tc>
        <w:tc>
          <w:tcPr>
            <w:tcW w:w="700" w:type="dxa"/>
            <w:vAlign w:val="bottom"/>
            <w:vMerge w:val="restart"/>
          </w:tcPr>
          <w:p>
            <w:pPr>
              <w:jc w:val="center"/>
              <w:ind w:left="104"/>
              <w:spacing w:after="0" w:line="9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25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4"/>
                <w:szCs w:val="14"/>
                <w:b w:val="1"/>
                <w:bCs w:val="1"/>
                <w:color w:val="auto"/>
                <w:vertAlign w:val="superscript"/>
              </w:rPr>
              <w:t>(3)</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r>
              <w:rPr>
                <w:rFonts w:ascii="Times New Roman" w:cs="Times New Roman" w:eastAsia="Times New Roman" w:hAnsi="Times New Roman"/>
                <w:sz w:val="14"/>
                <w:szCs w:val="14"/>
                <w:b w:val="1"/>
                <w:bCs w:val="1"/>
                <w:color w:val="auto"/>
                <w:vertAlign w:val="superscript"/>
              </w:rPr>
              <w:t>(1)</w:t>
            </w:r>
          </w:p>
        </w:tc>
        <w:tc>
          <w:tcPr>
            <w:tcW w:w="2500" w:type="dxa"/>
            <w:vAlign w:val="bottom"/>
          </w:tcPr>
          <w:p>
            <w:pPr>
              <w:ind w:left="164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this Offering</w:t>
            </w:r>
          </w:p>
        </w:tc>
        <w:tc>
          <w:tcPr>
            <w:tcW w:w="700" w:type="dxa"/>
            <w:vAlign w:val="bottom"/>
          </w:tcPr>
          <w:p>
            <w:pPr>
              <w:ind w:left="40"/>
              <w:spacing w:after="0" w:line="190"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Offered</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vMerge w:val="continue"/>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4062095" cy="146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062095" cy="1466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ind w:left="1300"/>
        <w:spacing w:after="0"/>
        <w:rPr>
          <w:sz w:val="20"/>
          <w:szCs w:val="20"/>
          <w:color w:val="auto"/>
        </w:rPr>
      </w:pPr>
      <w:r>
        <w:rPr>
          <w:rFonts w:ascii="Times New Roman" w:cs="Times New Roman" w:eastAsia="Times New Roman" w:hAnsi="Times New Roman"/>
          <w:sz w:val="14"/>
          <w:szCs w:val="14"/>
          <w:color w:val="auto"/>
        </w:rPr>
        <w:t>Fidelity Select Portfolios: Select Health Care Portfolio</w:t>
      </w:r>
      <w:r>
        <w:rPr>
          <w:rFonts w:ascii="Times New Roman" w:cs="Times New Roman" w:eastAsia="Times New Roman" w:hAnsi="Times New Roman"/>
          <w:sz w:val="18"/>
          <w:szCs w:val="18"/>
          <w:color w:val="auto"/>
          <w:vertAlign w:val="superscript"/>
        </w:rPr>
        <w:t>(5)</w:t>
      </w:r>
    </w:p>
    <w:p>
      <w:pPr>
        <w:spacing w:after="0" w:line="22" w:lineRule="exact"/>
        <w:rPr>
          <w:sz w:val="20"/>
          <w:szCs w:val="20"/>
          <w:color w:val="auto"/>
        </w:rPr>
      </w:pPr>
    </w:p>
    <w:p>
      <w:pPr>
        <w:ind w:left="1440" w:right="180" w:hanging="139"/>
        <w:spacing w:after="0" w:line="247" w:lineRule="auto"/>
        <w:rPr>
          <w:sz w:val="20"/>
          <w:szCs w:val="20"/>
          <w:color w:val="auto"/>
        </w:rPr>
      </w:pPr>
      <w:r>
        <w:rPr>
          <w:rFonts w:ascii="Times New Roman" w:cs="Times New Roman" w:eastAsia="Times New Roman" w:hAnsi="Times New Roman"/>
          <w:sz w:val="14"/>
          <w:szCs w:val="14"/>
          <w:color w:val="auto"/>
        </w:rPr>
        <w:t>Fidelity Advisor Series VII: Fidelity Advisor Health Care Fund</w:t>
      </w:r>
      <w:r>
        <w:rPr>
          <w:rFonts w:ascii="Times New Roman" w:cs="Times New Roman" w:eastAsia="Times New Roman" w:hAnsi="Times New Roman"/>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-12700</wp:posOffset>
            </wp:positionV>
            <wp:extent cx="4062095" cy="240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062095" cy="240665"/>
                    </a:xfrm>
                    <a:prstGeom prst="rect">
                      <a:avLst/>
                    </a:prstGeom>
                    <a:noFill/>
                  </pic:spPr>
                </pic:pic>
              </a:graphicData>
            </a:graphic>
          </wp:anchor>
        </w:drawing>
      </w:r>
    </w:p>
    <w:p>
      <w:pPr>
        <w:ind w:left="1440" w:right="360" w:hanging="139"/>
        <w:spacing w:after="0" w:line="247" w:lineRule="auto"/>
        <w:rPr>
          <w:sz w:val="20"/>
          <w:szCs w:val="20"/>
          <w:color w:val="auto"/>
        </w:rPr>
      </w:pPr>
      <w:r>
        <w:rPr>
          <w:rFonts w:ascii="Times New Roman" w:cs="Times New Roman" w:eastAsia="Times New Roman" w:hAnsi="Times New Roman"/>
          <w:sz w:val="14"/>
          <w:szCs w:val="14"/>
          <w:color w:val="auto"/>
        </w:rPr>
        <w:t>Variable Insurance Products Fund IV: VIP Health Care Portfolio</w:t>
      </w:r>
      <w:r>
        <w:rPr>
          <w:rFonts w:ascii="Times New Roman" w:cs="Times New Roman" w:eastAsia="Times New Roman" w:hAnsi="Times New Roman"/>
          <w:sz w:val="18"/>
          <w:szCs w:val="18"/>
          <w:color w:val="auto"/>
          <w:vertAlign w:val="superscript"/>
        </w:rPr>
        <w:t>(7)</w:t>
      </w:r>
    </w:p>
    <w:p>
      <w:pPr>
        <w:ind w:left="1300"/>
        <w:spacing w:after="0"/>
        <w:rPr>
          <w:sz w:val="20"/>
          <w:szCs w:val="20"/>
          <w:color w:val="auto"/>
        </w:rPr>
      </w:pPr>
      <w:r>
        <w:rPr>
          <w:rFonts w:ascii="Times New Roman" w:cs="Times New Roman" w:eastAsia="Times New Roman" w:hAnsi="Times New Roman"/>
          <w:sz w:val="14"/>
          <w:szCs w:val="14"/>
          <w:color w:val="auto"/>
        </w:rPr>
        <w:t>Fidelity Central Investment Portfolios LLC: Fidelity U.S.</w:t>
      </w:r>
    </w:p>
    <w:p>
      <w:pPr>
        <w:ind w:left="1440"/>
        <w:spacing w:after="0" w:line="218" w:lineRule="auto"/>
        <w:rPr>
          <w:sz w:val="20"/>
          <w:szCs w:val="20"/>
          <w:color w:val="auto"/>
        </w:rPr>
      </w:pPr>
      <w:r>
        <w:rPr>
          <w:rFonts w:ascii="Times New Roman" w:cs="Times New Roman" w:eastAsia="Times New Roman" w:hAnsi="Times New Roman"/>
          <w:sz w:val="14"/>
          <w:szCs w:val="14"/>
          <w:color w:val="auto"/>
        </w:rPr>
        <w:t>Equity Central Fund – Health Care Sub</w:t>
      </w:r>
      <w:r>
        <w:rPr>
          <w:rFonts w:ascii="Times New Roman" w:cs="Times New Roman" w:eastAsia="Times New Roman" w:hAnsi="Times New Roman"/>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240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062095" cy="240665"/>
                    </a:xfrm>
                    <a:prstGeom prst="rect">
                      <a:avLst/>
                    </a:prstGeom>
                    <a:noFill/>
                  </pic:spPr>
                </pic:pic>
              </a:graphicData>
            </a:graphic>
          </wp:anchor>
        </w:drawing>
      </w:r>
    </w:p>
    <w:p>
      <w:pPr>
        <w:ind w:left="1440" w:right="160" w:hanging="139"/>
        <w:spacing w:after="0" w:line="256" w:lineRule="auto"/>
        <w:rPr>
          <w:sz w:val="20"/>
          <w:szCs w:val="20"/>
          <w:color w:val="auto"/>
        </w:rPr>
      </w:pPr>
      <w:r>
        <w:rPr>
          <w:rFonts w:ascii="Times New Roman" w:cs="Times New Roman" w:eastAsia="Times New Roman" w:hAnsi="Times New Roman"/>
          <w:sz w:val="14"/>
          <w:szCs w:val="14"/>
          <w:color w:val="auto"/>
        </w:rPr>
        <w:t>Variable Insurance Products Fund: VIP Stock Selector All Cap Portfolio Health Care Subportfolio</w:t>
      </w:r>
      <w:r>
        <w:rPr>
          <w:rFonts w:ascii="Times New Roman" w:cs="Times New Roman" w:eastAsia="Times New Roman" w:hAnsi="Times New Roman"/>
          <w:sz w:val="18"/>
          <w:szCs w:val="18"/>
          <w:color w:val="auto"/>
          <w:vertAlign w:val="superscript"/>
        </w:rPr>
        <w:t>(9)</w:t>
      </w:r>
    </w:p>
    <w:p>
      <w:pPr>
        <w:ind w:left="1300"/>
        <w:spacing w:after="0" w:line="225" w:lineRule="auto"/>
        <w:rPr>
          <w:sz w:val="20"/>
          <w:szCs w:val="20"/>
          <w:color w:val="auto"/>
        </w:rPr>
      </w:pPr>
      <w:r>
        <w:rPr>
          <w:rFonts w:ascii="Times New Roman" w:cs="Times New Roman" w:eastAsia="Times New Roman" w:hAnsi="Times New Roman"/>
          <w:sz w:val="14"/>
          <w:szCs w:val="14"/>
          <w:color w:val="auto"/>
        </w:rPr>
        <w:t>Fidelity Advisor Series VII: Fidelity Advisor Biotechnology</w:t>
      </w:r>
    </w:p>
    <w:p>
      <w:pPr>
        <w:ind w:left="1440"/>
        <w:spacing w:after="0" w:line="185" w:lineRule="auto"/>
        <w:rPr>
          <w:sz w:val="20"/>
          <w:szCs w:val="20"/>
          <w:color w:val="auto"/>
        </w:rPr>
      </w:pPr>
      <w:r>
        <w:rPr>
          <w:rFonts w:ascii="Times New Roman" w:cs="Times New Roman" w:eastAsia="Times New Roman" w:hAnsi="Times New Roman"/>
          <w:sz w:val="21"/>
          <w:szCs w:val="21"/>
          <w:color w:val="auto"/>
          <w:vertAlign w:val="subscript"/>
        </w:rPr>
        <w:t>Fund</w:t>
      </w:r>
      <w:r>
        <w:rPr>
          <w:rFonts w:ascii="Times New Roman" w:cs="Times New Roman" w:eastAsia="Times New Roman" w:hAnsi="Times New Roman"/>
          <w:sz w:val="8"/>
          <w:szCs w:val="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13970</wp:posOffset>
            </wp:positionV>
            <wp:extent cx="4062095" cy="140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Fidelity Select Portfolios: Biotechnology Portfolio</w:t>
      </w:r>
      <w:r>
        <w:rPr>
          <w:rFonts w:ascii="Times New Roman" w:cs="Times New Roman" w:eastAsia="Times New Roman" w:hAnsi="Times New Roman"/>
          <w:sz w:val="18"/>
          <w:szCs w:val="18"/>
          <w:color w:val="auto"/>
          <w:vertAlign w:val="superscript"/>
        </w:rPr>
        <w:t>(11)</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Fidelity Securities Fund: Fidelity Small Cap Growth Fund</w:t>
      </w:r>
      <w:r>
        <w:rPr>
          <w:rFonts w:ascii="Times New Roman" w:cs="Times New Roman" w:eastAsia="Times New Roman" w:hAnsi="Times New Roman"/>
          <w:sz w:val="18"/>
          <w:szCs w:val="18"/>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5080</wp:posOffset>
            </wp:positionV>
            <wp:extent cx="4062095" cy="240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062095" cy="24066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Fidelity Securities Fund: Fidelity Small Cap Growth K6</w:t>
      </w:r>
    </w:p>
    <w:p>
      <w:pPr>
        <w:ind w:left="1440"/>
        <w:spacing w:after="0" w:line="180" w:lineRule="auto"/>
        <w:rPr>
          <w:sz w:val="20"/>
          <w:szCs w:val="20"/>
          <w:color w:val="auto"/>
        </w:rPr>
      </w:pPr>
      <w:r>
        <w:rPr>
          <w:rFonts w:ascii="Times New Roman" w:cs="Times New Roman" w:eastAsia="Times New Roman" w:hAnsi="Times New Roman"/>
          <w:sz w:val="22"/>
          <w:szCs w:val="22"/>
          <w:color w:val="auto"/>
          <w:vertAlign w:val="subscript"/>
        </w:rPr>
        <w:t>Fund</w:t>
      </w:r>
      <w:r>
        <w:rPr>
          <w:rFonts w:ascii="Times New Roman" w:cs="Times New Roman" w:eastAsia="Times New Roman" w:hAnsi="Times New Roman"/>
          <w:sz w:val="8"/>
          <w:szCs w:val="8"/>
          <w:color w:val="auto"/>
        </w:rPr>
        <w:t>(13)</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Royalty Pharma Investments 2019 ICAV</w:t>
      </w:r>
      <w:r>
        <w:rPr>
          <w:rFonts w:ascii="Times New Roman" w:cs="Times New Roman" w:eastAsia="Times New Roman" w:hAnsi="Times New Roman"/>
          <w:sz w:val="18"/>
          <w:szCs w:val="18"/>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6350</wp:posOffset>
            </wp:positionV>
            <wp:extent cx="4062095" cy="140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NEA 18 Venture Growth Equity, L.P.</w:t>
      </w:r>
      <w:r>
        <w:rPr>
          <w:rFonts w:ascii="Times New Roman" w:cs="Times New Roman" w:eastAsia="Times New Roman" w:hAnsi="Times New Roman"/>
          <w:sz w:val="18"/>
          <w:szCs w:val="18"/>
          <w:color w:val="auto"/>
          <w:vertAlign w:val="superscript"/>
        </w:rPr>
        <w:t>(15)</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Entities affiliated with EcoR1 Capital</w:t>
      </w:r>
      <w:r>
        <w:rPr>
          <w:rFonts w:ascii="Times New Roman" w:cs="Times New Roman" w:eastAsia="Times New Roman" w:hAnsi="Times New Roman"/>
          <w:sz w:val="18"/>
          <w:szCs w:val="18"/>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14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Funds affiliated with Federated Hermes, Inc.</w:t>
      </w:r>
      <w:r>
        <w:rPr>
          <w:rFonts w:ascii="Times New Roman" w:cs="Times New Roman" w:eastAsia="Times New Roman" w:hAnsi="Times New Roman"/>
          <w:sz w:val="18"/>
          <w:szCs w:val="18"/>
          <w:color w:val="auto"/>
          <w:vertAlign w:val="superscript"/>
        </w:rPr>
        <w:t>(17)</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Point72 Associates, LLC</w:t>
      </w:r>
      <w:r>
        <w:rPr>
          <w:rFonts w:ascii="Times New Roman" w:cs="Times New Roman" w:eastAsia="Times New Roman" w:hAnsi="Times New Roman"/>
          <w:sz w:val="18"/>
          <w:szCs w:val="18"/>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140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Fairmount Healthcare Fund II L.P.</w:t>
      </w:r>
      <w:r>
        <w:rPr>
          <w:rFonts w:ascii="Times New Roman" w:cs="Times New Roman" w:eastAsia="Times New Roman" w:hAnsi="Times New Roman"/>
          <w:sz w:val="18"/>
          <w:szCs w:val="18"/>
          <w:color w:val="auto"/>
          <w:vertAlign w:val="superscript"/>
        </w:rPr>
        <w:t>(19)</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Entities affiliated with NEXTBio</w:t>
      </w:r>
      <w:r>
        <w:rPr>
          <w:rFonts w:ascii="Times New Roman" w:cs="Times New Roman" w:eastAsia="Times New Roman" w:hAnsi="Times New Roman"/>
          <w:sz w:val="18"/>
          <w:szCs w:val="18"/>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140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Zebra Aggregator, LP</w:t>
      </w:r>
      <w:r>
        <w:rPr>
          <w:rFonts w:ascii="Times New Roman" w:cs="Times New Roman" w:eastAsia="Times New Roman" w:hAnsi="Times New Roman"/>
          <w:sz w:val="18"/>
          <w:szCs w:val="18"/>
          <w:color w:val="auto"/>
          <w:vertAlign w:val="superscript"/>
        </w:rPr>
        <w:t>(21)</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Funds affiliated with SR One</w:t>
      </w:r>
      <w:r>
        <w:rPr>
          <w:rFonts w:ascii="Times New Roman" w:cs="Times New Roman" w:eastAsia="Times New Roman" w:hAnsi="Times New Roman"/>
          <w:sz w:val="18"/>
          <w:szCs w:val="18"/>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140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Entities affiliated with Vivo Opportunity Fund</w:t>
      </w:r>
      <w:r>
        <w:rPr>
          <w:rFonts w:ascii="Times New Roman" w:cs="Times New Roman" w:eastAsia="Times New Roman" w:hAnsi="Times New Roman"/>
          <w:sz w:val="18"/>
          <w:szCs w:val="18"/>
          <w:color w:val="auto"/>
          <w:vertAlign w:val="superscript"/>
        </w:rPr>
        <w:t>(23)</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Longitude Venture Partners IV, L.P.</w:t>
      </w:r>
      <w:r>
        <w:rPr>
          <w:rFonts w:ascii="Times New Roman" w:cs="Times New Roman" w:eastAsia="Times New Roman" w:hAnsi="Times New Roman"/>
          <w:sz w:val="18"/>
          <w:szCs w:val="18"/>
          <w:color w:val="auto"/>
          <w:vertAlign w:val="super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14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Eversept Generations Fund, LP</w:t>
      </w:r>
      <w:r>
        <w:rPr>
          <w:rFonts w:ascii="Times New Roman" w:cs="Times New Roman" w:eastAsia="Times New Roman" w:hAnsi="Times New Roman"/>
          <w:sz w:val="18"/>
          <w:szCs w:val="18"/>
          <w:color w:val="auto"/>
          <w:vertAlign w:val="superscript"/>
        </w:rPr>
        <w:t>(25)</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Eversept Global Healthcare Fund, LP</w:t>
      </w:r>
      <w:r>
        <w:rPr>
          <w:rFonts w:ascii="Times New Roman" w:cs="Times New Roman" w:eastAsia="Times New Roman" w:hAnsi="Times New Roman"/>
          <w:sz w:val="18"/>
          <w:szCs w:val="18"/>
          <w:color w:val="auto"/>
          <w:vertAlign w:val="superscript"/>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0</wp:posOffset>
            </wp:positionV>
            <wp:extent cx="4062095" cy="240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062095" cy="240665"/>
                    </a:xfrm>
                    <a:prstGeom prst="rect">
                      <a:avLst/>
                    </a:prstGeom>
                    <a:noFill/>
                  </pic:spPr>
                </pic:pic>
              </a:graphicData>
            </a:graphic>
          </wp:anchor>
        </w:drawing>
      </w:r>
    </w:p>
    <w:p>
      <w:pPr>
        <w:spacing w:after="0" w:line="2" w:lineRule="exact"/>
        <w:rPr>
          <w:sz w:val="20"/>
          <w:szCs w:val="20"/>
          <w:color w:val="auto"/>
        </w:rPr>
      </w:pPr>
    </w:p>
    <w:p>
      <w:pPr>
        <w:ind w:left="1440" w:right="80" w:hanging="139"/>
        <w:spacing w:after="0" w:line="241" w:lineRule="auto"/>
        <w:rPr>
          <w:sz w:val="20"/>
          <w:szCs w:val="20"/>
          <w:color w:val="auto"/>
        </w:rPr>
      </w:pPr>
      <w:r>
        <w:rPr>
          <w:rFonts w:ascii="Times New Roman" w:cs="Times New Roman" w:eastAsia="Times New Roman" w:hAnsi="Times New Roman"/>
          <w:sz w:val="14"/>
          <w:szCs w:val="14"/>
          <w:color w:val="auto"/>
        </w:rPr>
        <w:t>Crown Managed Accounts SPC Acting for and on behalf of Crown/Long Short 41 Segregated Portfolio</w:t>
      </w:r>
      <w:r>
        <w:rPr>
          <w:rFonts w:ascii="Times New Roman" w:cs="Times New Roman" w:eastAsia="Times New Roman" w:hAnsi="Times New Roman"/>
          <w:sz w:val="18"/>
          <w:szCs w:val="18"/>
          <w:color w:val="auto"/>
          <w:vertAlign w:val="superscript"/>
        </w:rPr>
        <w:t>(27)</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ArrowMark Life Science Fund II, LP</w:t>
      </w:r>
      <w:r>
        <w:rPr>
          <w:rFonts w:ascii="Times New Roman" w:cs="Times New Roman" w:eastAsia="Times New Roman" w:hAnsi="Times New Roman"/>
          <w:sz w:val="18"/>
          <w:szCs w:val="18"/>
          <w:color w:val="auto"/>
          <w:vertAlign w:val="superscript"/>
        </w:rPr>
        <w:t>(28)</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shd w:val="clear" w:color="auto" w:fill="CCEEFF"/>
        </w:rPr>
        <w:t>Leon O. Moulder, Jr. Revocable Trust I/A dtd 9/9/2008</w:t>
      </w:r>
      <w:r>
        <w:rPr>
          <w:rFonts w:ascii="Times New Roman" w:cs="Times New Roman" w:eastAsia="Times New Roman" w:hAnsi="Times New Roman"/>
          <w:sz w:val="18"/>
          <w:szCs w:val="18"/>
          <w:color w:val="auto"/>
          <w:vertAlign w:val="superscript"/>
          <w:shd w:val="clear" w:color="auto" w:fill="CCEEFF"/>
        </w:rPr>
        <w:t>(29)</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Patrick Enright</w:t>
      </w:r>
      <w:r>
        <w:rPr>
          <w:rFonts w:ascii="Times New Roman" w:cs="Times New Roman" w:eastAsia="Times New Roman" w:hAnsi="Times New Roman"/>
          <w:sz w:val="18"/>
          <w:szCs w:val="18"/>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131445</wp:posOffset>
            </wp:positionV>
            <wp:extent cx="9620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984,008</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823,143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​1.54%</w:t>
            </w:r>
          </w:p>
        </w:tc>
        <w:tc>
          <w:tcPr>
            <w:tcW w:w="0" w:type="dxa"/>
            <w:vAlign w:val="bottom"/>
          </w:tcPr>
          <w:p>
            <w:pPr>
              <w:spacing w:after="0"/>
              <w:rPr>
                <w:sz w:val="1"/>
                <w:szCs w:val="1"/>
                <w:color w:val="auto"/>
              </w:rPr>
            </w:pPr>
          </w:p>
        </w:tc>
      </w:tr>
      <w:tr>
        <w:trPr>
          <w:trHeight w:val="183"/>
        </w:trPr>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122,099​​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417,037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38,208​​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133,630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311,842​​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76,074​​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699,334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86,234​​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613,100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1.15%</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263,137​​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116,285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160,245​​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9"/>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80,024​​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2"/>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1,263,150</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​​1,263,150​​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3,523,219</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789,500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9"/>
              </w:rPr>
              <w:t>​2,733,719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w w:val="99"/>
              </w:rPr>
              <w:t>​5.11%</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789,500​​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2,722,677</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526,310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9"/>
              </w:rPr>
              <w:t>​2,196,367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w w:val="99"/>
              </w:rPr>
              <w:t>​4.10%</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368,400​​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2,209,025</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316,219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9"/>
              </w:rPr>
              <w:t>​1,892,806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w w:val="99"/>
              </w:rPr>
              <w:t>​3.54%</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263,160​​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3,919,159</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157,800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9"/>
              </w:rPr>
              <w:t>​3,761,359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w w:val="99"/>
              </w:rPr>
              <w:t>​7.03%</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41"/>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5,037,854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126,315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rPr>
              <w:t>​4,911,539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​9.18%</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105,265​​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470,588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1,832,669</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105,265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w w:val="99"/>
              </w:rPr>
              <w:t>​1,727,404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w w:val="99"/>
              </w:rPr>
              <w:t>​3.23%</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29,320​​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62,147​​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58"/>
        </w:trPr>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8,533​​ ​</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9"/>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871,647</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819,147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​1.53%</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41"/>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shd w:val="clear" w:color="auto" w:fill="CCEEFF"/>
              </w:rPr>
              <w:t>​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shd w:val="clear" w:color="auto" w:fill="CCEEFF"/>
              </w:rPr>
              <w:t>​</w:t>
            </w:r>
            <w:r>
              <w:rPr>
                <w:rFonts w:ascii="Times New Roman" w:cs="Times New Roman" w:eastAsia="Times New Roman" w:hAnsi="Times New Roman"/>
                <w:sz w:val="14"/>
                <w:szCs w:val="14"/>
                <w:color w:val="auto"/>
                <w:shd w:val="clear" w:color="auto" w:fill="CCEEFF"/>
              </w:rPr>
              <w:t>2,594,662</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shd w:val="clear" w:color="auto" w:fill="CCEEFF"/>
              </w:rPr>
              <w:t>​​ ​</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shd w:val="clear" w:color="auto" w:fill="CCEEFF"/>
              </w:rPr>
              <w:t>​</w:t>
            </w:r>
          </w:p>
        </w:tc>
        <w:tc>
          <w:tcPr>
            <w:tcW w:w="5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shd w:val="clear" w:color="auto" w:fill="CCEEFF"/>
              </w:rPr>
              <w:t>36,928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 ​</w:t>
            </w:r>
          </w:p>
        </w:tc>
        <w:tc>
          <w:tcPr>
            <w:tcW w:w="5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shd w:val="clear" w:color="auto" w:fill="CCEEFF"/>
              </w:rPr>
              <w:t>​2,557,734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3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shd w:val="clear" w:color="auto" w:fill="CCEEFF"/>
              </w:rPr>
              <w:t>​4.72%</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41"/>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2,631,522</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117,255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w w:val="99"/>
              </w:rPr>
              <w:t>​2,514,267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​4.70%</w:t>
            </w:r>
          </w:p>
        </w:tc>
        <w:tc>
          <w:tcPr>
            <w:tcW w:w="0" w:type="dxa"/>
            <w:vAlign w:val="bottom"/>
          </w:tcPr>
          <w:p>
            <w:pPr>
              <w:spacing w:after="0"/>
              <w:rPr>
                <w:sz w:val="1"/>
                <w:szCs w:val="1"/>
                <w:color w:val="auto"/>
              </w:rPr>
            </w:pPr>
          </w:p>
        </w:tc>
      </w:tr>
      <w:tr>
        <w:trPr>
          <w:trHeight w:val="183"/>
        </w:trPr>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4880" w:space="60"/>
            <w:col w:w="4079"/>
          </w:cols>
          <w:pgMar w:left="1440" w:top="107" w:right="1440" w:bottom="1440" w:gutter="0" w:footer="0" w:header="0"/>
          <w:type w:val="continuous"/>
        </w:sectPr>
      </w:pPr>
    </w:p>
    <w:p>
      <w:pPr>
        <w:ind w:left="1580" w:hanging="275"/>
        <w:spacing w:after="0"/>
        <w:tabs>
          <w:tab w:leader="none" w:pos="15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 of outstanding Common Stock.</w:t>
      </w:r>
    </w:p>
    <w:p>
      <w:pPr>
        <w:spacing w:after="0" w:line="81" w:lineRule="exact"/>
        <w:rPr>
          <w:sz w:val="20"/>
          <w:szCs w:val="20"/>
          <w:color w:val="auto"/>
        </w:rPr>
      </w:pPr>
    </w:p>
    <w:p>
      <w:pPr>
        <w:ind w:left="1580" w:hanging="275"/>
        <w:spacing w:after="0"/>
        <w:tabs>
          <w:tab w:leader="none" w:pos="1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regarding selling stockholders was provided by the selling stockholders.</w:t>
      </w:r>
    </w:p>
    <w:p>
      <w:pPr>
        <w:spacing w:after="0" w:line="81" w:lineRule="exact"/>
        <w:rPr>
          <w:rFonts w:ascii="Times New Roman" w:cs="Times New Roman" w:eastAsia="Times New Roman" w:hAnsi="Times New Roman"/>
          <w:sz w:val="14"/>
          <w:szCs w:val="14"/>
          <w:color w:val="auto"/>
        </w:rPr>
      </w:pPr>
    </w:p>
    <w:p>
      <w:pPr>
        <w:ind w:left="1580" w:right="1339" w:hanging="275"/>
        <w:spacing w:after="0" w:line="267" w:lineRule="auto"/>
        <w:tabs>
          <w:tab w:leader="none" w:pos="1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in the column “Shares of Common Stock Offered” represents all of the shares of Common Stock that a selling stockholder may offer and sell from time to time under this prospectus.</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79" w:hanging="275"/>
        <w:spacing w:after="0" w:line="264"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ownership is based on a denominator equal to the sum of (i) 53,524,495 shares of Common Stock outstanding as of October 9, 2025 and (ii) the number of shares of Common Stock issuable upon exercise or conversion of convertible securities beneficially owned by the applicable selling stockholder.</w:t>
      </w:r>
    </w:p>
    <w:p>
      <w:pPr>
        <w:spacing w:after="0" w:line="205" w:lineRule="exact"/>
        <w:rPr>
          <w:rFonts w:ascii="Times New Roman" w:cs="Times New Roman" w:eastAsia="Times New Roman" w:hAnsi="Times New Roman"/>
          <w:sz w:val="14"/>
          <w:szCs w:val="14"/>
          <w:color w:val="auto"/>
        </w:rPr>
      </w:pPr>
    </w:p>
    <w:p>
      <w:pPr>
        <w:ind w:left="1580" w:right="1379" w:hanging="275"/>
        <w:spacing w:after="0" w:line="264"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all shares of Common Stock being registered under the registration statement of which this prospectus forms a part are sold in this offering, and that none of the selling stockholders acquire additional shares of our Common Stock after the date of this prospectus and prior to completion of this offering.</w:t>
      </w:r>
    </w:p>
    <w:p>
      <w:pPr>
        <w:spacing w:after="0" w:line="194" w:lineRule="exact"/>
        <w:rPr>
          <w:rFonts w:ascii="Times New Roman" w:cs="Times New Roman" w:eastAsia="Times New Roman" w:hAnsi="Times New Roman"/>
          <w:sz w:val="14"/>
          <w:szCs w:val="14"/>
          <w:color w:val="auto"/>
        </w:rPr>
      </w:pPr>
    </w:p>
    <w:p>
      <w:pPr>
        <w:ind w:left="1580" w:right="1319" w:hanging="275"/>
        <w:spacing w:after="0" w:line="253"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160,865 shares of Common Stock purchased by Fidelity Select Portfolios: Select Health Care Portfolio in the Private Placement and (ii) 823,143 shares of Common Stock previously purchased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3" w:lineRule="exact"/>
        <w:rPr>
          <w:rFonts w:ascii="Times New Roman" w:cs="Times New Roman" w:eastAsia="Times New Roman" w:hAnsi="Times New Roman"/>
          <w:sz w:val="14"/>
          <w:szCs w:val="14"/>
          <w:color w:val="auto"/>
        </w:rPr>
      </w:pPr>
    </w:p>
    <w:p>
      <w:pPr>
        <w:ind w:left="1580" w:right="1359" w:hanging="275"/>
        <w:spacing w:after="0" w:line="253"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122,099 shares of Common Stock purchased by Fidelity Advisor Series VII: Fidelity Advisor Health Care Fund in the Private Placement and (ii) 417,037 shares of Common Stock previously purchased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3" w:lineRule="exact"/>
        <w:rPr>
          <w:rFonts w:ascii="Times New Roman" w:cs="Times New Roman" w:eastAsia="Times New Roman" w:hAnsi="Times New Roman"/>
          <w:sz w:val="14"/>
          <w:szCs w:val="14"/>
          <w:color w:val="auto"/>
        </w:rPr>
      </w:pPr>
    </w:p>
    <w:p>
      <w:pPr>
        <w:ind w:left="1580" w:right="1379" w:hanging="275"/>
        <w:spacing w:after="0" w:line="253"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38,208 shares of Common Stock purchased by Variable Insurance Products Fund IV: VIP Health Care Portfolio in the Private Placement and (ii) 133,630 shares of Common Stock previously purchased by Variable Insurance Products 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13" w:lineRule="exact"/>
        <w:rPr>
          <w:rFonts w:ascii="Times New Roman" w:cs="Times New Roman" w:eastAsia="Times New Roman" w:hAnsi="Times New Roman"/>
          <w:sz w:val="14"/>
          <w:szCs w:val="14"/>
          <w:color w:val="auto"/>
        </w:rPr>
      </w:pPr>
    </w:p>
    <w:p>
      <w:pPr>
        <w:ind w:left="1580" w:right="1399" w:hanging="275"/>
        <w:spacing w:after="0" w:line="261"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311,842 shares of Common Stock purchased by Fidelity Central Investment Portfolios LLC: Fidelity U.S. Equity Central Fund — Health Care Sub in the Private Placement. This fund is managed by direct or indirect subsidiaries of FMR LLC. Abigail P. Johnson is a Director, the Chairman and the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79"/>
        <w:spacing w:after="0" w:line="245" w:lineRule="auto"/>
        <w:rPr>
          <w:sz w:val="20"/>
          <w:szCs w:val="20"/>
          <w:color w:val="auto"/>
        </w:rPr>
      </w:pPr>
      <w:r>
        <w:rPr>
          <w:rFonts w:ascii="Times New Roman" w:cs="Times New Roman" w:eastAsia="Times New Roman" w:hAnsi="Times New Roman"/>
          <w:sz w:val="14"/>
          <w:szCs w:val="14"/>
          <w:color w:val="auto"/>
        </w:rPr>
        <w:t>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6" w:lineRule="exact"/>
        <w:rPr>
          <w:sz w:val="20"/>
          <w:szCs w:val="20"/>
          <w:color w:val="auto"/>
        </w:rPr>
      </w:pPr>
    </w:p>
    <w:p>
      <w:pPr>
        <w:ind w:left="1580" w:right="1379" w:hanging="275"/>
        <w:spacing w:after="0" w:line="253"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76,074 shares of Common Stock purchased by Variable Insurance Products Fund: VIP Stock Selector All Cap Portfolio Health Care Subportfolio in the Private Placement.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4" w:lineRule="exact"/>
        <w:rPr>
          <w:rFonts w:ascii="Times New Roman" w:cs="Times New Roman" w:eastAsia="Times New Roman" w:hAnsi="Times New Roman"/>
          <w:sz w:val="14"/>
          <w:szCs w:val="14"/>
          <w:color w:val="auto"/>
        </w:rPr>
      </w:pPr>
    </w:p>
    <w:p>
      <w:pPr>
        <w:ind w:left="1580" w:right="1399" w:hanging="275"/>
        <w:spacing w:after="0" w:line="253"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86,243 shares of Common Stock purchased by Fidelity Advisor Series VII: Fidelity Advisor Biotechnology Fund in the Private Placement and (ii) 613,100 shares of Common Stock previously purchased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33" w:lineRule="exact"/>
        <w:rPr>
          <w:rFonts w:ascii="Times New Roman" w:cs="Times New Roman" w:eastAsia="Times New Roman" w:hAnsi="Times New Roman"/>
          <w:sz w:val="14"/>
          <w:szCs w:val="14"/>
          <w:color w:val="auto"/>
        </w:rPr>
      </w:pPr>
    </w:p>
    <w:p>
      <w:pPr>
        <w:ind w:left="1580" w:right="1319" w:hanging="275"/>
        <w:spacing w:after="0" w:line="253"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263,137 shares of Common Stock purchased by Fidelity Select Portfolios: Biotechnology Portfolio in the Private Placement and (ii) 116,285 shares of Common Stock previously purchased by Fidelity Select Portfolios: Biotechnology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13" w:lineRule="exact"/>
        <w:rPr>
          <w:rFonts w:ascii="Times New Roman" w:cs="Times New Roman" w:eastAsia="Times New Roman" w:hAnsi="Times New Roman"/>
          <w:sz w:val="14"/>
          <w:szCs w:val="14"/>
          <w:color w:val="auto"/>
        </w:rPr>
      </w:pPr>
    </w:p>
    <w:p>
      <w:pPr>
        <w:ind w:left="1580" w:right="1479" w:hanging="275"/>
        <w:spacing w:after="0" w:line="259" w:lineRule="auto"/>
        <w:tabs>
          <w:tab w:leader="none" w:pos="1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491,786 shares of Common Stock purchased by Fidelity Securities Fund: Fidelity Small Cap Growth Fund in the Private Placement and (ii) 160,245 shares of Common Stock previously purchased by Fidelity Securities Fund: Fidelity Small Cap Growth Fund. This fund is managed by direct or indirect subsidiaries of FMR LLC. Abigail P. Johnson is a Director, the Chairman and the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79"/>
        <w:spacing w:after="0" w:line="255" w:lineRule="auto"/>
        <w:rPr>
          <w:sz w:val="20"/>
          <w:szCs w:val="20"/>
          <w:color w:val="auto"/>
        </w:rPr>
      </w:pPr>
      <w:r>
        <w:rPr>
          <w:rFonts w:ascii="Times New Roman" w:cs="Times New Roman" w:eastAsia="Times New Roman" w:hAnsi="Times New Roman"/>
          <w:sz w:val="14"/>
          <w:szCs w:val="14"/>
          <w:color w:val="auto"/>
        </w:rPr>
        <w:t>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39" w:lineRule="exact"/>
        <w:rPr>
          <w:sz w:val="20"/>
          <w:szCs w:val="20"/>
          <w:color w:val="auto"/>
        </w:rPr>
      </w:pPr>
    </w:p>
    <w:p>
      <w:pPr>
        <w:ind w:left="1580" w:right="1379" w:hanging="275"/>
        <w:spacing w:after="0" w:line="253" w:lineRule="auto"/>
        <w:tabs>
          <w:tab w:leader="none" w:pos="1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80,024 shares of Common Stock purchased by Fidelity Securities Fund: Fidelity Small Cap Growth K6 Fund in the Private Placement and (ii) 205,714 shares of Common Stock previously purchased by Fidelity Securities Fund: Fidelity Small Cap Growth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13" w:lineRule="exact"/>
        <w:rPr>
          <w:rFonts w:ascii="Times New Roman" w:cs="Times New Roman" w:eastAsia="Times New Roman" w:hAnsi="Times New Roman"/>
          <w:sz w:val="14"/>
          <w:szCs w:val="14"/>
          <w:color w:val="auto"/>
        </w:rPr>
      </w:pPr>
    </w:p>
    <w:p>
      <w:pPr>
        <w:ind w:left="1580" w:right="1339" w:hanging="275"/>
        <w:spacing w:after="0" w:line="256" w:lineRule="auto"/>
        <w:tabs>
          <w:tab w:leader="none" w:pos="1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1,263,150 shares of Common Stock Purchased in the Private Placement by Royalty Pharma Investments 2019 ICAV. Royalty Pharma Manager, LLC is the manager of Royalty Pharma Investments 2019 ICAV and is ultimately controlled by Royalty Pharma plc, a publicly traded company listed on The Nasdaq Global Select Market. The address for each of Royalty Pharma Investments 2019 ICAV, Royalty Pharma Manager, LLC and Royalty Pharma plc is 110 East 59th Street, New York, New York 10022.</w:t>
      </w:r>
    </w:p>
    <w:p>
      <w:pPr>
        <w:spacing w:after="0" w:line="200" w:lineRule="exact"/>
        <w:rPr>
          <w:rFonts w:ascii="Times New Roman" w:cs="Times New Roman" w:eastAsia="Times New Roman" w:hAnsi="Times New Roman"/>
          <w:sz w:val="14"/>
          <w:szCs w:val="14"/>
          <w:color w:val="auto"/>
        </w:rPr>
      </w:pPr>
    </w:p>
    <w:p>
      <w:pPr>
        <w:ind w:left="1580" w:right="1339" w:hanging="275"/>
        <w:spacing w:after="0" w:line="253" w:lineRule="auto"/>
        <w:tabs>
          <w:tab w:leader="none" w:pos="1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789,500 shares of Common Stock purchased by NEA 18 Venture Growth Equity, L.P. (“NEA 18 VGE”) in the Private Placement, (ii) 2,613,948 shares of Common Stock previously purchased by NEA 18 VGE and (ii) 119,771 shares of Common Stock previously purchased by Growth Equity Opportunities 18 VGE, LLC. As the sole general partner of NEA 18 VGE, NEA 18 GP VGE, LLC (“NEA 18 VGE LLC”) may be deemed to own beneficially the shares of Common Stock held by NEA 18 VGE. As the individual managers of NEA 18 VGE LLC, each of the managers of NEA 18 VGE LLC, Ali Behbahani (“Behbahani”), Carmen Chang (“Chang”), Anthony A. Florence, Jr. (“Florence”), Mohamed Makhzoumi (“Makhzoumi”), Edward T. Mathers (“Mathers”), Scott D. Sandell (“Sandell”), Paul E. Walker (“Walker”) and Rick Yang (“Yang”) (together, the “Managers”) also may be deemed to own beneficially the NEA 18 VGE Shares. The address of the principal business office of NEA 18 VGE, NEA Partners 18 VGE, NEA 18 VGE LLC and Sandell is New Enterprise Associates, 1954 Greenspring Drive, Suite 600, Timonium, MD 21093. The address of the principal business office of Behbahani, Chang, Makhzoumi, Walker and Yang is New Enterprise Associates, 2855 Sand Hill Road, Menlo Park, CA 94025. The address of the principal business office of Florence and Mathers is New Enterprise Associates, 104 5th Avenue, 19th Floor, New York, NY 10011.</w:t>
      </w:r>
    </w:p>
    <w:p>
      <w:pPr>
        <w:spacing w:after="0" w:line="211" w:lineRule="exact"/>
        <w:rPr>
          <w:rFonts w:ascii="Times New Roman" w:cs="Times New Roman" w:eastAsia="Times New Roman" w:hAnsi="Times New Roman"/>
          <w:sz w:val="14"/>
          <w:szCs w:val="14"/>
          <w:color w:val="auto"/>
        </w:rPr>
      </w:pPr>
    </w:p>
    <w:p>
      <w:pPr>
        <w:ind w:left="1580" w:right="1379" w:hanging="275"/>
        <w:spacing w:after="0" w:line="256" w:lineRule="auto"/>
        <w:tabs>
          <w:tab w:leader="none" w:pos="1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741,341 shares of Common Stock purchased in the Private Placement by EcoR1 Capital Fund Qualified, L.P. (“Qualified Fund”); and (ii) 48,159 shares of Common Stock purchased in the Private Placement by EcoR1 Capital Fund, L.P. (“Capital Fund”, and together with Qualified Fund, the “EcoR1 Capital Funds”). EcoR1 Capital, LLC (“EcoR1”) is the general partner of EcoR1 Capital Funds. Oleg Nodelman is the control person of EcoR1 and may be deemed to share dispositive voting power over the shares held by the EcoR1 Capital Funds. Mr. Nodelman and EcoR1 both disclaim</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719"/>
        <w:spacing w:after="0" w:line="259" w:lineRule="auto"/>
        <w:rPr>
          <w:sz w:val="20"/>
          <w:szCs w:val="20"/>
          <w:color w:val="auto"/>
        </w:rPr>
      </w:pPr>
      <w:r>
        <w:rPr>
          <w:rFonts w:ascii="Times New Roman" w:cs="Times New Roman" w:eastAsia="Times New Roman" w:hAnsi="Times New Roman"/>
          <w:sz w:val="14"/>
          <w:szCs w:val="14"/>
          <w:color w:val="auto"/>
        </w:rPr>
        <w:t>beneficial ownership of all shares except to the extent of their pecuniary interest. The address for EcoR1 Capital LLC, the EcoR1 Capital Funds and Oleg Nodelman is 357 Tehama Street #3, San Francisco, CA.</w:t>
      </w:r>
    </w:p>
    <w:p>
      <w:pPr>
        <w:spacing w:after="0" w:line="15" w:lineRule="exact"/>
        <w:rPr>
          <w:sz w:val="20"/>
          <w:szCs w:val="20"/>
          <w:color w:val="auto"/>
        </w:rPr>
      </w:pPr>
    </w:p>
    <w:p>
      <w:pPr>
        <w:ind w:left="1580" w:right="1399" w:hanging="275"/>
        <w:spacing w:after="0" w:line="256" w:lineRule="auto"/>
        <w:tabs>
          <w:tab w:leader="none" w:pos="1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203,640 shares of Common Stock purchased in the Private Placement and 894,119 shares of Common Stock previously purchased and held by Federated Hermes Kaufmann Small Cap Fund, a portfolio of Federated Hermes Equity Funds (“Federated Hermes Kaufmann Small Cap Fund”);</w:t>
      </w:r>
    </w:p>
    <w:p>
      <w:pPr>
        <w:spacing w:after="0" w:line="1" w:lineRule="exact"/>
        <w:rPr>
          <w:rFonts w:ascii="Times New Roman" w:cs="Times New Roman" w:eastAsia="Times New Roman" w:hAnsi="Times New Roman"/>
          <w:sz w:val="14"/>
          <w:szCs w:val="14"/>
          <w:color w:val="auto"/>
        </w:rPr>
      </w:pPr>
    </w:p>
    <w:p>
      <w:pPr>
        <w:ind w:left="1580" w:right="13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314,060 shares of Common Stock purchased in the Private Placement and 1,267,222 shares of Common Stock previously purchased and held by Federated Hermes Kaufmann Fund, a portfolio of Federated Hermes Equity Funds (“Federated Hermes Kaufmann Fund”); and (iii) 8,610 shares of Common Stock purchased in the Private Placement and 35,026 shares of Common Stock previously purchased and held by Federated Hermes Kaufmann Fund II, a portfolio of Federated Hermes Insurance Series (“Federated Hermes Kaufmann Fund II” and, collectively with the Federated Hermes Kaufmann Small Cap Fund and the Federated Hermes Kaufmann Fund, the “Federated Hermes Kaufmann Funds”). The Federated Hermes Kaufmann Funds are managed by Federated Global Investment Management Corp., which is a wholly-owned subsidiary of FII Holdings, Inc., which is a wholly-owned subsidiary of Federated Hermes, Inc. (the “Federated Hermes Parent”). All of the outstanding voting stock of the Federated Hermes Parent is held in the Voting Shares Irrevocable Trust (the “Trust”), for which Thomas R. Donahue, Ann C. Donahue and J. Christopher Donahue, who are collectively referred to as Trustees, act as trustees. A subsidiary of the Federated Hermes Parent has the power to direct the vote and disposition of the securities held by the Federated Hermes Kaufmann Funds. In accordance with Rule 13d-4 under the Securities Exchange Act of 1934, as amended, the Federated Hermes Parent, the Trust, and each of the Trustees declare that this statement should not be construed as an admission that they are the beneficial owners of the securities held by the Federated Hermes Kaufmann Funds, and the Federated Hermes Parent, the Trust, and each of the Trustees expressly disclaim beneficial ownership of such securities. The business address of each Trustee is 4000 Ericsson Drive, Warrendale, PA 15086-7561.</w:t>
      </w:r>
    </w:p>
    <w:p>
      <w:pPr>
        <w:spacing w:after="0" w:line="206" w:lineRule="exact"/>
        <w:rPr>
          <w:rFonts w:ascii="Times New Roman" w:cs="Times New Roman" w:eastAsia="Times New Roman" w:hAnsi="Times New Roman"/>
          <w:sz w:val="14"/>
          <w:szCs w:val="14"/>
          <w:color w:val="auto"/>
        </w:rPr>
      </w:pPr>
    </w:p>
    <w:p>
      <w:pPr>
        <w:ind w:left="1580" w:right="1319" w:hanging="275"/>
        <w:spacing w:after="0" w:line="254" w:lineRule="auto"/>
        <w:tabs>
          <w:tab w:leader="none" w:pos="1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368,400 shares of Common Stock purchased by Point72 Associates, LLC in the Private Placement. Point72 Asset Management, L.P. maintains investment and voting power with respect to the securities held by certain investment funds it manages, including Point72 Associates, LLC. Point 72 Capital Advisors, Inc. is the general partner of Point72 Asset Management, L.P. Mr. Steven A. Cohen controls each of Point72 Asset Management, L.P. and Point72 Capital Advisors, Inc. By reason of the provisions of Rule 13d-3 of the Exchange Act, each of Point72 Asset Management, L.P., Point72 Capital Advisors, Inc. and Mr. Cohen may be deemed to beneficially own the securities held by Point72 Associates, LLC that are disclosed herein. Each of Point72 Asset Management, L.P., Point72 Capital Advisors, Inc., and Mr. Cohen disclaims beneficial ownership of such securities. The address for Point72 Associates is c/o Point72 Asset Management, L.P., 72 Cummings Point Road, Stamford, CT 06902.</w:t>
      </w:r>
    </w:p>
    <w:p>
      <w:pPr>
        <w:spacing w:after="0" w:line="209" w:lineRule="exact"/>
        <w:rPr>
          <w:rFonts w:ascii="Times New Roman" w:cs="Times New Roman" w:eastAsia="Times New Roman" w:hAnsi="Times New Roman"/>
          <w:sz w:val="14"/>
          <w:szCs w:val="14"/>
          <w:color w:val="auto"/>
        </w:rPr>
      </w:pPr>
    </w:p>
    <w:p>
      <w:pPr>
        <w:ind w:left="1580" w:right="1399" w:hanging="275"/>
        <w:spacing w:after="0" w:line="253" w:lineRule="auto"/>
        <w:tabs>
          <w:tab w:leader="none" w:pos="1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316,219 shares of Common Stock purchased by Fairmount Healthcare Fund II LP (“Fund II”) in the Private Placement and (ii) 1,892,806 shares of Common Stock previously purchased by Fund II. Fairmount Funds Management LLC (“Fairmount”) serves as investment manager for Fund II. Fund II has delegated to Fairmount the sole power to vote and the sole power to dispose of all securities held in Fund II’s portfolio. Because Fund II has divested itself of voting and investment power over the securities it holds and may not revoke that delegation on less than 61 days’ notice, Fund II disclaims beneficial ownership of the securities it holds. As managers of Fairmount,</w:t>
      </w:r>
    </w:p>
    <w:p>
      <w:pPr>
        <w:spacing w:after="0" w:line="3" w:lineRule="exact"/>
        <w:rPr>
          <w:rFonts w:ascii="Times New Roman" w:cs="Times New Roman" w:eastAsia="Times New Roman" w:hAnsi="Times New Roman"/>
          <w:sz w:val="14"/>
          <w:szCs w:val="14"/>
          <w:color w:val="auto"/>
        </w:rPr>
      </w:pPr>
    </w:p>
    <w:p>
      <w:pPr>
        <w:ind w:left="1580" w:right="139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Harwin and Mr. Kiselak may be deemed to have voting and investment power over the shares held by Fund II. Fairmount, Mr. Harwin, and Mr. Kiselak disclaim beneficial ownership of such shares, except to the extent of any pecuniary interest therein. The address of each of the entities and individuals listed is 200 Barr Harbor Drive, Suite 400, West Conshohocken, PA 19428.</w:t>
      </w:r>
    </w:p>
    <w:p>
      <w:pPr>
        <w:spacing w:after="0" w:line="29" w:lineRule="exact"/>
        <w:rPr>
          <w:rFonts w:ascii="Times New Roman" w:cs="Times New Roman" w:eastAsia="Times New Roman" w:hAnsi="Times New Roman"/>
          <w:sz w:val="14"/>
          <w:szCs w:val="14"/>
          <w:color w:val="auto"/>
        </w:rPr>
      </w:pPr>
    </w:p>
    <w:p>
      <w:pPr>
        <w:ind w:left="1580" w:right="1379" w:hanging="275"/>
        <w:spacing w:after="0" w:line="261" w:lineRule="auto"/>
        <w:tabs>
          <w:tab w:leader="none" w:pos="1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157,896 shares of Common Stock purchased by NEXTBio Master Fund LP (“NEXTBio Master Fund”) in the private placement and (ii) 105,264 shares of Common Stock purchased by NEXTBio Evergreen LLC (“NEXTBio Evergreen,” and together the “NEXTBio Funds”) in the Private</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19"/>
        <w:spacing w:after="0" w:line="255" w:lineRule="auto"/>
        <w:rPr>
          <w:sz w:val="20"/>
          <w:szCs w:val="20"/>
          <w:color w:val="auto"/>
        </w:rPr>
      </w:pPr>
      <w:r>
        <w:rPr>
          <w:rFonts w:ascii="Times New Roman" w:cs="Times New Roman" w:eastAsia="Times New Roman" w:hAnsi="Times New Roman"/>
          <w:sz w:val="14"/>
          <w:szCs w:val="14"/>
          <w:color w:val="auto"/>
        </w:rPr>
        <w:t>Placement and (iii) 58,823 shares of Common Stock previously purchased by NEXTBio Master Fund. NEXTBio Capital Management LP (“NEXTBio”) is the management company and investment advisor to the NEXTBio Funds. NEXTBio Capital Management (GP) LLC (“NEXTBio GP”) is the sole general partner of NEXTBio. Hongbo Lu and Richard Klemm are managing members of NEXTBio GP, which may be deemed to be beneficial owners of the securities directly held by the NEXTBio Funds. Each such person or entity, as the case may be, disclaims beneficial ownership of all securities held by the NEXTBio Funds, except to the extent of their respective pecuniary interest therein. The address of the individuals and entities referenced in this footnote is 3000 Sand Hill Road, Suite 3-210, Menlo Park, California 94025.</w:t>
      </w:r>
    </w:p>
    <w:p>
      <w:pPr>
        <w:spacing w:after="0" w:line="210" w:lineRule="exact"/>
        <w:rPr>
          <w:sz w:val="20"/>
          <w:szCs w:val="20"/>
          <w:color w:val="auto"/>
        </w:rPr>
      </w:pPr>
    </w:p>
    <w:p>
      <w:pPr>
        <w:ind w:left="1580" w:right="1339" w:hanging="275"/>
        <w:spacing w:after="0" w:line="256" w:lineRule="auto"/>
        <w:tabs>
          <w:tab w:leader="none" w:pos="1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157,800 shares of Common Stock purchased by Zebra Aggregator, LP (“Zebra LP”) in the Private Placement and (ii) 3,761,359 shares of Common Stock previously purchased by Zebra LP. Enavate Sciences GP, LLC (“Enavate GP”) is the general partner of Zebra LP and shares voting</w:t>
      </w:r>
    </w:p>
    <w:p>
      <w:pPr>
        <w:spacing w:after="0" w:line="1" w:lineRule="exact"/>
        <w:rPr>
          <w:rFonts w:ascii="Times New Roman" w:cs="Times New Roman" w:eastAsia="Times New Roman" w:hAnsi="Times New Roman"/>
          <w:sz w:val="14"/>
          <w:szCs w:val="14"/>
          <w:color w:val="auto"/>
        </w:rPr>
      </w:pPr>
    </w:p>
    <w:p>
      <w:pPr>
        <w:ind w:left="1580" w:right="16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investment authority over the shares of Common Stock held by Zebra LP. James P. Boylan, a manager of Enavate GP, is a member of our Board. The principal business office of Enavate GP is</w:t>
      </w:r>
    </w:p>
    <w:p>
      <w:pPr>
        <w:spacing w:after="0" w:line="1" w:lineRule="exact"/>
        <w:rPr>
          <w:rFonts w:ascii="Times New Roman" w:cs="Times New Roman" w:eastAsia="Times New Roman" w:hAnsi="Times New Roman"/>
          <w:sz w:val="14"/>
          <w:szCs w:val="14"/>
          <w:color w:val="auto"/>
        </w:rPr>
      </w:pPr>
    </w:p>
    <w:p>
      <w:pPr>
        <w:ind w:left="1580" w:right="14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2882 Sand Hill Road, Suite 100, Menlo Park, CA 94025. The principal business office of Zebra LP is 106 W 56th Street, 8th Floor, New York, NY, 10019.</w:t>
      </w:r>
    </w:p>
    <w:p>
      <w:pPr>
        <w:spacing w:after="0" w:line="24" w:lineRule="exact"/>
        <w:rPr>
          <w:rFonts w:ascii="Times New Roman" w:cs="Times New Roman" w:eastAsia="Times New Roman" w:hAnsi="Times New Roman"/>
          <w:sz w:val="14"/>
          <w:szCs w:val="14"/>
          <w:color w:val="auto"/>
        </w:rPr>
      </w:pPr>
    </w:p>
    <w:p>
      <w:pPr>
        <w:ind w:left="1580" w:right="1339" w:hanging="275"/>
        <w:spacing w:after="0" w:line="252" w:lineRule="auto"/>
        <w:tabs>
          <w:tab w:leader="none" w:pos="1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63,157 shares of Common Stock purchased by AMZL, LP (“AMZL”) in the Private Placement, (ii) 1,854,738 shares of Common Stock previously purchased by AMZL, (iii) 63,158 shares of Common Stock purchased by SR One Capital Opportunities Fund I, LP (“SR One Opportunities Fund I”), (iv) 1,110,237 shares of Common Stock previously purchased by SR One Opportunities Fund I and (v) 1,946,564 shares of Common Stock held by SR One Capital Fund II Aggregator, LP (“SR One Fund II Aggregator”). SR One Fund II Aggregator is directly controlled by its general partner, SR One Capital Partners II, LP (“SR One Partners II”). AMZL is directly controlled by its general partner, SR One Capital SMA Partners, LP (“SMA Partners”). SR One Opportunities Fund I is directly controlled by its general partner, SR One Opportunities Partners I, LP (“SR One Opportunities Partners I”). SR One Partners II, SMA Partners and SR One Opportunities Partners I are directly controlled by their general partners, SR One Capital Management, LLC (“SR One Capital Management”), and Simeon George, M.D. controls SR One Capital Management. Accordingly, each of SR One Capital Management and Simeon George, M.D. may be deemed to have voting and dispositive power with respect to the aggregate 5,037,854 shares of Common Stock held of record by SR One Fund II Aggregator, AMZL and SR One Opportunities Fund I. Jake Nunn is a Partner at SR One Capital Management, LP, an entity affiliated with SR One Fund II Aggregator, SR One Opportunities Fund I, and AMZL, and a member of our board of directors, and has no voting or dispositive power with respect to any of the above referenced shares and disclaims beneficial ownership of such shares except to the extent of his pecuniary interest therein. All indirect holders of the above referenced shares disclaim beneficial ownership of all applicable shares except to the extent of their pecuniary interest therein. The address for these entities is 929 Main Street, Suite 200, Redwood City, California 94063.</w:t>
      </w:r>
    </w:p>
    <w:p>
      <w:pPr>
        <w:spacing w:after="0" w:line="206" w:lineRule="exact"/>
        <w:rPr>
          <w:rFonts w:ascii="Times New Roman" w:cs="Times New Roman" w:eastAsia="Times New Roman" w:hAnsi="Times New Roman"/>
          <w:sz w:val="14"/>
          <w:szCs w:val="14"/>
          <w:color w:val="auto"/>
        </w:rPr>
      </w:pPr>
    </w:p>
    <w:p>
      <w:pPr>
        <w:ind w:left="1580" w:right="1339" w:hanging="275"/>
        <w:spacing w:after="0" w:line="258" w:lineRule="auto"/>
        <w:tabs>
          <w:tab w:leader="none" w:pos="1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95,608 shares of Common Stock purchased by Vivo Opportunity Fund Holdings, L.P. (“Vivo”) in the Private Placement, (ii) 419,153 shares of Common Stock previously purchased by Vivo,</w:t>
      </w:r>
    </w:p>
    <w:p>
      <w:pPr>
        <w:jc w:val="both"/>
        <w:ind w:left="1580" w:right="1839" w:firstLine="6"/>
        <w:spacing w:after="0" w:line="250" w:lineRule="auto"/>
        <w:tabs>
          <w:tab w:leader="none" w:pos="184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9,657 shares of Common Stock purchased by Vivo Opportunity Cayman Fund, L.P. (“Vivo Cayman,” and together with Vivo, the “Vivo Opportunity Funds”) in the Private Placement and</w:t>
      </w:r>
    </w:p>
    <w:p>
      <w:pPr>
        <w:spacing w:after="0" w:line="1" w:lineRule="exact"/>
        <w:rPr>
          <w:rFonts w:ascii="Times New Roman" w:cs="Times New Roman" w:eastAsia="Times New Roman" w:hAnsi="Times New Roman"/>
          <w:sz w:val="14"/>
          <w:szCs w:val="14"/>
          <w:color w:val="auto"/>
        </w:rPr>
      </w:pPr>
    </w:p>
    <w:p>
      <w:pPr>
        <w:ind w:left="1580" w:right="1359" w:firstLine="6"/>
        <w:spacing w:after="0" w:line="250" w:lineRule="auto"/>
        <w:tabs>
          <w:tab w:leader="none" w:pos="183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51,435 shares of Common Stock previously purchased by Vivo Cayman. Vivo Opportunity, LLC is the general partner of Vivo and may be deemed to share voting, investment and dispositive power over the shares held by Vivo. Vivo Opportunity Cayman, LLC is the general partner of Vivo Cayman and may be deemed to share voting, investment and dispositive power over the shares held by Vivo Cayman. The voting members of each of Vivo Opportunity, LLC and Vivo Opportunity Cayman, LLC are Kevin Dai, Gaurav Aggarwal, Frank Kung and Shan Fu, none of whom has individual voting or investment power with respect to the shares held by Vivo or Vivo Cayman. The address of each of the individuals and entities referenced in this footnote is c/o Vivo Capital LLC, 192 Lytton Avenue,</w:t>
      </w:r>
    </w:p>
    <w:p>
      <w:pPr>
        <w:spacing w:after="0" w:line="5" w:lineRule="exact"/>
        <w:rPr>
          <w:rFonts w:ascii="Times New Roman" w:cs="Times New Roman" w:eastAsia="Times New Roman" w:hAnsi="Times New Roman"/>
          <w:sz w:val="14"/>
          <w:szCs w:val="14"/>
          <w:color w:val="auto"/>
        </w:rPr>
      </w:pPr>
    </w:p>
    <w:p>
      <w:pPr>
        <w:ind w:left="1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Palo Alto, California 94301.</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39" w:hanging="275"/>
        <w:spacing w:after="0" w:line="254"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105,265 shares of Common Stock purchased by Longitude Venture Partners IV, L.P. (“LVPIV”) in the Private Placement and (ii) 1,727,404 shares of Common Stock previously purchased by LVPIV. Longitude Capital Partners IV, LLC (“LCPIV”) is the general partner of LVPIV and may be deemed to have voting, investment and dispositive power with respect to the shares held of record by LVPIV. Patrick Enright and Juliet Tammenoms Bakker are the managing members of LCPIV and may each be deemed to share voting, investment and dispositive power with respect to the shares held by LVPIV. Each of LCPIV, Ms. Bakker and Mr. Enright disclaims beneficial ownership of the securities held of record by LVPIV except to the extent of their respective pecuniary interests therein. The address for these individuals and entities is 2740 Sand Hill Road, Second Floor, Menlo Park, California 94025.</w:t>
      </w:r>
    </w:p>
    <w:p>
      <w:pPr>
        <w:spacing w:after="0" w:line="211" w:lineRule="exact"/>
        <w:rPr>
          <w:rFonts w:ascii="Times New Roman" w:cs="Times New Roman" w:eastAsia="Times New Roman" w:hAnsi="Times New Roman"/>
          <w:sz w:val="14"/>
          <w:szCs w:val="14"/>
          <w:color w:val="auto"/>
        </w:rPr>
      </w:pPr>
    </w:p>
    <w:p>
      <w:pPr>
        <w:ind w:left="1580" w:right="1359" w:hanging="275"/>
        <w:spacing w:after="0" w:line="253"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29,320 shares of Common Stock purchased by Eversept Generations Fund, LP (“Eversept Generations”) in the Private Placement and (ii) 45,542 shares of Common Stock previously purchased by Eversept Generations. Eversept Partners, LP (“Eversept Partners”) is the investment manager with sole investment discretion over Eversept Generations, and may be deemed to indirectly beneficially own securities owned by Eversept Generations. Eversept GP, LLC (“Eversept GP”) is the general partner to Eversept Generations and may be deemed to indirectly beneficially own securities owned by Eversept Generations. Kamran Moghtaderi is the sole manager of and may be deemed to beneficially own securities beneficially owned by Eversept Partners, Eversept GP, and Eversept Generations. Kamran Moghtaderi holds the power to vote and dispose of such shares. Each of Eversept Generations, Eversept Partners, Kamran Moghtaderi and Eversept GP disclaims beneficial ownership of any of the shares except to the extent of their respective pecuniary interest therein. The address of Eversept Generations is 444 Madison Avenue, 22nd Floor, New York, New York 10022.</w:t>
      </w:r>
    </w:p>
    <w:p>
      <w:pPr>
        <w:spacing w:after="0" w:line="35" w:lineRule="exact"/>
        <w:rPr>
          <w:rFonts w:ascii="Times New Roman" w:cs="Times New Roman" w:eastAsia="Times New Roman" w:hAnsi="Times New Roman"/>
          <w:sz w:val="14"/>
          <w:szCs w:val="14"/>
          <w:color w:val="auto"/>
        </w:rPr>
      </w:pPr>
    </w:p>
    <w:p>
      <w:pPr>
        <w:ind w:left="1580" w:right="1319" w:hanging="275"/>
        <w:spacing w:after="0" w:line="253"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62,147 shares of Common Stock purchased by Eversept Global Healthcare Fund, LP (“Eversept Global Healthcare”) in the Private Placement and (ii) 99,812 shares of Common Stock previously purchased by Eversept Global Healthcare. Eversept Partners is the investment manager with sole investment discretion over Eversept Global Healthcare, and may be deemed to indirectly beneficially own securities owned by Eversept Global Healthcare. Eversept GP, is the general partner to Eversept Global Healthcare and may be deemed to indirectly beneficially own securities owned by Eversept Global Healthcare. Kamran Moghtaderi is the sole manager of and may be deemed to beneficially own securities beneficially owned by Eversept Partners, Eversept GP, and Eversept Generations. Kamran Moghtaderi holds the power to vote and dispose of such shares. Each of Eversept Global Healthcare, Eversept Partners, Kamran Moghtaderi and Eversept GP disclaims beneficial ownership of any of the shares except to the extent of their respective pecuniary interest therein. The address of Eversept Global Healthcare is 444 Madison Avenue, 22nd Floor, New York, New York 10022.</w:t>
      </w:r>
    </w:p>
    <w:p>
      <w:pPr>
        <w:spacing w:after="0" w:line="203" w:lineRule="exact"/>
        <w:rPr>
          <w:rFonts w:ascii="Times New Roman" w:cs="Times New Roman" w:eastAsia="Times New Roman" w:hAnsi="Times New Roman"/>
          <w:sz w:val="14"/>
          <w:szCs w:val="14"/>
          <w:color w:val="auto"/>
        </w:rPr>
      </w:pPr>
    </w:p>
    <w:p>
      <w:pPr>
        <w:ind w:left="1580" w:right="1339" w:hanging="275"/>
        <w:spacing w:after="0" w:line="257"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8,533 shares of Common Stock purchased by Crown Managed Accounts SPC acting for and on behalf of Crown/Long Short 41 Segregated Portfolio (“Crown”) and (ii) 13,388 shares of Common Stock held by Crown. Kamran Moghtaderi is the managing principal of the trading advisor to Crown/Long Short 41 Segregated Portfolio. The address of Crown is 444 Madison Avenue, 22nd Floor, New York, New York 10022.</w:t>
      </w:r>
    </w:p>
    <w:p>
      <w:pPr>
        <w:spacing w:after="0" w:line="28" w:lineRule="exact"/>
        <w:rPr>
          <w:rFonts w:ascii="Times New Roman" w:cs="Times New Roman" w:eastAsia="Times New Roman" w:hAnsi="Times New Roman"/>
          <w:sz w:val="14"/>
          <w:szCs w:val="14"/>
          <w:color w:val="auto"/>
        </w:rPr>
      </w:pPr>
    </w:p>
    <w:p>
      <w:pPr>
        <w:ind w:left="1580" w:right="1339" w:hanging="275"/>
        <w:spacing w:after="0" w:line="255"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the Offering” consist of (i) 52,500 shares of Common Stock purchased by ArrowMark Life Science Fund II, L.P. in the Private Placement and (ii) 819,147 shares of Common Stock previously purchased by ArrowMark Life Science Fund II, L.P. ArrowMark Colorado Holdings is the investment adviser to ArrowMark Life Science Fund II, LP. By virtue of this relationship, ArrowMark Colorado Holdings may be deemed to be a beneficial owner of the securities held by ArrowMark Life Science Fund II, L.P. insofar as it may be deemed to have shared voting and dispositive power with respect to these securities. Tony Yao is the portfolio manager of ArrowMark Colorado. The address of ArrowMark Life Science Fund II, LP is 100 Fillmore Street, Suite 325, Denver, CO 80206.</w:t>
      </w:r>
    </w:p>
    <w:p>
      <w:pPr>
        <w:spacing w:after="0" w:line="38" w:lineRule="exact"/>
        <w:rPr>
          <w:rFonts w:ascii="Times New Roman" w:cs="Times New Roman" w:eastAsia="Times New Roman" w:hAnsi="Times New Roman"/>
          <w:sz w:val="14"/>
          <w:szCs w:val="14"/>
          <w:color w:val="auto"/>
        </w:rPr>
      </w:pPr>
    </w:p>
    <w:p>
      <w:pPr>
        <w:jc w:val="both"/>
        <w:ind w:left="1580" w:right="1339" w:hanging="275"/>
        <w:spacing w:after="0" w:line="267" w:lineRule="auto"/>
        <w:tabs>
          <w:tab w:leader="none" w:pos="15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the Offering” consist of (i) 36,928 shares of Common Stock purchased by the Leon O. Moulder, Jr. Revocable Trust U/A dtd 9/9/2008 (the “Trust”) in the Private Placement, (ii) 266,155 shares of Common Stock held</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99"/>
        <w:spacing w:after="0" w:line="256" w:lineRule="auto"/>
        <w:rPr>
          <w:sz w:val="20"/>
          <w:szCs w:val="20"/>
          <w:color w:val="auto"/>
        </w:rPr>
      </w:pPr>
      <w:r>
        <w:rPr>
          <w:rFonts w:ascii="Times New Roman" w:cs="Times New Roman" w:eastAsia="Times New Roman" w:hAnsi="Times New Roman"/>
          <w:sz w:val="14"/>
          <w:szCs w:val="14"/>
          <w:color w:val="auto"/>
        </w:rPr>
        <w:t>directly by Mr. Moulder, (iii) 619,540 shares of Common Stock underlying outstanding stock options exercisable within 60 days of October 9, 2025 and (iv) 1,672,039 shares of Common Stock held by Tellus BioVentures, LLC (“Tellus”). Mr. Moulder is the Managing Member of Tellus and may be deemed to have sole voting and dispositive power over the shares held by Tellus, and Mr. Moulder is a trustee of the Trust and may be deemed to have sole voting and dispositive power of the shares of Common Stock held by the Trust. The address for Mr. Moulder and these entities is c/o Zenas BioPharma, Inc., 852 Winter Street, Suite 250, Waltham, MA 02451.</w:t>
      </w:r>
    </w:p>
    <w:p>
      <w:pPr>
        <w:spacing w:after="0" w:line="40" w:lineRule="exact"/>
        <w:rPr>
          <w:sz w:val="20"/>
          <w:szCs w:val="20"/>
          <w:color w:val="auto"/>
        </w:rPr>
      </w:pPr>
    </w:p>
    <w:p>
      <w:pPr>
        <w:ind w:left="1580" w:right="1699" w:hanging="275"/>
        <w:spacing w:after="0" w:line="261" w:lineRule="auto"/>
        <w:tabs>
          <w:tab w:leader="none" w:pos="1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“Shares of Common Stock Beneficially Owned Prior to this Offering” consist of (i) 11,990 shares of Common Stock purchased by Mr. Enright in the Private Placement,</w:t>
      </w:r>
    </w:p>
    <w:p>
      <w:pPr>
        <w:spacing w:after="0" w:line="1" w:lineRule="exact"/>
        <w:rPr>
          <w:rFonts w:ascii="Times New Roman" w:cs="Times New Roman" w:eastAsia="Times New Roman" w:hAnsi="Times New Roman"/>
          <w:sz w:val="14"/>
          <w:szCs w:val="14"/>
          <w:color w:val="auto"/>
        </w:rPr>
      </w:pPr>
    </w:p>
    <w:p>
      <w:pPr>
        <w:ind w:left="1580" w:right="1459" w:firstLine="6"/>
        <w:spacing w:after="0" w:line="250" w:lineRule="auto"/>
        <w:tabs>
          <w:tab w:leader="none" w:pos="18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12,333 shares of Common Stock underlying options held by Mr. Enright which are exercisable within 60 days of October 9, 2025, (iii) 105,265 shares of Common Stock purchased by LVPIV in the Private Placement, (iv) 1,727,404 shares of Common Stock previously purchased by LVPIV and</w:t>
      </w:r>
    </w:p>
    <w:p>
      <w:pPr>
        <w:spacing w:after="0" w:line="1" w:lineRule="exact"/>
        <w:rPr>
          <w:rFonts w:ascii="Times New Roman" w:cs="Times New Roman" w:eastAsia="Times New Roman" w:hAnsi="Times New Roman"/>
          <w:sz w:val="14"/>
          <w:szCs w:val="14"/>
          <w:color w:val="auto"/>
        </w:rPr>
      </w:pPr>
    </w:p>
    <w:p>
      <w:pPr>
        <w:ind w:left="1580" w:right="1399" w:firstLine="6"/>
        <w:spacing w:after="0" w:line="250" w:lineRule="auto"/>
        <w:tabs>
          <w:tab w:leader="none" w:pos="179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774,530 shares of Common Stock previously purchased by Longitude Prime Fund, L.P. (“LPF”). LCPIV is the general partner of LVPIV and may be deemed to have voting, investment and dispositive power with respect to the shares held of record by LVPIV. Longitude Prime Partners, LLC (“LPP”) is the general partner of LPF and may be deemed to have voting, investment and dispositive power with respect to the shares held by LPF. Patrick Enright and Juliet Tammenoms Bakker are the managing members of LCPIV and LPP and may each be deemed to share voting, investment and dispositive power with respect to the shares held by LVPIV and LPF. Each of LCPIV, LPP, Ms. Bakker and</w:t>
      </w:r>
    </w:p>
    <w:p>
      <w:pPr>
        <w:spacing w:after="0" w:line="4" w:lineRule="exact"/>
        <w:rPr>
          <w:rFonts w:ascii="Times New Roman" w:cs="Times New Roman" w:eastAsia="Times New Roman" w:hAnsi="Times New Roman"/>
          <w:sz w:val="14"/>
          <w:szCs w:val="14"/>
          <w:color w:val="auto"/>
        </w:rPr>
      </w:pPr>
    </w:p>
    <w:p>
      <w:pPr>
        <w:ind w:left="1580" w:right="14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Enright disclaims beneficial ownership of the securities held of record by LVPIV and LPF except to the extent of their respective pecuniary interests therein. The address for these individuals and entities is 2740 Sand Hill Road, Second Floor, Menlo Park, California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54"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of Common Stock or interests therein:</w:t>
      </w:r>
    </w:p>
    <w:p>
      <w:pPr>
        <w:spacing w:after="0" w:line="31" w:lineRule="exact"/>
        <w:rPr>
          <w:sz w:val="20"/>
          <w:szCs w:val="20"/>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equityholders of the selling stockholders;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9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91" w:lineRule="exact"/>
        <w:rPr>
          <w:rFonts w:ascii="Times New Roman" w:cs="Times New Roman" w:eastAsia="Times New Roman" w:hAnsi="Times New Roman"/>
          <w:sz w:val="14"/>
          <w:szCs w:val="14"/>
          <w:color w:val="auto"/>
        </w:rPr>
      </w:pPr>
    </w:p>
    <w:p>
      <w:pPr>
        <w:ind w:left="1720" w:right="177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and settlement of short sales entered into after the effective date of the registration statement of which this prospectus is a part;</w:t>
      </w:r>
    </w:p>
    <w:p>
      <w:pPr>
        <w:spacing w:after="0" w:line="4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30"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13" w:lineRule="exact"/>
        <w:rPr>
          <w:sz w:val="20"/>
          <w:szCs w:val="20"/>
          <w:color w:val="auto"/>
        </w:rPr>
      </w:pPr>
    </w:p>
    <w:p>
      <w:pPr>
        <w:ind w:left="1300" w:right="1339" w:firstLine="281"/>
        <w:spacing w:after="0" w:line="242"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60" w:lineRule="exact"/>
        <w:rPr>
          <w:sz w:val="20"/>
          <w:szCs w:val="20"/>
          <w:color w:val="auto"/>
        </w:rPr>
      </w:pPr>
    </w:p>
    <w:p>
      <w:pPr>
        <w:ind w:left="1300" w:right="1359" w:firstLine="281"/>
        <w:spacing w:after="0" w:line="247"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color w:val="auto"/>
        </w:rPr>
        <w:t>The selling stockholders also may resell all or a portion of the shares of Common Stock owned by them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89"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shares of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265"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78"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89" w:lineRule="exact"/>
        <w:rPr>
          <w:sz w:val="20"/>
          <w:szCs w:val="20"/>
          <w:color w:val="auto"/>
        </w:rPr>
      </w:pPr>
    </w:p>
    <w:p>
      <w:pPr>
        <w:ind w:left="1300" w:right="1459" w:firstLine="281"/>
        <w:spacing w:after="0" w:line="255"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Securities Exchange Act of 1934 (the “Exchange Act”) may apply to sales of shares covered by this prospectus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265" w:lineRule="exact"/>
        <w:rPr>
          <w:sz w:val="20"/>
          <w:szCs w:val="20"/>
          <w:color w:val="auto"/>
        </w:rPr>
      </w:pPr>
    </w:p>
    <w:p>
      <w:pPr>
        <w:jc w:val="both"/>
        <w:ind w:left="1300" w:right="1399" w:firstLine="281"/>
        <w:spacing w:after="0" w:line="283"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liabilities, including liabilities under the Securities Act and state securities laws, relating to the registration of the shares covered by this prospectus.</w:t>
      </w:r>
    </w:p>
    <w:p>
      <w:pPr>
        <w:spacing w:after="0" w:line="62"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619" w:firstLine="281"/>
        <w:spacing w:after="0" w:line="283" w:lineRule="auto"/>
        <w:rPr>
          <w:sz w:val="20"/>
          <w:szCs w:val="20"/>
          <w:color w:val="auto"/>
        </w:rPr>
      </w:pPr>
      <w:r>
        <w:rPr>
          <w:rFonts w:ascii="Times New Roman" w:cs="Times New Roman" w:eastAsia="Times New Roman" w:hAnsi="Times New Roman"/>
          <w:sz w:val="14"/>
          <w:szCs w:val="14"/>
          <w:color w:val="auto"/>
        </w:rPr>
        <w:t>The validity of the issuance of the securities offered hereby will be passed upon for us by Ropes &amp; Gray LLP, Boston, Massachusetts.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39" w:firstLine="281"/>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Ernst &amp; Young LLP, independent registered public accounting firm, has audited our consolidated financial statements included in our </w:t>
      </w:r>
      <w:hyperlink r:id="rId62">
        <w:r>
          <w:rPr>
            <w:rFonts w:ascii="Times New Roman" w:cs="Times New Roman" w:eastAsia="Times New Roman" w:hAnsi="Times New Roman"/>
            <w:sz w:val="14"/>
            <w:szCs w:val="14"/>
            <w:u w:val="single" w:color="auto"/>
            <w:color w:val="0000EE"/>
          </w:rPr>
          <w:t>Annual Report on Form 10-K for the year ended December 31, 2024</w:t>
        </w:r>
      </w:hyperlink>
      <w:r>
        <w:rPr>
          <w:rFonts w:ascii="Times New Roman" w:cs="Times New Roman" w:eastAsia="Times New Roman" w:hAnsi="Times New Roman"/>
          <w:sz w:val="14"/>
          <w:szCs w:val="14"/>
          <w:color w:val="auto"/>
        </w:rPr>
        <w:t>,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5"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being offered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Common Stock in any state where the offer is not permitted. You should not assume that the information in this prospectus is accurate as of any date other than the date on the front page of this prospectus, regardless of the time of delivery of this prospectus or any sale of Common Stock offered by this prospectus.</w:t>
      </w:r>
    </w:p>
    <w:p>
      <w:pPr>
        <w:spacing w:after="0" w:line="91" w:lineRule="exact"/>
        <w:rPr>
          <w:sz w:val="20"/>
          <w:szCs w:val="20"/>
          <w:color w:val="auto"/>
        </w:rPr>
      </w:pPr>
    </w:p>
    <w:p>
      <w:pPr>
        <w:ind w:left="1300" w:right="1319" w:firstLine="281"/>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w:t>
      </w:r>
    </w:p>
    <w:p>
      <w:pPr>
        <w:spacing w:after="0" w:line="84" w:lineRule="exact"/>
        <w:rPr>
          <w:sz w:val="20"/>
          <w:szCs w:val="20"/>
          <w:color w:val="auto"/>
        </w:rPr>
      </w:pPr>
    </w:p>
    <w:p>
      <w:pPr>
        <w:ind w:left="1300" w:right="1439" w:firstLine="281"/>
        <w:spacing w:after="0" w:line="267" w:lineRule="auto"/>
        <w:rPr>
          <w:sz w:val="20"/>
          <w:szCs w:val="20"/>
          <w:color w:val="auto"/>
        </w:rPr>
      </w:pPr>
      <w:r>
        <w:rPr>
          <w:rFonts w:ascii="Times New Roman" w:cs="Times New Roman" w:eastAsia="Times New Roman" w:hAnsi="Times New Roman"/>
          <w:sz w:val="14"/>
          <w:szCs w:val="14"/>
          <w:color w:val="auto"/>
        </w:rPr>
        <w:t>We maintain a website at www.zenasbio.com. Information contained in, or accessible through, our website is not a part of, and is not incorporated into, this prospectus, and you should not consider it part of this prospectus.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15"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a part and prior to the effectiveness of such registration statement,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w:t>
      </w:r>
    </w:p>
    <w:p>
      <w:pPr>
        <w:spacing w:after="0" w:line="62" w:lineRule="exact"/>
        <w:rPr>
          <w:sz w:val="20"/>
          <w:szCs w:val="20"/>
          <w:color w:val="auto"/>
        </w:rPr>
      </w:pPr>
    </w:p>
    <w:p>
      <w:pPr>
        <w:ind w:left="1720" w:right="1519" w:hanging="134"/>
        <w:spacing w:after="0" w:line="283" w:lineRule="auto"/>
        <w:tabs>
          <w:tab w:leader="none" w:pos="1720" w:val="left"/>
        </w:tabs>
        <w:numPr>
          <w:ilvl w:val="0"/>
          <w:numId w:val="15"/>
        </w:numPr>
        <w:rPr>
          <w:rFonts w:ascii="Times New Roman" w:cs="Times New Roman" w:eastAsia="Times New Roman" w:hAnsi="Times New Roman"/>
          <w:sz w:val="14"/>
          <w:szCs w:val="14"/>
          <w:u w:val="single" w:color="auto"/>
          <w:color w:val="0000EE"/>
        </w:rPr>
      </w:pPr>
      <w:hyperlink r:id="rId33">
        <w:r>
          <w:rPr>
            <w:rFonts w:ascii="Times New Roman" w:cs="Times New Roman" w:eastAsia="Times New Roman" w:hAnsi="Times New Roman"/>
            <w:sz w:val="14"/>
            <w:szCs w:val="14"/>
            <w:u w:val="single" w:color="auto"/>
            <w:color w:val="0000EE"/>
          </w:rPr>
          <w:t>our Annual Report on Form 10-K for the year ended December 31, 2024, as filed with the SEC on</w:t>
        </w:r>
      </w:hyperlink>
      <w:r>
        <w:rPr>
          <w:rFonts w:ascii="Times New Roman" w:cs="Times New Roman" w:eastAsia="Times New Roman" w:hAnsi="Times New Roman"/>
          <w:sz w:val="14"/>
          <w:szCs w:val="14"/>
          <w:u w:val="single" w:color="auto"/>
          <w:color w:val="0000EE"/>
        </w:rPr>
        <w:t xml:space="preserve"> </w:t>
      </w:r>
      <w:hyperlink r:id="rId33">
        <w:r>
          <w:rPr>
            <w:rFonts w:ascii="Times New Roman" w:cs="Times New Roman" w:eastAsia="Times New Roman" w:hAnsi="Times New Roman"/>
            <w:sz w:val="14"/>
            <w:szCs w:val="14"/>
            <w:u w:val="single" w:color="auto"/>
            <w:color w:val="0000EE"/>
          </w:rPr>
          <w:t>March 11, 2025;</w:t>
        </w:r>
      </w:hyperlink>
    </w:p>
    <w:p>
      <w:pPr>
        <w:spacing w:after="0" w:line="51" w:lineRule="exact"/>
        <w:rPr>
          <w:rFonts w:ascii="Times New Roman" w:cs="Times New Roman" w:eastAsia="Times New Roman" w:hAnsi="Times New Roman"/>
          <w:sz w:val="14"/>
          <w:szCs w:val="14"/>
          <w:u w:val="single" w:color="auto"/>
          <w:color w:val="0000EE"/>
        </w:rPr>
      </w:pPr>
    </w:p>
    <w:p>
      <w:pPr>
        <w:ind w:left="1720" w:right="1379" w:hanging="134"/>
        <w:spacing w:after="0" w:line="283" w:lineRule="auto"/>
        <w:tabs>
          <w:tab w:leader="none" w:pos="1720" w:val="left"/>
        </w:tabs>
        <w:numPr>
          <w:ilvl w:val="0"/>
          <w:numId w:val="1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 ended March 31, 2025, as filed with the SEC on </w:t>
      </w:r>
      <w:hyperlink r:id="rId63">
        <w:r>
          <w:rPr>
            <w:rFonts w:ascii="Times New Roman" w:cs="Times New Roman" w:eastAsia="Times New Roman" w:hAnsi="Times New Roman"/>
            <w:sz w:val="14"/>
            <w:szCs w:val="14"/>
            <w:u w:val="single" w:color="auto"/>
            <w:color w:val="0000EE"/>
          </w:rPr>
          <w:t>May 15,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for the quarter ended June 30, 2025, as filed with the SEC on</w:t>
      </w:r>
      <w:r>
        <w:rPr>
          <w:rFonts w:ascii="Times New Roman" w:cs="Times New Roman" w:eastAsia="Times New Roman" w:hAnsi="Times New Roman"/>
          <w:sz w:val="14"/>
          <w:szCs w:val="14"/>
          <w:color w:val="0000EE"/>
        </w:rPr>
        <w:t xml:space="preserve"> </w:t>
      </w:r>
      <w:hyperlink r:id="rId64">
        <w:r>
          <w:rPr>
            <w:rFonts w:ascii="Times New Roman" w:cs="Times New Roman" w:eastAsia="Times New Roman" w:hAnsi="Times New Roman"/>
            <w:sz w:val="14"/>
            <w:szCs w:val="14"/>
            <w:u w:val="single" w:color="auto"/>
            <w:color w:val="0000EE"/>
          </w:rPr>
          <w:t>August 12, 2025</w:t>
        </w:r>
      </w:hyperlink>
      <w:r>
        <w:rPr>
          <w:rFonts w:ascii="Times New Roman" w:cs="Times New Roman" w:eastAsia="Times New Roman" w:hAnsi="Times New Roman"/>
          <w:sz w:val="14"/>
          <w:szCs w:val="14"/>
          <w:color w:val="000000"/>
        </w:rPr>
        <w:t>;</w:t>
      </w:r>
    </w:p>
    <w:p>
      <w:pPr>
        <w:spacing w:after="0" w:line="41" w:lineRule="exact"/>
        <w:rPr>
          <w:rFonts w:ascii="Times New Roman" w:cs="Times New Roman" w:eastAsia="Times New Roman" w:hAnsi="Times New Roman"/>
          <w:sz w:val="14"/>
          <w:szCs w:val="14"/>
          <w:color w:val="0000EE"/>
        </w:rPr>
      </w:pPr>
    </w:p>
    <w:p>
      <w:pPr>
        <w:ind w:left="1720" w:right="1719" w:hanging="134"/>
        <w:spacing w:after="0" w:line="283" w:lineRule="auto"/>
        <w:tabs>
          <w:tab w:leader="none" w:pos="1720" w:val="left"/>
        </w:tabs>
        <w:numPr>
          <w:ilvl w:val="0"/>
          <w:numId w:val="1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65">
        <w:r>
          <w:rPr>
            <w:rFonts w:ascii="Times New Roman" w:cs="Times New Roman" w:eastAsia="Times New Roman" w:hAnsi="Times New Roman"/>
            <w:sz w:val="14"/>
            <w:szCs w:val="14"/>
            <w:u w:val="single" w:color="auto"/>
            <w:color w:val="0000EE"/>
          </w:rPr>
          <w:t>June 12, 2025</w:t>
        </w:r>
      </w:hyperlink>
      <w:r>
        <w:rPr>
          <w:rFonts w:ascii="Times New Roman" w:cs="Times New Roman" w:eastAsia="Times New Roman" w:hAnsi="Times New Roman"/>
          <w:sz w:val="14"/>
          <w:szCs w:val="14"/>
          <w:color w:val="auto"/>
        </w:rPr>
        <w:t xml:space="preserve">, </w:t>
      </w:r>
      <w:hyperlink r:id="rId66">
        <w:r>
          <w:rPr>
            <w:rFonts w:ascii="Times New Roman" w:cs="Times New Roman" w:eastAsia="Times New Roman" w:hAnsi="Times New Roman"/>
            <w:sz w:val="14"/>
            <w:szCs w:val="14"/>
            <w:u w:val="single" w:color="auto"/>
            <w:color w:val="0000EE"/>
          </w:rPr>
          <w:t>September 2,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7">
        <w:r>
          <w:rPr>
            <w:rFonts w:ascii="Times New Roman" w:cs="Times New Roman" w:eastAsia="Times New Roman" w:hAnsi="Times New Roman"/>
            <w:sz w:val="14"/>
            <w:szCs w:val="14"/>
            <w:u w:val="single" w:color="auto"/>
            <w:color w:val="0000EE"/>
          </w:rPr>
          <w:t>October 8, 2025</w:t>
        </w:r>
      </w:hyperlink>
      <w:r>
        <w:rPr>
          <w:rFonts w:ascii="Times New Roman" w:cs="Times New Roman" w:eastAsia="Times New Roman" w:hAnsi="Times New Roman"/>
          <w:sz w:val="14"/>
          <w:szCs w:val="14"/>
          <w:color w:val="000000"/>
        </w:rPr>
        <w:t>;</w:t>
      </w:r>
    </w:p>
    <w:p>
      <w:pPr>
        <w:spacing w:after="0" w:line="41" w:lineRule="exact"/>
        <w:rPr>
          <w:rFonts w:ascii="Times New Roman" w:cs="Times New Roman" w:eastAsia="Times New Roman" w:hAnsi="Times New Roman"/>
          <w:sz w:val="14"/>
          <w:szCs w:val="14"/>
          <w:color w:val="0000EE"/>
        </w:rPr>
      </w:pPr>
    </w:p>
    <w:p>
      <w:pPr>
        <w:ind w:left="1720" w:right="1419" w:hanging="134"/>
        <w:spacing w:after="0" w:line="267" w:lineRule="auto"/>
        <w:tabs>
          <w:tab w:leader="none" w:pos="1720" w:val="left"/>
        </w:tabs>
        <w:numPr>
          <w:ilvl w:val="0"/>
          <w:numId w:val="1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2024 from our </w:t>
      </w:r>
      <w:hyperlink r:id="rId68">
        <w:r>
          <w:rPr>
            <w:rFonts w:ascii="Times New Roman" w:cs="Times New Roman" w:eastAsia="Times New Roman" w:hAnsi="Times New Roman"/>
            <w:sz w:val="14"/>
            <w:szCs w:val="14"/>
            <w:u w:val="single" w:color="auto"/>
            <w:color w:val="0000EE"/>
          </w:rPr>
          <w:t>Definitive Proxy Statement on Schedule 14A for the 2025</w:t>
        </w:r>
      </w:hyperlink>
      <w:r>
        <w:rPr>
          <w:rFonts w:ascii="Times New Roman" w:cs="Times New Roman" w:eastAsia="Times New Roman" w:hAnsi="Times New Roman"/>
          <w:sz w:val="14"/>
          <w:szCs w:val="14"/>
          <w:color w:val="auto"/>
        </w:rPr>
        <w:t xml:space="preserve"> </w:t>
      </w:r>
      <w:hyperlink r:id="rId68">
        <w:r>
          <w:rPr>
            <w:rFonts w:ascii="Times New Roman" w:cs="Times New Roman" w:eastAsia="Times New Roman" w:hAnsi="Times New Roman"/>
            <w:sz w:val="14"/>
            <w:szCs w:val="14"/>
            <w:u w:val="single" w:color="auto"/>
            <w:color w:val="0000EE"/>
          </w:rPr>
          <w:t>Annual Meeting of Stockholders, as filed with the SEC on April 28,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27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39" w:hanging="134"/>
        <w:spacing w:after="0" w:line="261" w:lineRule="auto"/>
        <w:tabs>
          <w:tab w:leader="none" w:pos="1720" w:val="left"/>
        </w:tabs>
        <w:numPr>
          <w:ilvl w:val="0"/>
          <w:numId w:val="16"/>
        </w:numPr>
        <w:rPr>
          <w:rFonts w:ascii="Times New Roman" w:cs="Times New Roman" w:eastAsia="Times New Roman" w:hAnsi="Times New Roman"/>
          <w:sz w:val="14"/>
          <w:szCs w:val="14"/>
          <w:color w:val="000000"/>
        </w:rPr>
      </w:pPr>
      <w:hyperlink r:id="rId70">
        <w:r>
          <w:rPr>
            <w:rFonts w:ascii="Times New Roman" w:cs="Times New Roman" w:eastAsia="Times New Roman" w:hAnsi="Times New Roman"/>
            <w:sz w:val="14"/>
            <w:szCs w:val="14"/>
            <w:color w:val="auto"/>
          </w:rPr>
          <w:t xml:space="preserve">the description of our Common Stock, which is contained in the Registration Statement on </w:t>
        </w:r>
        <w:r>
          <w:rPr>
            <w:rFonts w:ascii="Times New Roman" w:cs="Times New Roman" w:eastAsia="Times New Roman" w:hAnsi="Times New Roman"/>
            <w:sz w:val="14"/>
            <w:szCs w:val="14"/>
            <w:u w:val="single" w:color="auto"/>
            <w:color w:val="0000EE"/>
          </w:rPr>
          <w:t>Form 8-</w:t>
        </w:r>
      </w:hyperlink>
      <w:hyperlink r:id="rId70">
        <w:r>
          <w:rPr>
            <w:rFonts w:ascii="Times New Roman" w:cs="Times New Roman" w:eastAsia="Times New Roman" w:hAnsi="Times New Roman"/>
            <w:sz w:val="14"/>
            <w:szCs w:val="14"/>
            <w:u w:val="single" w:color="auto"/>
            <w:color w:val="0000EE"/>
          </w:rPr>
          <w:t>A</w:t>
        </w:r>
        <w:r>
          <w:rPr>
            <w:rFonts w:ascii="Times New Roman" w:cs="Times New Roman" w:eastAsia="Times New Roman" w:hAnsi="Times New Roman"/>
            <w:sz w:val="14"/>
            <w:szCs w:val="14"/>
            <w:color w:val="000000"/>
          </w:rPr>
          <w:t>, dated September 10, 2024, as supplemented by the description of our Common Stock and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preferred stock contained in </w:t>
      </w:r>
      <w:hyperlink r:id="rId71">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to our Annual Report on Form 10-K for the fiscal year ended December 31, 2024, filed with the SEC on March 11, 2025.</w:t>
      </w:r>
    </w:p>
    <w:p>
      <w:pPr>
        <w:spacing w:after="0" w:line="89" w:lineRule="exact"/>
        <w:rPr>
          <w:rFonts w:ascii="Times New Roman" w:cs="Times New Roman" w:eastAsia="Times New Roman" w:hAnsi="Times New Roman"/>
          <w:sz w:val="14"/>
          <w:szCs w:val="14"/>
          <w:color w:val="auto"/>
        </w:rPr>
      </w:pPr>
    </w:p>
    <w:p>
      <w:pPr>
        <w:ind w:left="1300" w:right="1399" w:firstLine="281"/>
        <w:spacing w:after="0" w:line="267"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84" w:lineRule="exact"/>
        <w:rPr>
          <w:rFonts w:ascii="Times New Roman" w:cs="Times New Roman" w:eastAsia="Times New Roman" w:hAnsi="Times New Roman"/>
          <w:sz w:val="14"/>
          <w:szCs w:val="14"/>
          <w:color w:val="auto"/>
        </w:rPr>
      </w:pPr>
    </w:p>
    <w:p>
      <w:pPr>
        <w:ind w:left="1300" w:right="1759" w:firstLine="281"/>
        <w:spacing w:after="0" w:line="283" w:lineRule="auto"/>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w:t>
      </w:r>
    </w:p>
    <w:p>
      <w:pPr>
        <w:spacing w:after="0" w:line="6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2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Zenas BioPharma, Inc.</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852 Winter Street, Suite 250</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(857) 271-2954</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email address: IR@zenasbio.com</w:t>
      </w:r>
    </w:p>
    <w:p>
      <w:pPr>
        <w:spacing w:after="0" w:line="108" w:lineRule="exact"/>
        <w:rPr>
          <w:rFonts w:ascii="Times New Roman" w:cs="Times New Roman" w:eastAsia="Times New Roman" w:hAnsi="Times New Roman"/>
          <w:sz w:val="14"/>
          <w:szCs w:val="14"/>
          <w:color w:val="auto"/>
        </w:rPr>
      </w:pPr>
    </w:p>
    <w:p>
      <w:pPr>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Copies of these filings are also available, without charge, on the SEC’s website at www.sec.gov and on our website at www.zenasbio.com as soon as reasonably practicable after they are filed electronically with the SEC. The information contained on our website is not a part of this prospectus.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34"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5"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relating to the issuance and distribution of the securities being registered hereby, other than underwriting discounts and commissions, all of which shall be borne by the Registrant. All of such fees and expenses, except for the SEC registration fee, are estimated:</w:t>
      </w:r>
    </w:p>
    <w:p>
      <w:pPr>
        <w:spacing w:after="0" w:line="282"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5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Legal fees and expenses</w:t>
            </w:r>
          </w:p>
        </w:tc>
        <w:tc>
          <w:tcPr>
            <w:tcW w:w="228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$250,000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356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60" w:type="dxa"/>
            <w:vAlign w:val="bottom"/>
            <w:gridSpan w:val="2"/>
          </w:tcPr>
          <w:p>
            <w:pPr>
              <w:ind w:left="1620"/>
              <w:spacing w:after="0" w:line="42" w:lineRule="exact"/>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Accounting fees and expenses</w:t>
            </w:r>
          </w:p>
        </w:tc>
        <w:tc>
          <w:tcPr>
            <w:tcW w:w="1860" w:type="dxa"/>
            <w:vAlign w:val="bottom"/>
            <w:gridSpan w:val="2"/>
            <w:shd w:val="clear" w:color="auto" w:fill="CCEEFF"/>
          </w:tcPr>
          <w:p>
            <w:pPr>
              <w:ind w:left="17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15,000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356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w:t>
            </w:r>
          </w:p>
        </w:tc>
        <w:tc>
          <w:tcPr>
            <w:tcW w:w="1860" w:type="dxa"/>
            <w:vAlign w:val="bottom"/>
            <w:gridSpan w:val="2"/>
            <w:shd w:val="clear" w:color="auto" w:fill="CCEEFF"/>
          </w:tcPr>
          <w:p>
            <w:pPr>
              <w:ind w:left="1620"/>
              <w:spacing w:after="0" w:line="42" w:lineRule="exact"/>
              <w:rPr>
                <w:sz w:val="20"/>
                <w:szCs w:val="20"/>
                <w:color w:val="auto"/>
              </w:rPr>
            </w:pPr>
            <w:r>
              <w:rPr>
                <w:rFonts w:ascii="Times New Roman" w:cs="Times New Roman" w:eastAsia="Times New Roman" w:hAnsi="Times New Roman"/>
                <w:sz w:val="4"/>
                <w:szCs w:val="4"/>
                <w:color w:val="auto"/>
              </w:rPr>
              <w:t>​ ​​</w:t>
            </w:r>
          </w:p>
        </w:tc>
        <w:tc>
          <w:tcPr>
            <w:tcW w:w="42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Miscellaneous fees and expenses</w:t>
            </w:r>
          </w:p>
        </w:tc>
        <w:tc>
          <w:tcPr>
            <w:tcW w:w="1860" w:type="dxa"/>
            <w:vAlign w:val="bottom"/>
            <w:gridSpan w:val="2"/>
          </w:tcPr>
          <w:p>
            <w:pPr>
              <w:ind w:left="17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356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1860" w:type="dxa"/>
            <w:vAlign w:val="bottom"/>
            <w:gridSpan w:val="2"/>
          </w:tcPr>
          <w:p>
            <w:pPr>
              <w:ind w:left="1620"/>
              <w:spacing w:after="0" w:line="53"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7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$304,902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3560" w:type="dxa"/>
            <w:vAlign w:val="bottom"/>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1860" w:type="dxa"/>
            <w:vAlign w:val="bottom"/>
            <w:gridSpan w:val="2"/>
            <w:shd w:val="clear" w:color="auto" w:fill="CCEEFF"/>
          </w:tcPr>
          <w:p>
            <w:pPr>
              <w:ind w:left="1620"/>
              <w:spacing w:after="0" w:line="53"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-146050</wp:posOffset>
            </wp:positionV>
            <wp:extent cx="336105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25" w:lineRule="exact"/>
        <w:rPr>
          <w:sz w:val="20"/>
          <w:szCs w:val="20"/>
          <w:color w:val="auto"/>
        </w:rPr>
      </w:pPr>
    </w:p>
    <w:p>
      <w:pPr>
        <w:ind w:left="1300" w:right="1399" w:firstLine="281"/>
        <w:spacing w:after="0" w:line="243" w:lineRule="auto"/>
        <w:rPr>
          <w:sz w:val="20"/>
          <w:szCs w:val="20"/>
          <w:color w:val="auto"/>
        </w:rPr>
      </w:pPr>
      <w:r>
        <w:rPr>
          <w:rFonts w:ascii="Times New Roman" w:cs="Times New Roman" w:eastAsia="Times New Roman" w:hAnsi="Times New Roman"/>
          <w:sz w:val="14"/>
          <w:szCs w:val="14"/>
          <w:color w:val="auto"/>
        </w:rPr>
        <w:t>As permitted by Section 102(b)(7) of the General Corporate Law of the State of Delaware (“DGCL”), our Second Restated Certificate of Incorporation (our “Restated Charter”) includes a provision to eliminate the personal liability of our directors and officers for monetary damages for breach of their fiduciary duties as directors, subject to certain exceptions. In addition, our Restated Charter and Amended and Restated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w:t>
      </w:r>
    </w:p>
    <w:p>
      <w:pPr>
        <w:spacing w:after="0" w:line="90" w:lineRule="exact"/>
        <w:rPr>
          <w:sz w:val="20"/>
          <w:szCs w:val="20"/>
          <w:color w:val="auto"/>
        </w:rPr>
      </w:pPr>
    </w:p>
    <w:p>
      <w:pPr>
        <w:ind w:left="1300" w:right="1319" w:firstLine="281"/>
        <w:spacing w:after="0" w:line="243" w:lineRule="auto"/>
        <w:rPr>
          <w:sz w:val="20"/>
          <w:szCs w:val="20"/>
          <w:color w:val="auto"/>
        </w:rPr>
      </w:pPr>
      <w:r>
        <w:rPr>
          <w:rFonts w:ascii="Times New Roman" w:cs="Times New Roman" w:eastAsia="Times New Roman" w:hAnsi="Times New Roman"/>
          <w:sz w:val="14"/>
          <w:szCs w:val="14"/>
          <w:color w:val="auto"/>
        </w:rPr>
        <w:t>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w:t>
      </w:r>
    </w:p>
    <w:p>
      <w:pPr>
        <w:spacing w:after="0" w:line="254"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579"/>
        <w:spacing w:after="0" w:line="259" w:lineRule="auto"/>
        <w:rPr>
          <w:sz w:val="20"/>
          <w:szCs w:val="20"/>
          <w:color w:val="auto"/>
        </w:rPr>
      </w:pPr>
      <w:r>
        <w:rPr>
          <w:rFonts w:ascii="Times New Roman" w:cs="Times New Roman" w:eastAsia="Times New Roman" w:hAnsi="Times New Roman"/>
          <w:sz w:val="14"/>
          <w:szCs w:val="14"/>
          <w:color w:val="auto"/>
        </w:rPr>
        <w:t>that, despite the adjudication of liability but in view of all the circumstances of the case, such person is fairly and reasonably entitled to indemnity for such expenses which the Court of Chancery or such other court shall deem proper.</w:t>
      </w:r>
    </w:p>
    <w:p>
      <w:pPr>
        <w:spacing w:after="0" w:line="79" w:lineRule="exact"/>
        <w:rPr>
          <w:sz w:val="20"/>
          <w:szCs w:val="20"/>
          <w:color w:val="auto"/>
        </w:rPr>
      </w:pPr>
    </w:p>
    <w:p>
      <w:pPr>
        <w:jc w:val="both"/>
        <w:ind w:left="1300" w:right="1399" w:firstLine="281"/>
        <w:spacing w:after="0" w:line="244"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and certain of our officers. These indemnification agreements provide broader indemnity rights than those provided under the DGCL and our Restated Charter.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w:t>
      </w:r>
    </w:p>
    <w:p>
      <w:pPr>
        <w:spacing w:after="0" w:line="2" w:lineRule="exact"/>
        <w:rPr>
          <w:sz w:val="20"/>
          <w:szCs w:val="20"/>
          <w:color w:val="auto"/>
        </w:rPr>
      </w:pPr>
    </w:p>
    <w:p>
      <w:pPr>
        <w:jc w:val="both"/>
        <w:ind w:left="1300" w:right="1379"/>
        <w:spacing w:after="0" w:line="244" w:lineRule="auto"/>
        <w:rPr>
          <w:sz w:val="20"/>
          <w:szCs w:val="20"/>
          <w:color w:val="auto"/>
        </w:rPr>
      </w:pPr>
      <w:r>
        <w:rPr>
          <w:rFonts w:ascii="Times New Roman" w:cs="Times New Roman" w:eastAsia="Times New Roman" w:hAnsi="Times New Roman"/>
          <w:sz w:val="14"/>
          <w:szCs w:val="14"/>
          <w:color w:val="auto"/>
        </w:rPr>
        <w:t>Such recoveries would accrue to our benefit but would be offset by our obligations to the director or officer under the indemnification agreement.</w:t>
      </w:r>
    </w:p>
    <w:p>
      <w:pPr>
        <w:spacing w:after="0" w:line="8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maintain directors’ and officers’ liability insurance for the benefit of our directors and officers.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Also see “Undertakings.”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24" w:lineRule="exact"/>
        <w:rPr>
          <w:sz w:val="20"/>
          <w:szCs w:val="20"/>
          <w:color w:val="auto"/>
        </w:rPr>
      </w:pPr>
    </w:p>
    <w:p>
      <w:pPr>
        <w:jc w:val="right"/>
        <w:ind w:right="1279"/>
        <w:spacing w:after="0"/>
        <w:tabs>
          <w:tab w:leader="none" w:pos="5860" w:val="left"/>
          <w:tab w:leader="none" w:pos="3140" w:val="left"/>
          <w:tab w:leader="none" w:pos="2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Exhibit</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Description</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19685</wp:posOffset>
            </wp:positionV>
            <wp:extent cx="40620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48" w:lineRule="exact"/>
        <w:rPr>
          <w:sz w:val="20"/>
          <w:szCs w:val="20"/>
          <w:color w:val="auto"/>
        </w:rPr>
      </w:pPr>
    </w:p>
    <w:p>
      <w:pPr>
        <w:ind w:left="1380" w:hanging="75"/>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w:t>
      </w:r>
    </w:p>
    <w:p>
      <w:pPr>
        <w:spacing w:after="0" w:line="375"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69" w:hanging="169"/>
        <w:spacing w:after="0" w:line="265" w:lineRule="auto"/>
        <w:tabs>
          <w:tab w:leader="none" w:pos="85" w:val="left"/>
        </w:tabs>
        <w:numPr>
          <w:ilvl w:val="0"/>
          <w:numId w:val="18"/>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w:t>
      </w:r>
      <w:hyperlink r:id="rId76">
        <w:r>
          <w:rPr>
            <w:rFonts w:ascii="Times New Roman" w:cs="Times New Roman" w:eastAsia="Times New Roman" w:hAnsi="Times New Roman"/>
            <w:sz w:val="14"/>
            <w:szCs w:val="14"/>
            <w:u w:val="single" w:color="auto"/>
            <w:color w:val="0000EE"/>
          </w:rPr>
          <w:t>Second Restated Certificate of Incorporation of Zenas BioPharma, Inc. (incorporated by</w:t>
        </w:r>
      </w:hyperlink>
      <w:r>
        <w:rPr>
          <w:rFonts w:ascii="Times New Roman" w:cs="Times New Roman" w:eastAsia="Times New Roman" w:hAnsi="Times New Roman"/>
          <w:sz w:val="14"/>
          <w:szCs w:val="14"/>
          <w:color w:val="auto"/>
        </w:rPr>
        <w:t xml:space="preserve"> </w:t>
      </w:r>
      <w:hyperlink r:id="rId76">
        <w:r>
          <w:rPr>
            <w:rFonts w:ascii="Times New Roman" w:cs="Times New Roman" w:eastAsia="Times New Roman" w:hAnsi="Times New Roman"/>
            <w:sz w:val="14"/>
            <w:szCs w:val="14"/>
            <w:u w:val="single" w:color="auto"/>
            <w:color w:val="0000EE"/>
          </w:rPr>
          <w:t>reference to Exhibit 3.1 to the Registrant’s Current Report on Form 8-K as filed with the SEC on</w:t>
        </w:r>
      </w:hyperlink>
      <w:r>
        <w:rPr>
          <w:rFonts w:ascii="Times New Roman" w:cs="Times New Roman" w:eastAsia="Times New Roman" w:hAnsi="Times New Roman"/>
          <w:sz w:val="14"/>
          <w:szCs w:val="14"/>
          <w:u w:val="single" w:color="auto"/>
          <w:color w:val="0000EE"/>
        </w:rPr>
        <w:t xml:space="preserve"> </w:t>
      </w:r>
      <w:hyperlink r:id="rId76">
        <w:r>
          <w:rPr>
            <w:rFonts w:ascii="Times New Roman" w:cs="Times New Roman" w:eastAsia="Times New Roman" w:hAnsi="Times New Roman"/>
            <w:sz w:val="14"/>
            <w:szCs w:val="14"/>
            <w:u w:val="single" w:color="auto"/>
            <w:color w:val="0000EE"/>
          </w:rPr>
          <w:t>September 16, 2024, File No. 001-42270)</w:t>
        </w:r>
      </w:hyperlink>
    </w:p>
    <w:p>
      <w:pPr>
        <w:ind w:left="89" w:hanging="89"/>
        <w:spacing w:after="0"/>
        <w:tabs>
          <w:tab w:leader="none" w:pos="8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77">
        <w:r>
          <w:rPr>
            <w:rFonts w:ascii="Times New Roman" w:cs="Times New Roman" w:eastAsia="Times New Roman" w:hAnsi="Times New Roman"/>
            <w:sz w:val="14"/>
            <w:szCs w:val="14"/>
            <w:u w:val="single" w:color="auto"/>
            <w:color w:val="0000EE"/>
          </w:rPr>
          <w:t>Amended and Restated Bylaws of Zenas BioPharma, Inc. (incorporated by reference to</w:t>
        </w:r>
      </w:hyperlink>
    </w:p>
    <w:p>
      <w:pPr>
        <w:spacing w:after="0" w:line="39" w:lineRule="exact"/>
        <w:rPr>
          <w:rFonts w:ascii="Times New Roman" w:cs="Times New Roman" w:eastAsia="Times New Roman" w:hAnsi="Times New Roman"/>
          <w:sz w:val="14"/>
          <w:szCs w:val="14"/>
          <w:u w:val="single" w:color="auto"/>
          <w:color w:val="0000EE"/>
        </w:rPr>
      </w:pPr>
    </w:p>
    <w:p>
      <w:pPr>
        <w:ind w:left="169" w:right="780"/>
        <w:spacing w:after="0" w:line="250" w:lineRule="auto"/>
        <w:rPr>
          <w:rFonts w:ascii="Times New Roman" w:cs="Times New Roman" w:eastAsia="Times New Roman" w:hAnsi="Times New Roman"/>
          <w:sz w:val="14"/>
          <w:szCs w:val="14"/>
          <w:u w:val="single" w:color="auto"/>
          <w:color w:val="0000EE"/>
        </w:rPr>
      </w:pPr>
      <w:hyperlink r:id="rId77">
        <w:r>
          <w:rPr>
            <w:rFonts w:ascii="Times New Roman" w:cs="Times New Roman" w:eastAsia="Times New Roman" w:hAnsi="Times New Roman"/>
            <w:sz w:val="14"/>
            <w:szCs w:val="14"/>
            <w:u w:val="single" w:color="auto"/>
            <w:color w:val="0000EE"/>
          </w:rPr>
          <w:t>Exhibit 3.2 to the Company’s Current Report on Form 8-K as filed with the SEC on</w:t>
        </w:r>
      </w:hyperlink>
      <w:r>
        <w:rPr>
          <w:rFonts w:ascii="Times New Roman" w:cs="Times New Roman" w:eastAsia="Times New Roman" w:hAnsi="Times New Roman"/>
          <w:sz w:val="14"/>
          <w:szCs w:val="14"/>
          <w:u w:val="single" w:color="auto"/>
          <w:color w:val="0000EE"/>
        </w:rPr>
        <w:t xml:space="preserve"> </w:t>
      </w:r>
      <w:hyperlink r:id="rId77">
        <w:r>
          <w:rPr>
            <w:rFonts w:ascii="Times New Roman" w:cs="Times New Roman" w:eastAsia="Times New Roman" w:hAnsi="Times New Roman"/>
            <w:sz w:val="14"/>
            <w:szCs w:val="14"/>
            <w:u w:val="single" w:color="auto"/>
            <w:color w:val="0000EE"/>
          </w:rPr>
          <w:t>September 16, 2024, File No. 001-42270)</w:t>
        </w:r>
      </w:hyperlink>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79" w:lineRule="exact"/>
        <w:rPr>
          <w:sz w:val="20"/>
          <w:szCs w:val="20"/>
          <w:color w:val="auto"/>
        </w:rPr>
      </w:pPr>
    </w:p>
    <w:p>
      <w:pPr>
        <w:sectPr>
          <w:pgSz w:w="11900" w:h="16838" w:orient="portrait"/>
          <w:cols w:equalWidth="0" w:num="3">
            <w:col w:w="1560" w:space="251"/>
            <w:col w:w="5869" w:space="20"/>
            <w:col w:w="1319"/>
          </w:cols>
          <w:pgMar w:left="1440" w:top="107" w:right="1440" w:bottom="1440" w:gutter="0" w:footer="0" w:header="0"/>
          <w:type w:val="continuous"/>
        </w:sectPr>
      </w:pPr>
    </w:p>
    <w:p>
      <w:pPr>
        <w:ind w:left="1820" w:right="1279" w:hanging="672"/>
        <w:spacing w:after="0" w:line="266" w:lineRule="auto"/>
        <w:tabs>
          <w:tab w:leader="none" w:pos="18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4.1</w:t>
      </w:r>
      <w:r>
        <w:rPr>
          <w:sz w:val="20"/>
          <w:szCs w:val="20"/>
          <w:color w:val="auto"/>
        </w:rPr>
        <w:tab/>
      </w:r>
      <w:r>
        <w:rPr>
          <w:rFonts w:ascii="Times New Roman" w:cs="Times New Roman" w:eastAsia="Times New Roman" w:hAnsi="Times New Roman"/>
          <w:sz w:val="14"/>
          <w:szCs w:val="14"/>
          <w:color w:val="auto"/>
        </w:rPr>
        <w:t xml:space="preserve">​ ​ </w:t>
      </w:r>
      <w:hyperlink r:id="rId78">
        <w:r>
          <w:rPr>
            <w:rFonts w:ascii="Times New Roman" w:cs="Times New Roman" w:eastAsia="Times New Roman" w:hAnsi="Times New Roman"/>
            <w:sz w:val="14"/>
            <w:szCs w:val="14"/>
            <w:u w:val="single" w:color="auto"/>
            <w:color w:val="0000EE"/>
          </w:rPr>
          <w:t>Specimen stock certificate evidencing shares of common stock (incorporated by reference to</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78">
        <w:r>
          <w:rPr>
            <w:rFonts w:ascii="Times New Roman" w:cs="Times New Roman" w:eastAsia="Times New Roman" w:hAnsi="Times New Roman"/>
            <w:sz w:val="14"/>
            <w:szCs w:val="14"/>
            <w:u w:val="single" w:color="auto"/>
            <w:color w:val="0000EE"/>
          </w:rPr>
          <w:t>Exhibit 4.1 to the Registration Statement on Form S-1 as filed with the SEC on September 6,</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2024, File No. 333-281713)</w:t>
        </w:r>
      </w:hyperlink>
    </w:p>
    <w:p>
      <w:pPr>
        <w:sectPr>
          <w:pgSz w:w="11900" w:h="16838" w:orient="portrait"/>
          <w:cols w:equalWidth="0" w:num="1">
            <w:col w:w="9019"/>
          </w:cols>
          <w:pgMar w:left="1440" w:top="107" w:right="1440" w:bottom="1440" w:gutter="0" w:footer="0" w:header="0"/>
          <w:type w:val="continuous"/>
        </w:sectPr>
      </w:pPr>
    </w:p>
    <w:p>
      <w:pPr>
        <w:spacing w:after="0" w:line="18"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w:t>
      </w:r>
    </w:p>
    <w:p>
      <w:pPr>
        <w:spacing w:after="0" w:line="375"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w:t>
      </w:r>
    </w:p>
    <w:p>
      <w:pPr>
        <w:spacing w:after="0" w:line="386"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w:t>
      </w:r>
    </w:p>
    <w:p>
      <w:pPr>
        <w:spacing w:after="0" w:line="386" w:lineRule="exact"/>
        <w:rPr>
          <w:rFonts w:ascii="Times New Roman" w:cs="Times New Roman" w:eastAsia="Times New Roman" w:hAnsi="Times New Roman"/>
          <w:sz w:val="14"/>
          <w:szCs w:val="14"/>
          <w:color w:val="auto"/>
        </w:rPr>
      </w:pPr>
    </w:p>
    <w:p>
      <w:pPr>
        <w:ind w:left="1380" w:hanging="75"/>
        <w:spacing w:after="0"/>
        <w:tabs>
          <w:tab w:leader="none" w:pos="1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w:t>
      </w:r>
    </w:p>
    <w:p>
      <w:pPr>
        <w:spacing w:after="0" w:line="396" w:lineRule="exact"/>
        <w:rPr>
          <w:rFonts w:ascii="Times New Roman" w:cs="Times New Roman" w:eastAsia="Times New Roman" w:hAnsi="Times New Roman"/>
          <w:sz w:val="14"/>
          <w:szCs w:val="14"/>
          <w:color w:val="auto"/>
        </w:rPr>
      </w:pPr>
    </w:p>
    <w:p>
      <w:pPr>
        <w:jc w:val="both"/>
        <w:ind w:left="1300" w:firstLine="5"/>
        <w:spacing w:after="0" w:line="180" w:lineRule="auto"/>
        <w:tabs>
          <w:tab w:leader="none" w:pos="137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23.2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24.1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107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ind w:left="160" w:right="1279" w:hanging="167"/>
        <w:spacing w:after="0" w:line="266"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9">
        <w:r>
          <w:rPr>
            <w:rFonts w:ascii="Times New Roman" w:cs="Times New Roman" w:eastAsia="Times New Roman" w:hAnsi="Times New Roman"/>
            <w:sz w:val="14"/>
            <w:szCs w:val="14"/>
            <w:u w:val="single" w:color="auto"/>
            <w:color w:val="0000EE"/>
          </w:rPr>
          <w:t>Fourth Amended and Restated Shareholders Agreement, among the Registrant and certain of its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 </w:t>
      </w:r>
      <w:hyperlink r:id="rId79">
        <w:r>
          <w:rPr>
            <w:rFonts w:ascii="Times New Roman" w:cs="Times New Roman" w:eastAsia="Times New Roman" w:hAnsi="Times New Roman"/>
            <w:sz w:val="14"/>
            <w:szCs w:val="14"/>
            <w:u w:val="single" w:color="auto"/>
            <w:color w:val="0000EE"/>
          </w:rPr>
          <w:t>stockholders, dated May 3, 2024 (incorporated by reference to Exhibit 4.2 to the Registration</w:t>
        </w:r>
      </w:hyperlink>
      <w:r>
        <w:rPr>
          <w:rFonts w:ascii="Times New Roman" w:cs="Times New Roman" w:eastAsia="Times New Roman" w:hAnsi="Times New Roman"/>
          <w:sz w:val="14"/>
          <w:szCs w:val="14"/>
          <w:u w:val="single" w:color="auto"/>
          <w:color w:val="0000EE"/>
        </w:rPr>
        <w:t xml:space="preserve"> </w:t>
      </w:r>
      <w:hyperlink r:id="rId79">
        <w:r>
          <w:rPr>
            <w:rFonts w:ascii="Times New Roman" w:cs="Times New Roman" w:eastAsia="Times New Roman" w:hAnsi="Times New Roman"/>
            <w:sz w:val="14"/>
            <w:szCs w:val="14"/>
            <w:u w:val="single" w:color="auto"/>
            <w:color w:val="0000EE"/>
          </w:rPr>
          <w:t>Statement on Form S-1 as filed with the SEC on September 6, 2024, File No. 333-281713)</w:t>
        </w:r>
      </w:hyperlink>
    </w:p>
    <w:p>
      <w:pPr>
        <w:spacing w:after="0" w:line="1" w:lineRule="exact"/>
        <w:rPr>
          <w:rFonts w:ascii="Times New Roman" w:cs="Times New Roman" w:eastAsia="Times New Roman" w:hAnsi="Times New Roman"/>
          <w:sz w:val="14"/>
          <w:szCs w:val="14"/>
          <w:color w:val="auto"/>
        </w:rPr>
      </w:pPr>
    </w:p>
    <w:p>
      <w:pPr>
        <w:ind w:left="160" w:right="1279" w:hanging="167"/>
        <w:spacing w:after="0" w:line="293" w:lineRule="auto"/>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 xml:space="preserve">​ ​ </w:t>
      </w:r>
      <w:hyperlink r:id="rId71">
        <w:r>
          <w:rPr>
            <w:rFonts w:ascii="Times New Roman" w:cs="Times New Roman" w:eastAsia="Times New Roman" w:hAnsi="Times New Roman"/>
            <w:sz w:val="14"/>
            <w:szCs w:val="14"/>
            <w:u w:val="single" w:color="auto"/>
            <w:color w:val="0000EE"/>
          </w:rPr>
          <w:t>Description of Securities (incorporated by reference to Exhibit 4.3 to the Annual Report on Form</w:t>
        </w:r>
      </w:hyperlink>
      <w:r>
        <w:rPr>
          <w:rFonts w:ascii="Times New Roman" w:cs="Times New Roman" w:eastAsia="Times New Roman" w:hAnsi="Times New Roman"/>
          <w:sz w:val="14"/>
          <w:szCs w:val="14"/>
          <w:color w:val="auto"/>
        </w:rPr>
        <w:t xml:space="preserve">​ </w:t>
      </w:r>
      <w:hyperlink r:id="rId71">
        <w:r>
          <w:rPr>
            <w:rFonts w:ascii="Times New Roman" w:cs="Times New Roman" w:eastAsia="Times New Roman" w:hAnsi="Times New Roman"/>
            <w:sz w:val="14"/>
            <w:szCs w:val="14"/>
            <w:u w:val="single" w:color="auto"/>
            <w:color w:val="0000EE"/>
          </w:rPr>
          <w:t>10-K for the year ended December 31, 2024, as filed with the SEC on March 11, 2025, File No.</w:t>
        </w:r>
      </w:hyperlink>
      <w:r>
        <w:rPr>
          <w:rFonts w:ascii="Times New Roman" w:cs="Times New Roman" w:eastAsia="Times New Roman" w:hAnsi="Times New Roman"/>
          <w:sz w:val="14"/>
          <w:szCs w:val="14"/>
          <w:u w:val="single" w:color="auto"/>
          <w:color w:val="0000EE"/>
        </w:rPr>
        <w:t xml:space="preserve"> </w:t>
      </w:r>
      <w:hyperlink r:id="rId71">
        <w:r>
          <w:rPr>
            <w:rFonts w:ascii="Times New Roman" w:cs="Times New Roman" w:eastAsia="Times New Roman" w:hAnsi="Times New Roman"/>
            <w:sz w:val="14"/>
            <w:szCs w:val="14"/>
            <w:u w:val="single" w:color="auto"/>
            <w:color w:val="0000EE"/>
          </w:rPr>
          <w:t>001-42270)</w:t>
        </w:r>
      </w:hyperlink>
    </w:p>
    <w:p>
      <w:pPr>
        <w:spacing w:after="0" w:line="150"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73"/>
        </w:trPr>
        <w:tc>
          <w:tcPr>
            <w:tcW w:w="580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0">
              <w:r>
                <w:rPr>
                  <w:rFonts w:ascii="Times New Roman" w:cs="Times New Roman" w:eastAsia="Times New Roman" w:hAnsi="Times New Roman"/>
                  <w:sz w:val="14"/>
                  <w:szCs w:val="14"/>
                  <w:color w:val="0000EE"/>
                </w:rPr>
                <w:t>Registration Rights Agreement, dated October 7, 2025, by and between the Registrant and</w:t>
              </w:r>
            </w:hyperlink>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5640" w:type="dxa"/>
            <w:vAlign w:val="bottom"/>
            <w:tcBorders>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InnoCare Pharma Inc. (incorporated by reference to Exhibit 10.2 to the Current Report on Form</w:t>
              </w:r>
            </w:hyperlink>
          </w:p>
        </w:tc>
        <w:tc>
          <w:tcPr>
            <w:tcW w:w="120" w:type="dxa"/>
            <w:vAlign w:val="bottom"/>
          </w:tcPr>
          <w:p>
            <w:pPr>
              <w:spacing w:after="0"/>
              <w:rPr>
                <w:sz w:val="12"/>
                <w:szCs w:val="12"/>
                <w:color w:val="auto"/>
              </w:rPr>
            </w:pPr>
          </w:p>
        </w:tc>
      </w:tr>
      <w:tr>
        <w:trPr>
          <w:trHeight w:val="148"/>
        </w:trPr>
        <w:tc>
          <w:tcPr>
            <w:tcW w:w="160" w:type="dxa"/>
            <w:vAlign w:val="bottom"/>
          </w:tcPr>
          <w:p>
            <w:pPr>
              <w:spacing w:after="0"/>
              <w:rPr>
                <w:sz w:val="12"/>
                <w:szCs w:val="12"/>
                <w:color w:val="auto"/>
              </w:rPr>
            </w:pPr>
          </w:p>
        </w:tc>
        <w:tc>
          <w:tcPr>
            <w:tcW w:w="400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8-K, as filed with the SEC on October 8, 2025, File No. 001-42270)</w:t>
              </w:r>
            </w:hyperlink>
          </w:p>
        </w:tc>
        <w:tc>
          <w:tcPr>
            <w:tcW w:w="1640" w:type="dxa"/>
            <w:vAlign w:val="bottom"/>
            <w:gridSpan w:val="6"/>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580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 </w:t>
            </w:r>
            <w:hyperlink r:id="rId81">
              <w:r>
                <w:rPr>
                  <w:rFonts w:ascii="Times New Roman" w:cs="Times New Roman" w:eastAsia="Times New Roman" w:hAnsi="Times New Roman"/>
                  <w:sz w:val="14"/>
                  <w:szCs w:val="14"/>
                  <w:color w:val="0000EE"/>
                </w:rPr>
                <w:t>Form of Registration Rights Agreement, dated October 7, 2025, by and between the Registrant</w:t>
              </w:r>
            </w:hyperlink>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5600" w:type="dxa"/>
            <w:vAlign w:val="bottom"/>
            <w:tcBorders>
              <w:bottom w:val="single" w:sz="8" w:color="0000EE"/>
            </w:tcBorders>
            <w:gridSpan w:val="9"/>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and the investors party thereto (incorporated by reference to Exhibit 10.4 to the Current Report</w:t>
              </w:r>
            </w:hyperlink>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160" w:type="dxa"/>
            <w:vAlign w:val="bottom"/>
          </w:tcPr>
          <w:p>
            <w:pPr>
              <w:spacing w:after="0"/>
              <w:rPr>
                <w:sz w:val="12"/>
                <w:szCs w:val="12"/>
                <w:color w:val="auto"/>
              </w:rPr>
            </w:pPr>
          </w:p>
        </w:tc>
        <w:tc>
          <w:tcPr>
            <w:tcW w:w="454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on Form 8-K, as filed with the SEC on October 8, 2025, File No. 001-42270)</w:t>
              </w:r>
            </w:hyperlink>
          </w:p>
        </w:tc>
        <w:tc>
          <w:tcPr>
            <w:tcW w:w="110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r>
      <w:tr>
        <w:trPr>
          <w:trHeight w:val="201"/>
        </w:trPr>
        <w:tc>
          <w:tcPr>
            <w:tcW w:w="5800" w:type="dxa"/>
            <w:vAlign w:val="bottom"/>
            <w:gridSpan w:val="11"/>
          </w:tcPr>
          <w:p>
            <w:pPr>
              <w:spacing w:after="0" w:line="201" w:lineRule="exact"/>
              <w:rPr>
                <w:sz w:val="20"/>
                <w:szCs w:val="20"/>
                <w:color w:val="auto"/>
              </w:rPr>
            </w:pPr>
            <w:r>
              <w:rPr>
                <w:rFonts w:ascii="Times New Roman" w:cs="Times New Roman" w:eastAsia="Times New Roman" w:hAnsi="Times New Roman"/>
                <w:sz w:val="23"/>
                <w:szCs w:val="23"/>
                <w:color w:val="000000"/>
                <w:vertAlign w:val="superscript"/>
              </w:rPr>
              <w:t>​ ​</w:t>
            </w:r>
            <w:r>
              <w:rPr>
                <w:rFonts w:ascii="Times New Roman" w:cs="Times New Roman" w:eastAsia="Times New Roman" w:hAnsi="Times New Roman"/>
                <w:sz w:val="12"/>
                <w:szCs w:val="12"/>
                <w:color w:val="0000EE"/>
              </w:rPr>
              <w:t xml:space="preserve"> Opinion of Ropes &amp; Gray LLP</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580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Ropes &amp; Gray LLP (included in Exhibit 5.1)</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580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Consent of Ernst &amp; Young LLP</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580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Power of Attorney (incorporated by reference to the signature page hereto)</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540" w:type="dxa"/>
            <w:vAlign w:val="bottom"/>
            <w:tcBorders>
              <w:left w:val="single" w:sz="8" w:color="0000EE"/>
            </w:tcBorders>
            <w:gridSpan w:val="3"/>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5800" w:type="dxa"/>
            <w:vAlign w:val="bottom"/>
            <w:gridSpan w:val="11"/>
          </w:tcPr>
          <w:p>
            <w:pPr>
              <w:spacing w:after="0" w:line="190" w:lineRule="exact"/>
              <w:rPr>
                <w:sz w:val="20"/>
                <w:szCs w:val="20"/>
                <w:color w:val="auto"/>
              </w:rPr>
            </w:pPr>
            <w:r>
              <w:rPr>
                <w:rFonts w:ascii="Times New Roman" w:cs="Times New Roman" w:eastAsia="Times New Roman" w:hAnsi="Times New Roman"/>
                <w:sz w:val="22"/>
                <w:szCs w:val="22"/>
                <w:color w:val="000000"/>
                <w:vertAlign w:val="superscript"/>
              </w:rPr>
              <w:t>​ ​</w:t>
            </w:r>
            <w:r>
              <w:rPr>
                <w:rFonts w:ascii="Times New Roman" w:cs="Times New Roman" w:eastAsia="Times New Roman" w:hAnsi="Times New Roman"/>
                <w:sz w:val="12"/>
                <w:szCs w:val="12"/>
                <w:color w:val="0000EE"/>
              </w:rPr>
              <w:t xml:space="preserve"> Filing Fee Table (filed herewith)</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6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1560" w:space="260"/>
            <w:col w:w="7199"/>
          </w:cols>
          <w:pgMar w:left="1440" w:top="10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5" w:lineRule="exact"/>
        <w:rPr>
          <w:sz w:val="20"/>
          <w:szCs w:val="20"/>
          <w:color w:val="auto"/>
        </w:rPr>
      </w:pPr>
    </w:p>
    <w:p>
      <w:pPr>
        <w:ind w:left="1860" w:hanging="274"/>
        <w:spacing w:after="0"/>
        <w:tabs>
          <w:tab w:leader="none" w:pos="18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2" w:lineRule="exact"/>
        <w:rPr>
          <w:rFonts w:ascii="Times New Roman" w:cs="Times New Roman" w:eastAsia="Times New Roman" w:hAnsi="Times New Roman"/>
          <w:sz w:val="14"/>
          <w:szCs w:val="14"/>
          <w:color w:val="auto"/>
        </w:rPr>
      </w:pPr>
    </w:p>
    <w:p>
      <w:pPr>
        <w:ind w:left="1580" w:right="2039" w:firstLine="286"/>
        <w:spacing w:after="0" w:line="283" w:lineRule="auto"/>
        <w:tabs>
          <w:tab w:leader="none" w:pos="2143"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62" w:lineRule="exact"/>
        <w:rPr>
          <w:rFonts w:ascii="Times New Roman" w:cs="Times New Roman" w:eastAsia="Times New Roman" w:hAnsi="Times New Roman"/>
          <w:sz w:val="14"/>
          <w:szCs w:val="14"/>
          <w:color w:val="auto"/>
        </w:rPr>
      </w:pPr>
    </w:p>
    <w:p>
      <w:pPr>
        <w:ind w:left="2400" w:hanging="253"/>
        <w:spacing w:after="0"/>
        <w:tabs>
          <w:tab w:leader="none" w:pos="2400" w:val="left"/>
        </w:tabs>
        <w:numPr>
          <w:ilvl w:val="2"/>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right="1319" w:firstLine="287"/>
        <w:spacing w:after="0" w:line="254" w:lineRule="auto"/>
        <w:tabs>
          <w:tab w:leader="none" w:pos="243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w:t>
      </w:r>
    </w:p>
    <w:p>
      <w:pPr>
        <w:spacing w:after="0" w:line="95" w:lineRule="exact"/>
        <w:rPr>
          <w:rFonts w:ascii="Times New Roman" w:cs="Times New Roman" w:eastAsia="Times New Roman" w:hAnsi="Times New Roman"/>
          <w:sz w:val="14"/>
          <w:szCs w:val="14"/>
          <w:color w:val="auto"/>
        </w:rPr>
      </w:pPr>
    </w:p>
    <w:p>
      <w:pPr>
        <w:ind w:left="1860" w:right="1319" w:firstLine="287"/>
        <w:spacing w:after="0" w:line="267" w:lineRule="auto"/>
        <w:tabs>
          <w:tab w:leader="none" w:pos="247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ind w:left="1580" w:right="1399"/>
        <w:spacing w:after="0" w:line="25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undertakings set forth in paragraphs (1)(i), (1)(ii) and (1)(iii) above do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this registration statement.</w:t>
      </w:r>
    </w:p>
    <w:p>
      <w:pPr>
        <w:spacing w:after="0" w:line="79" w:lineRule="exact"/>
        <w:rPr>
          <w:sz w:val="20"/>
          <w:szCs w:val="20"/>
          <w:color w:val="auto"/>
        </w:rPr>
      </w:pPr>
    </w:p>
    <w:p>
      <w:pPr>
        <w:ind w:left="1580" w:right="1379" w:firstLine="286"/>
        <w:spacing w:after="0" w:line="261" w:lineRule="auto"/>
        <w:tabs>
          <w:tab w:leader="none" w:pos="214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88" w:lineRule="exact"/>
        <w:rPr>
          <w:rFonts w:ascii="Times New Roman" w:cs="Times New Roman" w:eastAsia="Times New Roman" w:hAnsi="Times New Roman"/>
          <w:sz w:val="14"/>
          <w:szCs w:val="14"/>
          <w:color w:val="auto"/>
        </w:rPr>
      </w:pPr>
    </w:p>
    <w:p>
      <w:pPr>
        <w:ind w:left="1580" w:right="1579" w:firstLine="286"/>
        <w:spacing w:after="0" w:line="283" w:lineRule="auto"/>
        <w:tabs>
          <w:tab w:leader="none" w:pos="214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1580" w:right="1879" w:firstLine="286"/>
        <w:spacing w:after="0" w:line="283" w:lineRule="auto"/>
        <w:tabs>
          <w:tab w:leader="none" w:pos="214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62" w:lineRule="exact"/>
        <w:rPr>
          <w:rFonts w:ascii="Times New Roman" w:cs="Times New Roman" w:eastAsia="Times New Roman" w:hAnsi="Times New Roman"/>
          <w:sz w:val="14"/>
          <w:szCs w:val="14"/>
          <w:color w:val="auto"/>
        </w:rPr>
      </w:pPr>
    </w:p>
    <w:p>
      <w:pPr>
        <w:ind w:left="1860" w:right="1379" w:firstLine="287"/>
        <w:spacing w:after="0" w:line="267" w:lineRule="auto"/>
        <w:tabs>
          <w:tab w:leader="none" w:pos="2457"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3" w:lineRule="exact"/>
        <w:rPr>
          <w:rFonts w:ascii="Times New Roman" w:cs="Times New Roman" w:eastAsia="Times New Roman" w:hAnsi="Times New Roman"/>
          <w:sz w:val="14"/>
          <w:szCs w:val="14"/>
          <w:color w:val="auto"/>
        </w:rPr>
      </w:pPr>
    </w:p>
    <w:p>
      <w:pPr>
        <w:ind w:left="1860" w:right="1399" w:firstLine="287"/>
        <w:spacing w:after="0" w:line="258" w:lineRule="auto"/>
        <w:tabs>
          <w:tab w:leader="none" w:pos="2449"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1860" w:right="133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0" w:lineRule="exact"/>
        <w:rPr>
          <w:rFonts w:ascii="Times New Roman" w:cs="Times New Roman" w:eastAsia="Times New Roman" w:hAnsi="Times New Roman"/>
          <w:sz w:val="14"/>
          <w:szCs w:val="14"/>
          <w:color w:val="auto"/>
        </w:rPr>
      </w:pPr>
    </w:p>
    <w:p>
      <w:pPr>
        <w:ind w:left="1580" w:right="1419" w:firstLine="286"/>
        <w:spacing w:after="0" w:line="260" w:lineRule="auto"/>
        <w:tabs>
          <w:tab w:leader="none" w:pos="214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right="1399"/>
        <w:spacing w:after="0" w:line="267" w:lineRule="auto"/>
        <w:rPr>
          <w:sz w:val="20"/>
          <w:szCs w:val="20"/>
          <w:color w:val="auto"/>
        </w:rPr>
      </w:pPr>
      <w:r>
        <w:rPr>
          <w:rFonts w:ascii="Times New Roman" w:cs="Times New Roman" w:eastAsia="Times New Roman" w:hAnsi="Times New Roman"/>
          <w:sz w:val="14"/>
          <w:szCs w:val="14"/>
          <w:color w:val="auto"/>
        </w:rPr>
        <w:t>offered or sold to such purchaser by means of any of the following communications, the undersigned registrant will be a seller to the purchaser and will be considered to offer or sell such securities to such purchaser:</w:t>
      </w:r>
    </w:p>
    <w:p>
      <w:pPr>
        <w:spacing w:after="0" w:line="84" w:lineRule="exact"/>
        <w:rPr>
          <w:sz w:val="20"/>
          <w:szCs w:val="20"/>
          <w:color w:val="auto"/>
        </w:rPr>
      </w:pPr>
    </w:p>
    <w:p>
      <w:pPr>
        <w:ind w:left="1860" w:right="1599" w:firstLine="287"/>
        <w:spacing w:after="0" w:line="283" w:lineRule="auto"/>
        <w:tabs>
          <w:tab w:leader="none" w:pos="2395"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2" w:lineRule="exact"/>
        <w:rPr>
          <w:rFonts w:ascii="Times New Roman" w:cs="Times New Roman" w:eastAsia="Times New Roman" w:hAnsi="Times New Roman"/>
          <w:sz w:val="14"/>
          <w:szCs w:val="14"/>
          <w:color w:val="auto"/>
        </w:rPr>
      </w:pPr>
    </w:p>
    <w:p>
      <w:pPr>
        <w:ind w:left="1860" w:right="1739" w:firstLine="287"/>
        <w:spacing w:after="0" w:line="283" w:lineRule="auto"/>
        <w:tabs>
          <w:tab w:leader="none" w:pos="2437"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2" w:lineRule="exact"/>
        <w:rPr>
          <w:rFonts w:ascii="Times New Roman" w:cs="Times New Roman" w:eastAsia="Times New Roman" w:hAnsi="Times New Roman"/>
          <w:sz w:val="14"/>
          <w:szCs w:val="14"/>
          <w:color w:val="auto"/>
        </w:rPr>
      </w:pPr>
    </w:p>
    <w:p>
      <w:pPr>
        <w:ind w:left="1860" w:right="1419" w:firstLine="287"/>
        <w:spacing w:after="0" w:line="267" w:lineRule="auto"/>
        <w:tabs>
          <w:tab w:leader="none" w:pos="247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Times New Roman" w:cs="Times New Roman" w:eastAsia="Times New Roman" w:hAnsi="Times New Roman"/>
          <w:sz w:val="14"/>
          <w:szCs w:val="14"/>
          <w:color w:val="auto"/>
        </w:rPr>
      </w:pPr>
    </w:p>
    <w:p>
      <w:pPr>
        <w:ind w:left="1860" w:right="1759" w:firstLine="287"/>
        <w:spacing w:after="0" w:line="283" w:lineRule="auto"/>
        <w:tabs>
          <w:tab w:leader="none" w:pos="246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2" w:lineRule="exact"/>
        <w:rPr>
          <w:rFonts w:ascii="Times New Roman" w:cs="Times New Roman" w:eastAsia="Times New Roman" w:hAnsi="Times New Roman"/>
          <w:sz w:val="14"/>
          <w:szCs w:val="14"/>
          <w:color w:val="auto"/>
        </w:rPr>
      </w:pPr>
    </w:p>
    <w:p>
      <w:pPr>
        <w:jc w:val="both"/>
        <w:ind w:left="1580" w:right="1339" w:firstLine="286"/>
        <w:spacing w:after="0" w:line="258" w:lineRule="auto"/>
        <w:tabs>
          <w:tab w:leader="none" w:pos="214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w:t>
      </w:r>
    </w:p>
    <w:p>
      <w:pPr>
        <w:ind w:left="1580" w:right="153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p>
    <w:p>
      <w:pPr>
        <w:spacing w:after="0" w:line="83"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Waltham, Commonwealth of Massachusetts on October 21, 2025.</w:t>
      </w:r>
    </w:p>
    <w:p>
      <w:pPr>
        <w:spacing w:after="0" w:line="1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ZENAS BIOPHARMA, INC.</w:t>
      </w:r>
    </w:p>
    <w:p>
      <w:pPr>
        <w:spacing w:after="0" w:line="241" w:lineRule="exact"/>
        <w:rPr>
          <w:sz w:val="20"/>
          <w:szCs w:val="20"/>
          <w:color w:val="auto"/>
        </w:rPr>
      </w:pPr>
    </w:p>
    <w:p>
      <w:pPr>
        <w:ind w:left="4680"/>
        <w:spacing w:after="0"/>
        <w:tabs>
          <w:tab w:leader="none" w:pos="56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34290</wp:posOffset>
            </wp:positionV>
            <wp:extent cx="17437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1743710" cy="6985"/>
                    </a:xfrm>
                    <a:prstGeom prst="rect">
                      <a:avLst/>
                    </a:prstGeom>
                    <a:noFill/>
                  </pic:spPr>
                </pic:pic>
              </a:graphicData>
            </a:graphic>
          </wp:anchor>
        </w:drawing>
      </w:r>
    </w:p>
    <w:p>
      <w:pPr>
        <w:spacing w:after="0" w:line="50"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4"/>
          <w:szCs w:val="14"/>
          <w:color w:val="auto"/>
        </w:rPr>
        <w:t>Leon O. Moulder, Jr.</w:t>
      </w:r>
    </w:p>
    <w:p>
      <w:pPr>
        <w:spacing w:after="0" w:line="2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15" w:lineRule="exact"/>
        <w:rPr>
          <w:sz w:val="20"/>
          <w:szCs w:val="20"/>
          <w:color w:val="auto"/>
        </w:rPr>
      </w:pPr>
    </w:p>
    <w:p>
      <w:pPr>
        <w:ind w:left="1300" w:right="1339" w:firstLine="281"/>
        <w:spacing w:after="0" w:line="243"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Leon O. Moulder, Jr. and Joseph Farmer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and supplements thereto (including post-effective amendments and registration statements filed pursuant to Rule 462(b))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w:t>
      </w:r>
    </w:p>
    <w:p>
      <w:pPr>
        <w:spacing w:after="0" w:line="85" w:lineRule="exact"/>
        <w:rPr>
          <w:sz w:val="20"/>
          <w:szCs w:val="20"/>
          <w:color w:val="auto"/>
        </w:rPr>
      </w:pPr>
    </w:p>
    <w:p>
      <w:pPr>
        <w:ind w:left="1300" w:right="1439" w:firstLine="281"/>
        <w:spacing w:after="0" w:line="26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jc w:val="both"/>
        <w:ind w:left="1300"/>
        <w:spacing w:after="0"/>
        <w:tabs>
          <w:tab w:leader="none" w:pos="2120" w:val="left"/>
          <w:tab w:leader="none" w:pos="3680" w:val="left"/>
          <w:tab w:leader="none" w:pos="4980" w:val="left"/>
          <w:tab w:leader="none" w:pos="6520" w:val="left"/>
          <w:tab w:leader="none" w:pos="7020" w:val="left"/>
          <w:tab w:leader="none" w:pos="768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0"/>
          <w:szCs w:val="10"/>
          <w:b w:val="1"/>
          <w:bCs w:val="1"/>
          <w:color w:val="auto"/>
        </w:rPr>
        <w:t>SIGNATURES</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26670</wp:posOffset>
            </wp:positionV>
            <wp:extent cx="40620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406209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Leon O. Moulder, Jr.</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Jennifer Fox</w:t>
      </w:r>
    </w:p>
    <w:p>
      <w:pPr>
        <w:ind w:left="1300"/>
        <w:spacing w:after="0" w:line="235"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-20320</wp:posOffset>
            </wp:positionV>
            <wp:extent cx="14897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Jennifer Fox</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Patricia Allen</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James Boylan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James Boylan</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Patrick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Patrick Enright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Tomas Kiselak</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 Hongbo Lu,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4897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1489710" cy="698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Hongbo Lu, Ph.D.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2"/>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 ​ Chief Executive Officer and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83"/>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Chief Financial Officer, Chief Business</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96"/>
        </w:trPr>
        <w:tc>
          <w:tcPr>
            <w:tcW w:w="278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 xml:space="preserve"> Officer and Treasurer</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278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600"/>
        </w:trPr>
        <w:tc>
          <w:tcPr>
            <w:tcW w:w="278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600"/>
        </w:trPr>
        <w:tc>
          <w:tcPr>
            <w:tcW w:w="278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600"/>
        </w:trPr>
        <w:tc>
          <w:tcPr>
            <w:tcW w:w="278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600"/>
        </w:trPr>
        <w:tc>
          <w:tcPr>
            <w:tcW w:w="2780" w:type="dxa"/>
            <w:vAlign w:val="bottom"/>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30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sectPr>
          <w:pgSz w:w="11900" w:h="16838" w:orient="portrait"/>
          <w:cols w:equalWidth="0" w:num="2">
            <w:col w:w="2940" w:space="720"/>
            <w:col w:w="5359"/>
          </w:cols>
          <w:pgMar w:left="1440" w:top="107" w:right="1440" w:bottom="1440" w:gutter="0" w:footer="0" w:header="0"/>
          <w:type w:val="continuous"/>
        </w:sectPr>
      </w:pP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8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02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6"/>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Jake Nunn</w:t>
            </w:r>
          </w:p>
        </w:tc>
        <w:tc>
          <w:tcPr>
            <w:tcW w:w="1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20" w:type="dxa"/>
            <w:vAlign w:val="bottom"/>
            <w:tcBorders>
              <w:bottom w:val="single" w:sz="8" w:color="auto"/>
            </w:tcBorders>
          </w:tcPr>
          <w:p>
            <w:pPr>
              <w:spacing w:after="0" w:line="65" w:lineRule="exact"/>
              <w:rPr>
                <w:sz w:val="20"/>
                <w:szCs w:val="20"/>
                <w:color w:val="auto"/>
              </w:rPr>
            </w:pPr>
            <w:r>
              <w:rPr>
                <w:rFonts w:ascii="Times New Roman" w:cs="Times New Roman" w:eastAsia="Times New Roman" w:hAnsi="Times New Roman"/>
                <w:sz w:val="7"/>
                <w:szCs w:val="7"/>
                <w:color w:val="auto"/>
              </w:rPr>
              <w:t>​</w:t>
            </w:r>
          </w:p>
        </w:tc>
        <w:tc>
          <w:tcPr>
            <w:tcW w:w="154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980" w:type="dxa"/>
            <w:vAlign w:val="bottom"/>
            <w:gridSpan w:val="2"/>
            <w:vMerge w:val="restart"/>
          </w:tcPr>
          <w:p>
            <w:pPr>
              <w:spacing w:after="0" w:line="25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Director</w:t>
            </w:r>
          </w:p>
        </w:tc>
        <w:tc>
          <w:tcPr>
            <w:tcW w:w="1840" w:type="dxa"/>
            <w:vAlign w:val="bottom"/>
          </w:tcPr>
          <w:p>
            <w:pPr>
              <w:spacing w:after="0"/>
              <w:rPr>
                <w:sz w:val="7"/>
                <w:szCs w:val="7"/>
                <w:color w:val="auto"/>
              </w:rPr>
            </w:pPr>
          </w:p>
        </w:tc>
        <w:tc>
          <w:tcPr>
            <w:tcW w:w="1240" w:type="dxa"/>
            <w:vAlign w:val="bottom"/>
            <w:gridSpan w:val="3"/>
            <w:vMerge w:val="restart"/>
          </w:tcPr>
          <w:p>
            <w:pPr>
              <w:spacing w:after="0" w:line="25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October 21, 2025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Jake Nunn</w:t>
            </w:r>
          </w:p>
        </w:tc>
        <w:tc>
          <w:tcPr>
            <w:tcW w:w="15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2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John Orloff, M.D.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20" w:type="dxa"/>
            <w:vAlign w:val="bottom"/>
            <w:tcBorders>
              <w:bottom w:val="single" w:sz="8" w:color="auto"/>
            </w:tcBorders>
          </w:tcPr>
          <w:p>
            <w:pPr>
              <w:spacing w:after="0" w:line="65" w:lineRule="exact"/>
              <w:rPr>
                <w:sz w:val="20"/>
                <w:szCs w:val="20"/>
                <w:color w:val="auto"/>
              </w:rPr>
            </w:pPr>
            <w:r>
              <w:rPr>
                <w:rFonts w:ascii="Times New Roman" w:cs="Times New Roman" w:eastAsia="Times New Roman" w:hAnsi="Times New Roman"/>
                <w:sz w:val="7"/>
                <w:szCs w:val="7"/>
                <w:color w:val="auto"/>
              </w:rPr>
              <w:t>​</w:t>
            </w:r>
          </w:p>
        </w:tc>
        <w:tc>
          <w:tcPr>
            <w:tcW w:w="154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980" w:type="dxa"/>
            <w:vAlign w:val="bottom"/>
            <w:gridSpan w:val="2"/>
            <w:vMerge w:val="restart"/>
          </w:tcPr>
          <w:p>
            <w:pPr>
              <w:spacing w:after="0" w:line="128" w:lineRule="exact"/>
              <w:rPr>
                <w:sz w:val="20"/>
                <w:szCs w:val="20"/>
                <w:color w:val="auto"/>
              </w:rPr>
            </w:pPr>
            <w:r>
              <w:rPr>
                <w:rFonts w:ascii="Times New Roman" w:cs="Times New Roman" w:eastAsia="Times New Roman" w:hAnsi="Times New Roman"/>
                <w:sz w:val="14"/>
                <w:szCs w:val="14"/>
                <w:color w:val="auto"/>
                <w:vertAlign w:val="superscript"/>
              </w:rPr>
              <w:t>​ ​</w:t>
            </w:r>
            <w:r>
              <w:rPr>
                <w:rFonts w:ascii="Times New Roman" w:cs="Times New Roman" w:eastAsia="Times New Roman" w:hAnsi="Times New Roman"/>
                <w:sz w:val="9"/>
                <w:szCs w:val="9"/>
                <w:color w:val="auto"/>
              </w:rPr>
              <w:t xml:space="preserve"> Director</w:t>
            </w:r>
          </w:p>
        </w:tc>
        <w:tc>
          <w:tcPr>
            <w:tcW w:w="1840" w:type="dxa"/>
            <w:vAlign w:val="bottom"/>
          </w:tcPr>
          <w:p>
            <w:pPr>
              <w:spacing w:after="0"/>
              <w:rPr>
                <w:sz w:val="7"/>
                <w:szCs w:val="7"/>
                <w:color w:val="auto"/>
              </w:rPr>
            </w:pPr>
          </w:p>
        </w:tc>
        <w:tc>
          <w:tcPr>
            <w:tcW w:w="1240" w:type="dxa"/>
            <w:vAlign w:val="bottom"/>
            <w:gridSpan w:val="3"/>
            <w:vMerge w:val="restart"/>
          </w:tcPr>
          <w:p>
            <w:pPr>
              <w:spacing w:after="0" w:line="128" w:lineRule="exact"/>
              <w:rPr>
                <w:sz w:val="20"/>
                <w:szCs w:val="20"/>
                <w:color w:val="auto"/>
              </w:rPr>
            </w:pPr>
            <w:r>
              <w:rPr>
                <w:rFonts w:ascii="Times New Roman" w:cs="Times New Roman" w:eastAsia="Times New Roman" w:hAnsi="Times New Roman"/>
                <w:sz w:val="14"/>
                <w:szCs w:val="14"/>
                <w:color w:val="auto"/>
                <w:vertAlign w:val="superscript"/>
              </w:rPr>
              <w:t>​ ​</w:t>
            </w:r>
            <w:r>
              <w:rPr>
                <w:rFonts w:ascii="Times New Roman" w:cs="Times New Roman" w:eastAsia="Times New Roman" w:hAnsi="Times New Roman"/>
                <w:sz w:val="9"/>
                <w:szCs w:val="9"/>
                <w:color w:val="auto"/>
              </w:rPr>
              <w:t xml:space="preserve"> October 21, 2025</w:t>
            </w:r>
            <w:r>
              <w:rPr>
                <w:rFonts w:ascii="Times New Roman" w:cs="Times New Roman" w:eastAsia="Times New Roman" w:hAnsi="Times New Roman"/>
                <w:sz w:val="14"/>
                <w:szCs w:val="14"/>
                <w:color w:val="auto"/>
                <w:vertAlign w:val="superscript"/>
              </w:rPr>
              <w:t>​</w:t>
            </w:r>
          </w:p>
        </w:tc>
        <w:tc>
          <w:tcPr>
            <w:tcW w:w="0" w:type="dxa"/>
            <w:vAlign w:val="bottom"/>
          </w:tcPr>
          <w:p>
            <w:pPr>
              <w:spacing w:after="0"/>
              <w:rPr>
                <w:sz w:val="1"/>
                <w:szCs w:val="1"/>
                <w:color w:val="auto"/>
              </w:rPr>
            </w:pPr>
          </w:p>
        </w:tc>
      </w:tr>
      <w:tr>
        <w:trPr>
          <w:trHeight w:val="23"/>
        </w:trPr>
        <w:tc>
          <w:tcPr>
            <w:tcW w:w="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300"/>
        <w:spacing w:after="0"/>
        <w:rPr>
          <w:sz w:val="20"/>
          <w:szCs w:val="20"/>
          <w:color w:val="auto"/>
        </w:rPr>
      </w:pPr>
      <w:r>
        <w:rPr>
          <w:rFonts w:ascii="Times New Roman" w:cs="Times New Roman" w:eastAsia="Times New Roman" w:hAnsi="Times New Roman"/>
          <w:sz w:val="14"/>
          <w:szCs w:val="14"/>
          <w:color w:val="auto"/>
        </w:rPr>
        <w:t>John Orloff,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548005" cy="694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548005" cy="694690"/>
                    </a:xfrm>
                    <a:prstGeom prst="rect">
                      <a:avLst/>
                    </a:prstGeom>
                    <a:noFill/>
                  </pic:spPr>
                </pic:pic>
              </a:graphicData>
            </a:graphic>
          </wp:anchor>
        </w:drawing>
      </w:r>
    </w:p>
    <w:p>
      <w:pPr>
        <w:spacing w:after="0" w:line="3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ROPES &amp; GRAY LLP</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PRUDENTIAL TOWER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800 BOYLSTON STREET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BOSTON, MA 02199-3600</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WWW.ROPESGRAY.COM</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Zenas BioPharma,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852 Winter Street, Suite 250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Waltham, MA 02451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Registration of Securities by Zenas BioPharma,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have acted as counsel to Zenas BioPharma,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registration statement on Form S-3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filed on the date hereof by the Company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relating to the registration under the Securities Act and the proposed offer and sale from time to time pursuant to Rule 415 under the Securities Act, by certain stockholders of the Company identified in the Registration Statement, of up to 6,311,030 shares of common stock, $0.0001 par value per share, of the Company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opinions expressed below are limited to the Delaware General Corporation Law.</w:t>
      </w:r>
    </w:p>
    <w:p>
      <w:pPr>
        <w:spacing w:after="0" w:line="17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Based upon and subject to the foregoing and the assumptions, qualifications and limitations set forth below, we are of the opinion that the shares of Common Stock have been duly authorized by the Company and are validly issued, fully paid and non-assessable.</w:t>
      </w:r>
    </w:p>
    <w:p>
      <w:pPr>
        <w:spacing w:after="0" w:line="12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rendering the opinions set forth above, we have assumed that (i) the Registration Statement and any amendments thereto will have become effective under the Securities Act, and no stop order suspending the Registration Statement’s effectiveness will have been issued and remain in effect each time the Common Stock is offered and sold as contemplated by the Registration Statement, and (ii) all shares of Common Stock will be offered and sold in compliance with applicable federal and state securities laws and in the manner stated in the Registration Statement and the applicable prospectus supplement.</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71628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32" w:name="page33"/>
    <w:bookmarkEnd w:id="32"/>
    <w:p>
      <w:pPr>
        <w:ind w:left="5520"/>
        <w:spacing w:after="0"/>
        <w:rPr>
          <w:sz w:val="20"/>
          <w:szCs w:val="20"/>
          <w:color w:val="auto"/>
        </w:rPr>
      </w:pPr>
      <w:r>
        <w:rPr>
          <w:rFonts w:ascii="Times New Roman" w:cs="Times New Roman" w:eastAsia="Times New Roman" w:hAnsi="Times New Roman"/>
          <w:sz w:val="14"/>
          <w:szCs w:val="14"/>
          <w:color w:val="auto"/>
        </w:rPr>
        <w:t>- 2 -</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Zenas BioPharma, Inc.</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 Ropes &amp; Gray LLP</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1628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Zenas BioPharma, Inc. for the registration of 6,311,030 shares of its common stock and to the incorporation by reference therein of our report dated March 11, 2025, with respect to the consolidated financial statements of Zenas BioPharma, Inc. included in its Annual Report (Form 10-K) for the year ended December 31, 2024, filed with the Securities and Exchange Commission.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Ernst &amp; Young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28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4" w:name="page35"/>
    <w:bookmarkEnd w:id="3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Zenas BioPharma,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6,311,030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$ 22.835</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$ 19,901.92</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8"/>
              </w:rPr>
              <w:t>144,112,370.05</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$ 19,901.92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144,112,370.05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$ 19,901.92</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80" w:hanging="5"/>
        <w:spacing w:after="0"/>
        <w:tabs>
          <w:tab w:leader="none" w:pos="4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registration statement to which this exhibit is attached registers the resale from time to time by certain stockholders of up to 6,311,030 shares of common stock, $0.0001 par value per share (the "Common Stock"), that were initially issued pursuant to the Purchase Agreement dated as of October 7, 2025, by and between the Registrant and the selling stockholders named in the registration statement. Pursuant to Rule 416 under the Securities Act of 1933, as amended, the registration statement also covers such additional securities that may be issued as a result of stock splits, stock dividends or similar transactions.</w:t>
      </w:r>
    </w:p>
    <w:p>
      <w:pPr>
        <w:spacing w:after="0" w:line="159" w:lineRule="exact"/>
        <w:rPr>
          <w:rFonts w:ascii="Arial" w:cs="Arial" w:eastAsia="Arial" w:hAnsi="Arial"/>
          <w:sz w:val="17"/>
          <w:szCs w:val="17"/>
          <w:color w:val="auto"/>
        </w:rPr>
      </w:pPr>
    </w:p>
    <w:p>
      <w:pPr>
        <w:ind w:left="220" w:right="520" w:hanging="5"/>
        <w:spacing w:after="0" w:line="249" w:lineRule="auto"/>
        <w:tabs>
          <w:tab w:leader="none" w:pos="4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457(c) based on the average of the high and low prices of the Registrant's Common Stock as reported on The Nasdaq Global Select Market on October 17, 2025 to be $24.41 and $21.26,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wp:posOffset>
            </wp:positionV>
            <wp:extent cx="714819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4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gridSpan w:val="2"/>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7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jc w:val="center"/>
              <w:ind w:right="38"/>
              <w:spacing w:after="0" w:line="189" w:lineRule="exact"/>
              <w:rPr>
                <w:sz w:val="20"/>
                <w:szCs w:val="20"/>
                <w:color w:val="auto"/>
              </w:rPr>
            </w:pPr>
            <w:r>
              <w:rPr>
                <w:rFonts w:ascii="Arial" w:cs="Arial" w:eastAsia="Arial" w:hAnsi="Arial"/>
                <w:sz w:val="17"/>
                <w:szCs w:val="17"/>
                <w:b w:val="1"/>
                <w:bCs w:val="1"/>
                <w:color w:val="auto"/>
                <w:w w:val="98"/>
              </w:rPr>
              <w:t>Form</w:t>
            </w: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58"/>
              <w:spacing w:after="0" w:line="189" w:lineRule="exact"/>
              <w:rPr>
                <w:sz w:val="20"/>
                <w:szCs w:val="20"/>
                <w:color w:val="auto"/>
              </w:rPr>
            </w:pPr>
            <w:r>
              <w:rPr>
                <w:rFonts w:ascii="Arial" w:cs="Arial" w:eastAsia="Arial" w:hAnsi="Arial"/>
                <w:sz w:val="17"/>
                <w:szCs w:val="17"/>
                <w:b w:val="1"/>
                <w:bCs w:val="1"/>
                <w:color w:val="auto"/>
                <w:w w:val="95"/>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2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25"/>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3"/>
    </w:lvl>
  </w:abstractNum>
  <w:abstractNum w:abstractNumId="8">
    <w:nsid w:val="25E45D32"/>
    <w:multiLevelType w:val="hybridMultilevel"/>
    <w:lvl w:ilvl="0">
      <w:lvlJc w:val="left"/>
      <w:lvlText w:val="(%1)"/>
      <w:numFmt w:val="decimal"/>
      <w:start w:val="17"/>
    </w:lvl>
  </w:abstractNum>
  <w:abstractNum w:abstractNumId="9">
    <w:nsid w:val="519B500D"/>
    <w:multiLevelType w:val="hybridMultilevel"/>
    <w:lvl w:ilvl="0">
      <w:lvlJc w:val="left"/>
      <w:lvlText w:val="(%1)"/>
      <w:numFmt w:val="decimal"/>
      <w:start w:val="21"/>
    </w:lvl>
    <w:lvl w:ilvl="1">
      <w:lvlJc w:val="left"/>
      <w:lvlText w:val="(%2)"/>
      <w:numFmt w:val="lowerRoman"/>
      <w:start w:val="3"/>
    </w:lvl>
  </w:abstractNum>
  <w:abstractNum w:abstractNumId="10">
    <w:nsid w:val="431BD7B7"/>
    <w:multiLevelType w:val="hybridMultilevel"/>
    <w:lvl w:ilvl="0">
      <w:lvlJc w:val="left"/>
      <w:lvlText w:val="(%1)"/>
      <w:numFmt w:val="decimal"/>
      <w:start w:val="24"/>
    </w:lvl>
  </w:abstractNum>
  <w:abstractNum w:abstractNumId="11">
    <w:nsid w:val="3F2DBA31"/>
    <w:multiLevelType w:val="hybridMultilevel"/>
    <w:lvl w:ilvl="0">
      <w:lvlJc w:val="left"/>
      <w:lvlText w:val="(%1)"/>
      <w:numFmt w:val="decimal"/>
      <w:start w:val="30"/>
    </w:lvl>
    <w:lvl w:ilvl="1">
      <w:lvlJc w:val="left"/>
      <w:lvlText w:val="(%2)"/>
      <w:numFmt w:val="lowerRoman"/>
      <w:start w:val="2"/>
    </w:lvl>
  </w:abstractNum>
  <w:abstractNum w:abstractNumId="12">
    <w:nsid w:val="7C83E458"/>
    <w:multiLevelType w:val="hybridMultilevel"/>
    <w:lvl w:ilvl="0">
      <w:lvlJc w:val="left"/>
      <w:lvlText w:val="%1"/>
      <w:numFmt w:val="decimal"/>
      <w:start w:val="1"/>
    </w:lvl>
    <w:lvl w:ilvl="1">
      <w:lvlJc w:val="left"/>
      <w:lvlText w:val="(%2)"/>
      <w:numFmt w:val="lowerRoman"/>
      <w:start w:val="5"/>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decimal"/>
      <w:start w:val="2"/>
    </w:lvl>
    <w:lvl w:ilvl="1">
      <w:lvlJc w:val="left"/>
      <w:lvlText w:val="(%2)"/>
      <w:numFmt w:val="upperLetter"/>
      <w:start w:val="1"/>
    </w:lvl>
  </w:abstractNum>
  <w:abstractNum w:abstractNumId="22">
    <w:nsid w:val="75A2A8D4"/>
    <w:multiLevelType w:val="hybridMultilevel"/>
    <w:lvl w:ilvl="0">
      <w:lvlJc w:val="left"/>
      <w:lvlText w:val="%1"/>
      <w:numFmt w:val="decimal"/>
      <w:start w:val="1"/>
    </w:lvl>
    <w:lvl w:ilvl="1">
      <w:lvlJc w:val="left"/>
      <w:lvlText w:val="(%2)"/>
      <w:numFmt w:val="lowerRoman"/>
      <w:start w:val="1"/>
    </w:lvl>
  </w:abstractNum>
  <w:abstractNum w:abstractNumId="23">
    <w:nsid w:val="8EDBDAB"/>
    <w:multiLevelType w:val="hybridMultilevel"/>
    <w:lvl w:ilvl="0">
      <w:lvlJc w:val="left"/>
      <w:lvlText w:val="(%1)"/>
      <w:numFmt w:val="decimal"/>
      <w:start w:val="6"/>
    </w:lvl>
    <w:lvl w:ilvl="1">
      <w:lvlJc w:val="left"/>
      <w:lvlText w:val="%2"/>
      <w:numFmt w:val="lowerRoman"/>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9"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jpe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33" Type="http://schemas.openxmlformats.org/officeDocument/2006/relationships/hyperlink" Target="http://www.sec.gov/ix?doc=/Archives/edgar/data/1953926/000155837025002631/zbio-20241231x10k.htm" TargetMode="External"/><Relationship Id="rId62" Type="http://schemas.openxmlformats.org/officeDocument/2006/relationships/hyperlink" Target="https://www.sec.gov/ix?doc=/Archives/edgar/data/1953926/000155837025002631/zbio-20241231x10k.htm" TargetMode="External"/><Relationship Id="rId63" Type="http://schemas.openxmlformats.org/officeDocument/2006/relationships/hyperlink" Target="http://www.sec.gov/ix?doc=/Archives/edgar/data/1953926/000155837025007803/zbio-20250331x10q.htm" TargetMode="External"/><Relationship Id="rId64" Type="http://schemas.openxmlformats.org/officeDocument/2006/relationships/hyperlink" Target="http://www.sec.gov/ix?doc=/Archives/edgar/data/1953926/000155837025011147/zbio-20250630x10q.htm" TargetMode="External"/><Relationship Id="rId65" Type="http://schemas.openxmlformats.org/officeDocument/2006/relationships/hyperlink" Target="http://www.sec.gov/ix?doc=/Archives/edgar/data/1953926/000110465925058892/tm2517793d1_8k.htm" TargetMode="External"/><Relationship Id="rId66" Type="http://schemas.openxmlformats.org/officeDocument/2006/relationships/hyperlink" Target="http://www.sec.gov/ix?doc=/Archives/edgar/data/1953926/000110465925085982/tm2524961d1_8k.htm" TargetMode="External"/><Relationship Id="rId67" Type="http://schemas.openxmlformats.org/officeDocument/2006/relationships/hyperlink" Target="http://www.sec.gov/ix?doc=/Archives/edgar/data/1953926/000110465925097663/tm2528075d1_8k.htm" TargetMode="External"/><Relationship Id="rId68" Type="http://schemas.openxmlformats.org/officeDocument/2006/relationships/hyperlink" Target="http://www.sec.gov/ix?doc=/Archives/edgar/data/1953926/000110465925039765/tm2512976-3_def14a.htm" TargetMode="External"/><Relationship Id="rId70" Type="http://schemas.openxmlformats.org/officeDocument/2006/relationships/hyperlink" Target="http://www.sec.gov/Archives/edgar/data/1953926/000110465924098571/tm2332800d21_8a12b.htm" TargetMode="External"/><Relationship Id="rId71" Type="http://schemas.openxmlformats.org/officeDocument/2006/relationships/hyperlink" Target="http://www.sec.gov/Archives/edgar/data/1953926/000155837025002631/zbio-20241231xex4d3.htm" TargetMode="External"/><Relationship Id="rId76" Type="http://schemas.openxmlformats.org/officeDocument/2006/relationships/hyperlink" Target="http://www.sec.gov/Archives/edgar/data/1953926/000110465924100177/tm2332800d24_ex3-1.htm" TargetMode="External"/><Relationship Id="rId77" Type="http://schemas.openxmlformats.org/officeDocument/2006/relationships/hyperlink" Target="http://www.sec.gov/Archives/edgar/data/1953926/000110465924100177/tm2332800d24_ex3-2.htm" TargetMode="External"/><Relationship Id="rId78" Type="http://schemas.openxmlformats.org/officeDocument/2006/relationships/hyperlink" Target="http://www.sec.gov/Archives/edgar/data/1953926/000110465924097538/tm2332800d16_ex4-1.htm" TargetMode="External"/><Relationship Id="rId79" Type="http://schemas.openxmlformats.org/officeDocument/2006/relationships/hyperlink" Target="http://www.sec.gov/Archives/edgar/data/1953926/000110465924097538/tm2332800d16_ex4-2.htm" TargetMode="External"/><Relationship Id="rId80" Type="http://schemas.openxmlformats.org/officeDocument/2006/relationships/hyperlink" Target="http://www.sec.gov/Archives/edgar/data/1953926/000110465925097663/tm2528075d1_ex10-2.htm" TargetMode="External"/><Relationship Id="rId81" Type="http://schemas.openxmlformats.org/officeDocument/2006/relationships/hyperlink" Target="http://www.sec.gov/Archives/edgar/data/1953926/000110465925097663/tm2528075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2025-10-21T15:57:36Z</dcterms:created>
  <dcterms:modified xsi:type="dcterms:W3CDTF">2025-10-21T15:57:36Z</dcterms:modified>
</cp:coreProperties>
</file>