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zbio-20260630x10q.htm"/>
        <w:bookmarkStart w:id="1" w:name="kszbio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pPr>
      <w:r>
        <w:rPr/>
        <w:t>​</w:t>
      </w:r>
    </w:p>
    <w:p>
      <w:pPr>
        <w:pStyle w:val="TextBody"/>
        <w:pBdr>
          <w:top w:val="single" w:sz="24" w:space="1" w:color="000000"/>
          <w:bottom w:val="single" w:sz="2" w:space="1" w:color="000000"/>
        </w:pBdr>
        <w:bidi w:val="0"/>
        <w:spacing w:before="0" w:after="0"/>
        <w:ind w:left="0" w:right="0" w:hanging="0"/>
        <w:jc w:val="center"/>
        <w:rPr/>
      </w:pPr>
      <w:r>
        <w:rPr/>
        <w:t>​</w:t>
      </w:r>
    </w:p>
    <w:p>
      <w:pPr>
        <w:pStyle w:val="TextBody"/>
        <w:bidi w:val="0"/>
        <w:spacing w:before="0" w:after="0"/>
        <w:ind w:left="0" w:right="0" w:hanging="0"/>
        <w:jc w:val="center"/>
        <w:rPr/>
      </w:pPr>
      <w:bookmarkStart w:id="2" w:name="_42aab08f_8f2e_473d_8474_7b53c9e6b129"/>
      <w:bookmarkEnd w:id="2"/>
      <w:r>
        <w:rPr/>
        <w:t>​</w:t>
      </w:r>
    </w:p>
    <w:p>
      <w:pPr>
        <w:pStyle w:val="TextBody"/>
        <w:bidi w:val="0"/>
        <w:spacing w:before="0" w:after="0"/>
        <w:ind w:left="0" w:right="0" w:hanging="0"/>
        <w:jc w:val="center"/>
        <w:rPr>
          <w:rFonts w:ascii="Times New Roman;Times;serif" w:hAnsi="Times New Roman;Times;serif"/>
          <w:b/>
          <w:sz w:val="30"/>
        </w:rPr>
      </w:pPr>
      <w:r>
        <w:rPr>
          <w:rFonts w:ascii="Times New Roman;Times;serif" w:hAnsi="Times New Roman;Times;serif"/>
          <w:b/>
          <w:sz w:val="30"/>
        </w:rPr>
        <w:t>UNITED STATES</w:t>
      </w:r>
    </w:p>
    <w:p>
      <w:pPr>
        <w:pStyle w:val="TextBody"/>
        <w:bidi w:val="0"/>
        <w:spacing w:before="0" w:after="0"/>
        <w:ind w:left="0" w:right="0" w:hanging="0"/>
        <w:jc w:val="center"/>
        <w:rPr>
          <w:rFonts w:ascii="Times New Roman;Times;serif" w:hAnsi="Times New Roman;Times;serif"/>
          <w:b/>
          <w:sz w:val="30"/>
        </w:rPr>
      </w:pPr>
      <w:r>
        <w:rPr>
          <w:rFonts w:ascii="Times New Roman;Times;serif" w:hAnsi="Times New Roman;Times;serif"/>
          <w:b/>
          <w:sz w:val="30"/>
        </w:rPr>
        <w:t>SECURITIES AND EXCHANGE COMMISSION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0"/>
        </w:rPr>
      </w:pPr>
      <w:r>
        <w:rPr>
          <w:rFonts w:ascii="Times New Roman;Times;serif" w:hAnsi="Times New Roman;Times;serif"/>
          <w:b/>
          <w:sz w:val="30"/>
        </w:rPr>
        <w:t>FORM 10-Q</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936" w:right="0" w:hanging="0"/>
        <w:jc w:val="left"/>
        <w:rPr>
          <w:rFonts w:ascii="Times New Roman;Times;serif" w:hAnsi="Times New Roman;Times;serif"/>
          <w:b/>
          <w:sz w:val="14"/>
        </w:rPr>
      </w:pPr>
      <w:r>
        <w:rPr>
          <w:rFonts w:ascii="Times New Roman;Times;serif" w:hAnsi="Times New Roman;Times;serif"/>
          <w:b/>
          <w:sz w:val="14"/>
        </w:rPr>
        <w:t>(Mark One)</w:t>
      </w:r>
    </w:p>
    <w:p>
      <w:pPr>
        <w:pStyle w:val="TextBody"/>
        <w:bidi w:val="0"/>
        <w:spacing w:before="0" w:after="0"/>
        <w:ind w:left="0" w:right="0" w:hanging="0"/>
        <w:jc w:val="left"/>
        <w:rPr/>
      </w:pPr>
      <w:r>
        <w:rPr>
          <w:caps w:val="false"/>
          <w:smallCaps w:val="false"/>
        </w:rPr>
        <w:t>☒</w:t>
      </w:r>
      <w:r>
        <w:rPr>
          <w:rFonts w:ascii="Times New Roman;Times;serif" w:hAnsi="Times New Roman;Times;serif"/>
          <w:b/>
          <w:sz w:val="18"/>
        </w:rPr>
        <w:t>QUARTERLY REPORT PURSUANT TO SECTION 13 OR 15(d) OF THE SECURITIES</w:t>
      </w:r>
    </w:p>
    <w:p>
      <w:pPr>
        <w:pStyle w:val="TextBody"/>
        <w:bidi w:val="0"/>
        <w:spacing w:before="0" w:after="100"/>
        <w:ind w:left="0" w:right="0" w:hanging="0"/>
        <w:jc w:val="center"/>
        <w:rPr>
          <w:rFonts w:ascii="Times New Roman;Times;serif" w:hAnsi="Times New Roman;Times;serif"/>
          <w:b/>
          <w:sz w:val="18"/>
        </w:rPr>
      </w:pPr>
      <w:r>
        <w:rPr>
          <w:rFonts w:ascii="Times New Roman;Times;serif" w:hAnsi="Times New Roman;Times;serif"/>
          <w:b/>
          <w:sz w:val="18"/>
        </w:rPr>
        <w:t>EXCHANGE ACT OF 1934</w:t>
      </w:r>
    </w:p>
    <w:p>
      <w:pPr>
        <w:pStyle w:val="TextBody"/>
        <w:bidi w:val="0"/>
        <w:spacing w:before="0" w:after="60"/>
        <w:ind w:left="0" w:right="0" w:hanging="0"/>
        <w:jc w:val="center"/>
        <w:rPr>
          <w:rFonts w:ascii="Times New Roman;Times;serif" w:hAnsi="Times New Roman;Times;serif"/>
          <w:b/>
          <w:sz w:val="14"/>
        </w:rPr>
      </w:pPr>
      <w:r>
        <w:rPr>
          <w:rFonts w:ascii="Times New Roman;Times;serif" w:hAnsi="Times New Roman;Times;serif"/>
          <w:b/>
          <w:sz w:val="14"/>
        </w:rPr>
        <w:t>For the quarterly period ended June 30, 2026</w:t>
      </w:r>
    </w:p>
    <w:p>
      <w:pPr>
        <w:pStyle w:val="TextBody"/>
        <w:bidi w:val="0"/>
        <w:spacing w:before="0" w:after="60"/>
        <w:ind w:left="0" w:right="0" w:hanging="0"/>
        <w:jc w:val="center"/>
        <w:rPr>
          <w:rFonts w:ascii="Times New Roman;Times;serif" w:hAnsi="Times New Roman;Times;serif"/>
          <w:b/>
          <w:sz w:val="14"/>
        </w:rPr>
      </w:pPr>
      <w:r>
        <w:rPr>
          <w:rFonts w:ascii="Times New Roman;Times;serif" w:hAnsi="Times New Roman;Times;serif"/>
          <w:b/>
          <w:sz w:val="14"/>
        </w:rPr>
        <w:t>or</w:t>
      </w:r>
    </w:p>
    <w:p>
      <w:pPr>
        <w:pStyle w:val="TextBody"/>
        <w:bidi w:val="0"/>
        <w:spacing w:before="0" w:after="60"/>
        <w:ind w:left="0" w:right="0" w:hanging="0"/>
        <w:jc w:val="left"/>
        <w:rPr/>
      </w:pPr>
      <w:r>
        <w:rPr>
          <w:caps w:val="false"/>
          <w:smallCaps w:val="false"/>
        </w:rPr>
        <w:t>☐</w:t>
      </w:r>
      <w:r>
        <w:rPr>
          <w:rFonts w:ascii="Times New Roman;Times;serif" w:hAnsi="Times New Roman;Times;serif"/>
          <w:b/>
          <w:sz w:val="18"/>
        </w:rPr>
        <w:t>TRANSITION REPORT PURSUANT TO SECTION 13 OR 15(d) OF THE SECURITIES</w:t>
      </w:r>
    </w:p>
    <w:p>
      <w:pPr>
        <w:pStyle w:val="TextBody"/>
        <w:bidi w:val="0"/>
        <w:spacing w:before="0" w:after="120"/>
        <w:ind w:left="0" w:right="0" w:hanging="0"/>
        <w:jc w:val="center"/>
        <w:rPr>
          <w:rFonts w:ascii="Times New Roman;Times;serif" w:hAnsi="Times New Roman;Times;serif"/>
          <w:b/>
          <w:sz w:val="18"/>
        </w:rPr>
      </w:pPr>
      <w:r>
        <w:rPr>
          <w:rFonts w:ascii="Times New Roman;Times;serif" w:hAnsi="Times New Roman;Times;serif"/>
          <w:b/>
          <w:sz w:val="18"/>
        </w:rPr>
        <w:t>EXCHANGE ACT OF 1934</w:t>
      </w:r>
    </w:p>
    <w:p>
      <w:pPr>
        <w:pStyle w:val="TextBody"/>
        <w:bidi w:val="0"/>
        <w:spacing w:before="0" w:after="120"/>
        <w:ind w:left="0" w:right="0" w:hanging="0"/>
        <w:jc w:val="center"/>
        <w:rPr>
          <w:rFonts w:ascii="Times New Roman;Times;serif" w:hAnsi="Times New Roman;Times;serif"/>
          <w:sz w:val="14"/>
        </w:rPr>
      </w:pPr>
      <w:r>
        <w:rPr>
          <w:rFonts w:ascii="Times New Roman;Times;serif" w:hAnsi="Times New Roman;Times;serif"/>
          <w:b/>
          <w:sz w:val="14"/>
        </w:rPr>
        <w:t xml:space="preserve">For the transition period from </w:t>
      </w:r>
      <w:r>
        <w:rPr>
          <w:rFonts w:ascii="Times New Roman;Times;serif" w:hAnsi="Times New Roman;Times;serif"/>
          <w:sz w:val="14"/>
        </w:rPr>
        <w:t xml:space="preserve">                     </w:t>
      </w:r>
      <w:r>
        <w:rPr>
          <w:rFonts w:ascii="Times New Roman;Times;serif" w:hAnsi="Times New Roman;Times;serif"/>
          <w:b/>
          <w:sz w:val="14"/>
        </w:rPr>
        <w:t>to</w:t>
      </w:r>
      <w:r>
        <w:rPr>
          <w:rFonts w:ascii="Times New Roman;Times;serif" w:hAnsi="Times New Roman;Times;serif"/>
          <w:sz w:val="14"/>
        </w:rPr>
        <w:t>                   </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Commission File Number: 001-42270</w:t>
      </w:r>
    </w:p>
    <w:p>
      <w:pPr>
        <w:pStyle w:val="TextBody"/>
        <w:bidi w:val="0"/>
        <w:spacing w:before="0" w:after="0"/>
        <w:ind w:left="0" w:right="0" w:hanging="0"/>
        <w:jc w:val="center"/>
        <w:rPr/>
      </w:pPr>
      <w:r>
        <w:rPr/>
        <w:drawing>
          <wp:inline distT="0" distB="0" distL="0" distR="0">
            <wp:extent cx="1236345" cy="41719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6345" cy="417195"/>
                    </a:xfrm>
                    <a:prstGeom prst="rect">
                      <a:avLst/>
                    </a:prstGeom>
                  </pic:spPr>
                </pic:pic>
              </a:graphicData>
            </a:graphic>
          </wp:inline>
        </w:drawing>
      </w:r>
    </w:p>
    <w:p>
      <w:pPr>
        <w:pStyle w:val="TextBody"/>
        <w:bidi w:val="0"/>
        <w:spacing w:before="0" w:after="0"/>
        <w:ind w:left="0" w:right="0" w:hanging="0"/>
        <w:jc w:val="center"/>
        <w:rPr>
          <w:rFonts w:ascii="Times New Roman;Times;serif" w:hAnsi="Times New Roman;Times;serif"/>
          <w:b/>
          <w:sz w:val="42"/>
        </w:rPr>
      </w:pPr>
      <w:r>
        <w:rPr>
          <w:rFonts w:ascii="Times New Roman;Times;serif" w:hAnsi="Times New Roman;Times;serif"/>
          <w:b/>
          <w:sz w:val="42"/>
        </w:rPr>
        <w:t>Zenas BioPharma, Inc.</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(Exact name of registrant as specified in its charter)</w:t>
      </w:r>
    </w:p>
    <w:p>
      <w:pPr>
        <w:pStyle w:val="Normal"/>
        <w:bidi w:val="0"/>
        <w:spacing w:before="0" w:after="0"/>
        <w:jc w:val="left"/>
        <w:rPr>
          <w:sz w:val="4"/>
          <w:szCs w:val="4"/>
        </w:rPr>
      </w:pPr>
      <w:r>
        <w:rPr>
          <w:sz w:val="4"/>
          <w:szCs w:val="4"/>
        </w:rPr>
      </w:r>
      <w:bookmarkStart w:id="3" w:name="Tc__1ns369lM0SFYnEx4C4tIQ_2_1"/>
      <w:bookmarkStart w:id="4" w:name="Tc_nQDKHD4PPEGNCWz2qvKK7Q_2_0"/>
      <w:bookmarkStart w:id="5" w:name="_791445a6_add2_4d2d_85ad_4f19390e0ac7"/>
      <w:bookmarkStart w:id="6" w:name="Tc__1ns369lM0SFYnEx4C4tIQ_2_1"/>
      <w:bookmarkStart w:id="7" w:name="Tc_nQDKHD4PPEGNCWz2qvKK7Q_2_0"/>
      <w:bookmarkStart w:id="8" w:name="_791445a6_add2_4d2d_85ad_4f19390e0ac7"/>
      <w:bookmarkEnd w:id="6"/>
      <w:bookmarkEnd w:id="7"/>
      <w:bookmarkEnd w:id="8"/>
    </w:p>
    <w:tbl>
      <w:tblPr>
        <w:tblW w:w="3497" w:type="dxa"/>
        <w:jc w:val="left"/>
        <w:tblInd w:w="0" w:type="dxa"/>
        <w:tblLayout w:type="fixed"/>
        <w:tblCellMar>
          <w:top w:w="0" w:type="dxa"/>
          <w:left w:w="0" w:type="dxa"/>
          <w:bottom w:w="0" w:type="dxa"/>
          <w:right w:w="0" w:type="dxa"/>
        </w:tblCellMar>
      </w:tblPr>
      <w:tblGrid>
        <w:gridCol w:w="1981"/>
        <w:gridCol w:w="1516"/>
      </w:tblGrid>
      <w:tr>
        <w:trPr/>
        <w:tc>
          <w:tcPr>
            <w:tcW w:w="1981"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pPr>
            <w:r>
              <w:rPr/>
              <w:t>​</w:t>
            </w:r>
          </w:p>
        </w:tc>
      </w:tr>
      <w:tr>
        <w:trPr/>
        <w:tc>
          <w:tcPr>
            <w:tcW w:w="198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Delaware</w:t>
            </w:r>
          </w:p>
        </w:tc>
        <w:tc>
          <w:tcPr>
            <w:tcW w:w="151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93-2749244</w:t>
            </w:r>
          </w:p>
        </w:tc>
      </w:tr>
      <w:tr>
        <w:trPr/>
        <w:tc>
          <w:tcPr>
            <w:tcW w:w="198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b/>
                <w:sz w:val="14"/>
              </w:rPr>
              <w:t>(State or other jurisdiction of</w:t>
            </w:r>
            <w:r>
              <w:rPr>
                <w:rFonts w:ascii="Times New Roman;Times;serif" w:hAnsi="Times New Roman;Times;serif"/>
                <w:sz w:val="14"/>
              </w:rPr>
              <w:br/>
            </w:r>
            <w:r>
              <w:rPr>
                <w:rFonts w:ascii="Times New Roman;Times;serif" w:hAnsi="Times New Roman;Times;serif"/>
                <w:b/>
                <w:sz w:val="14"/>
              </w:rPr>
              <w:t>incorporation or organization)</w:t>
            </w:r>
          </w:p>
        </w:tc>
        <w:tc>
          <w:tcPr>
            <w:tcW w:w="151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b/>
                <w:sz w:val="14"/>
              </w:rPr>
              <w:t>(I.R.S. Employer</w:t>
            </w:r>
            <w:r>
              <w:rPr>
                <w:rFonts w:ascii="Times New Roman;Times;serif" w:hAnsi="Times New Roman;Times;serif"/>
                <w:sz w:val="14"/>
              </w:rPr>
              <w:br/>
            </w:r>
            <w:r>
              <w:rPr>
                <w:rFonts w:ascii="Times New Roman;Times;serif" w:hAnsi="Times New Roman;Times;serif"/>
                <w:b/>
                <w:sz w:val="14"/>
              </w:rPr>
              <w:t>Identification Number)</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852 Winter Street, Suite 250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4"/>
        </w:rPr>
        <w:t>Waltham, MA</w:t>
      </w:r>
      <w:r>
        <w:rPr>
          <w:rFonts w:ascii="Times New Roman;Times;serif" w:hAnsi="Times New Roman;Times;serif"/>
          <w:sz w:val="20"/>
        </w:rPr>
        <w:t xml:space="preserve"> </w:t>
      </w:r>
      <w:r>
        <w:rPr>
          <w:rFonts w:ascii="Times New Roman;Times;serif" w:hAnsi="Times New Roman;Times;serif"/>
          <w:b/>
          <w:sz w:val="14"/>
        </w:rPr>
        <w:t>02451</w:t>
      </w:r>
    </w:p>
    <w:p>
      <w:pPr>
        <w:pStyle w:val="TextBody"/>
        <w:bidi w:val="0"/>
        <w:spacing w:before="0" w:after="100"/>
        <w:ind w:left="0" w:right="0" w:hanging="0"/>
        <w:jc w:val="center"/>
        <w:rPr>
          <w:rFonts w:ascii="Times New Roman;Times;serif" w:hAnsi="Times New Roman;Times;serif"/>
          <w:b/>
          <w:sz w:val="14"/>
        </w:rPr>
      </w:pPr>
      <w:r>
        <w:rPr>
          <w:rFonts w:ascii="Times New Roman;Times;serif" w:hAnsi="Times New Roman;Times;serif"/>
          <w:b/>
          <w:sz w:val="14"/>
        </w:rPr>
        <w:t>(Address of Principal Executive Offices)</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(857) 271-2954</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(Registrant’s telephone number)</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14"/>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4"/>
        </w:rPr>
        <w:t>No  </w:t>
      </w:r>
      <w:r>
        <w:rPr>
          <w:rFonts w:ascii="Times New Roman;Times;serif" w:hAnsi="Times New Roman;Times;serif"/>
          <w:sz w:val="20"/>
        </w:rPr>
        <w:t>☐  </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14"/>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4"/>
        </w:rPr>
        <w:t xml:space="preserve">No   </w:t>
      </w:r>
      <w:r>
        <w:rPr>
          <w:rFonts w:ascii="Times New Roman;Times;serif" w:hAnsi="Times New Roman;Times;serif"/>
          <w:sz w:val="20"/>
        </w:rPr>
        <w:t>☐</w:t>
      </w:r>
    </w:p>
    <w:p>
      <w:pPr>
        <w:pStyle w:val="TextBody"/>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9" w:name="Tc_qNg595NKH02vIt4zz8xs0g_2_4"/>
      <w:bookmarkStart w:id="10" w:name="Tc_wVbT2Sq2yEOY7iythXv5Tw_2_2"/>
      <w:bookmarkStart w:id="11" w:name="Tc_zH7si-6fLEW_yuLLdmrF6Q_2_1"/>
      <w:bookmarkStart w:id="12" w:name="Tc_O71oEZRqMky9NZbcKkWvIw_1_3"/>
      <w:bookmarkStart w:id="13" w:name="Tc_a_p2G9OnBkOeepKA3Ddxdw_1_2"/>
      <w:bookmarkStart w:id="14" w:name="Tc_usi4BMaXXkChTF6R5jZ8mA_1_1"/>
      <w:bookmarkStart w:id="15" w:name="Tc_rkGiXw5jD0OIXqwtSIIKkQ_1_0"/>
      <w:bookmarkStart w:id="16" w:name="_ac547a95_956b_43a9_977b_10e3160b1a74"/>
      <w:bookmarkStart w:id="17" w:name="Tc_qNg595NKH02vIt4zz8xs0g_2_4"/>
      <w:bookmarkStart w:id="18" w:name="Tc_wVbT2Sq2yEOY7iythXv5Tw_2_2"/>
      <w:bookmarkStart w:id="19" w:name="Tc_zH7si-6fLEW_yuLLdmrF6Q_2_1"/>
      <w:bookmarkStart w:id="20" w:name="Tc_O71oEZRqMky9NZbcKkWvIw_1_3"/>
      <w:bookmarkStart w:id="21" w:name="Tc_a_p2G9OnBkOeepKA3Ddxdw_1_2"/>
      <w:bookmarkStart w:id="22" w:name="Tc_usi4BMaXXkChTF6R5jZ8mA_1_1"/>
      <w:bookmarkStart w:id="23" w:name="Tc_rkGiXw5jD0OIXqwtSIIKkQ_1_0"/>
      <w:bookmarkStart w:id="24" w:name="_ac547a95_956b_43a9_977b_10e3160b1a74"/>
      <w:bookmarkEnd w:id="17"/>
      <w:bookmarkEnd w:id="18"/>
      <w:bookmarkEnd w:id="19"/>
      <w:bookmarkEnd w:id="20"/>
      <w:bookmarkEnd w:id="21"/>
      <w:bookmarkEnd w:id="22"/>
      <w:bookmarkEnd w:id="23"/>
      <w:bookmarkEnd w:id="24"/>
    </w:p>
    <w:tbl>
      <w:tblPr>
        <w:tblW w:w="5796" w:type="dxa"/>
        <w:jc w:val="left"/>
        <w:tblInd w:w="0" w:type="dxa"/>
        <w:tblLayout w:type="fixed"/>
        <w:tblCellMar>
          <w:top w:w="0" w:type="dxa"/>
          <w:left w:w="0" w:type="dxa"/>
          <w:bottom w:w="0" w:type="dxa"/>
          <w:right w:w="0" w:type="dxa"/>
        </w:tblCellMar>
      </w:tblPr>
      <w:tblGrid>
        <w:gridCol w:w="1366"/>
        <w:gridCol w:w="436"/>
        <w:gridCol w:w="1666"/>
        <w:gridCol w:w="316"/>
        <w:gridCol w:w="1651"/>
        <w:gridCol w:w="361"/>
      </w:tblGrid>
      <w:tr>
        <w:trPr/>
        <w:tc>
          <w:tcPr>
            <w:tcW w:w="136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3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Large accelerated filer</w:t>
            </w:r>
          </w:p>
        </w:tc>
        <w:tc>
          <w:tcPr>
            <w:tcW w:w="436"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Accelerated filer</w:t>
            </w:r>
          </w:p>
        </w:tc>
        <w:tc>
          <w:tcPr>
            <w:tcW w:w="316"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3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Non-accelerated filer</w:t>
            </w:r>
          </w:p>
        </w:tc>
        <w:tc>
          <w:tcPr>
            <w:tcW w:w="436" w:type="dxa"/>
            <w:tcBorders/>
            <w:vAlign w:val="center"/>
          </w:tcPr>
          <w:p>
            <w:pPr>
              <w:pStyle w:val="TableContents"/>
              <w:bidi w:val="0"/>
              <w:spacing w:before="0" w:after="0"/>
              <w:ind w:left="0" w:right="0" w:hanging="0"/>
              <w:jc w:val="left"/>
              <w:rPr/>
            </w:pPr>
            <w:r>
              <w:rPr/>
              <w:t>☒  </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Smaller reporting company</w:t>
            </w:r>
          </w:p>
        </w:tc>
        <w:tc>
          <w:tcPr>
            <w:tcW w:w="316"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14"/>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14"/>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4"/>
        </w:rPr>
        <w:t>No  </w:t>
      </w:r>
      <w:r>
        <w:rPr>
          <w:rFonts w:ascii="Times New Roman;Times;serif" w:hAnsi="Times New Roman;Times;serif"/>
          <w:sz w:val="20"/>
        </w:rPr>
        <w:t>☒</w:t>
      </w:r>
    </w:p>
    <w:p>
      <w:pPr>
        <w:pStyle w:val="TextBody"/>
        <w:bidi w:val="0"/>
        <w:spacing w:before="0" w:after="0"/>
        <w:ind w:left="0" w:right="0" w:hanging="0"/>
        <w:jc w:val="left"/>
        <w:rPr>
          <w:rFonts w:ascii="Times New Roman;Times;serif" w:hAnsi="Times New Roman;Times;serif"/>
          <w:sz w:val="14"/>
        </w:rPr>
      </w:pPr>
      <w:r>
        <w:rPr>
          <w:rFonts w:ascii="Times New Roman;Times;serif" w:hAnsi="Times New Roman;Times;serif"/>
          <w:sz w:val="14"/>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5" w:name="Tc_iWsIrwRpn0iQn2vZ1qrKaQ_1_2"/>
      <w:bookmarkStart w:id="26" w:name="Tc_JRLRzH18zUOr6bx3XeggRQ_1_1"/>
      <w:bookmarkStart w:id="27" w:name="Tc_k9t4DY6zBkeB3TdYHdU_QA_1_0"/>
      <w:bookmarkStart w:id="28" w:name="_b3bbfce3_5bc8_4c46_bc69_045f4de696f5"/>
      <w:bookmarkStart w:id="29" w:name="Tc_iWsIrwRpn0iQn2vZ1qrKaQ_1_2"/>
      <w:bookmarkStart w:id="30" w:name="Tc_JRLRzH18zUOr6bx3XeggRQ_1_1"/>
      <w:bookmarkStart w:id="31" w:name="Tc_k9t4DY6zBkeB3TdYHdU_QA_1_0"/>
      <w:bookmarkStart w:id="32" w:name="_b3bbfce3_5bc8_4c46_bc69_045f4de696f5"/>
      <w:bookmarkEnd w:id="29"/>
      <w:bookmarkEnd w:id="30"/>
      <w:bookmarkEnd w:id="31"/>
      <w:bookmarkEnd w:id="32"/>
    </w:p>
    <w:tbl>
      <w:tblPr>
        <w:tblW w:w="6213" w:type="dxa"/>
        <w:jc w:val="left"/>
        <w:tblInd w:w="0" w:type="dxa"/>
        <w:tblLayout w:type="fixed"/>
        <w:tblCellMar>
          <w:top w:w="0" w:type="dxa"/>
          <w:left w:w="0" w:type="dxa"/>
          <w:bottom w:w="0" w:type="dxa"/>
          <w:right w:w="0" w:type="dxa"/>
        </w:tblCellMar>
      </w:tblPr>
      <w:tblGrid>
        <w:gridCol w:w="2716"/>
        <w:gridCol w:w="1066"/>
        <w:gridCol w:w="2431"/>
      </w:tblGrid>
      <w:tr>
        <w:trPr/>
        <w:tc>
          <w:tcPr>
            <w:tcW w:w="271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left"/>
              <w:rPr/>
            </w:pPr>
            <w:r>
              <w:rPr/>
              <w:t>​</w:t>
            </w:r>
          </w:p>
        </w:tc>
        <w:tc>
          <w:tcPr>
            <w:tcW w:w="2431" w:type="dxa"/>
            <w:tcBorders/>
            <w:vAlign w:val="center"/>
          </w:tcPr>
          <w:p>
            <w:pPr>
              <w:pStyle w:val="TableContents"/>
              <w:bidi w:val="0"/>
              <w:spacing w:before="0" w:after="0"/>
              <w:ind w:left="0" w:right="0" w:hanging="0"/>
              <w:jc w:val="left"/>
              <w:rPr/>
            </w:pPr>
            <w:r>
              <w:rPr/>
              <w:t>​</w:t>
            </w:r>
          </w:p>
        </w:tc>
      </w:tr>
      <w:tr>
        <w:trPr/>
        <w:tc>
          <w:tcPr>
            <w:tcW w:w="271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Title of Each Class</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Trading symbol</w:t>
            </w:r>
          </w:p>
        </w:tc>
        <w:tc>
          <w:tcPr>
            <w:tcW w:w="243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Name of Exchange on which registered</w:t>
            </w:r>
          </w:p>
        </w:tc>
      </w:tr>
      <w:tr>
        <w:trPr/>
        <w:tc>
          <w:tcPr>
            <w:tcW w:w="271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 par value $0.0001 per share</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ZBIO</w:t>
            </w:r>
          </w:p>
        </w:tc>
        <w:tc>
          <w:tcPr>
            <w:tcW w:w="243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Nasdaq Global Select Market</w:t>
            </w:r>
          </w:p>
        </w:tc>
      </w:tr>
    </w:tbl>
    <w:p>
      <w:pPr>
        <w:pStyle w:val="TextBody"/>
        <w:bidi w:val="0"/>
        <w:spacing w:before="0" w:after="0"/>
        <w:ind w:left="0" w:right="0" w:hanging="0"/>
        <w:jc w:val="left"/>
        <w:rPr/>
      </w:pPr>
      <w:r>
        <w:rPr/>
        <w:t>​</w:t>
      </w:r>
    </w:p>
    <w:p>
      <w:pPr>
        <w:pStyle w:val="TextBody"/>
        <w:bidi w:val="0"/>
        <w:spacing w:before="0" w:after="100"/>
        <w:ind w:left="0" w:right="0" w:hanging="0"/>
        <w:jc w:val="left"/>
        <w:rPr>
          <w:rFonts w:ascii="Times New Roman;Times;serif" w:hAnsi="Times New Roman;Times;serif"/>
          <w:sz w:val="14"/>
        </w:rPr>
      </w:pPr>
      <w:r>
        <w:rPr>
          <w:rFonts w:ascii="Times New Roman;Times;serif" w:hAnsi="Times New Roman;Times;serif"/>
          <w:sz w:val="14"/>
        </w:rPr>
        <w:t>As of July 31, 2026, there were 65,176,723 of the registrant’s common stock, par value $0.0001 per share, outstanding.</w:t>
      </w:r>
    </w:p>
    <w:p>
      <w:pPr>
        <w:pStyle w:val="TextBody"/>
        <w:pBdr>
          <w:top w:val="single" w:sz="8" w:space="1" w:color="000000"/>
          <w:bottom w:val="single" w:sz="24" w:space="1" w:color="000000"/>
        </w:pBdr>
        <w:bidi w:val="0"/>
        <w:spacing w:before="0" w:after="12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3" w:name="_5c2f61b6_baa2_4614_9519_d4339744dc69"/>
      <w:bookmarkStart w:id="34" w:name="TOC"/>
      <w:bookmarkEnd w:id="33"/>
      <w:bookmarkEnd w:id="34"/>
      <w:r>
        <w:rPr>
          <w:rFonts w:ascii="Times New Roman;Times;serif" w:hAnsi="Times New Roman;Times;serif"/>
          <w:b/>
          <w:sz w:val="20"/>
        </w:rPr>
        <w:t>TABLE OF CONTENTS</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246"/>
        <w:gridCol w:w="346"/>
        <w:gridCol w:w="7756"/>
        <w:gridCol w:w="346"/>
        <w:gridCol w:w="511"/>
      </w:tblGrid>
      <w:tr>
        <w:trPr/>
        <w:tc>
          <w:tcPr>
            <w:tcW w:w="124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395605" cy="175260"/>
                      <wp:effectExtent l="0" t="0" r="0" b="0"/>
                      <wp:wrapNone/>
                      <wp:docPr id="2" name="Frame1"/>
                      <a:graphic xmlns:a="http://schemas.openxmlformats.org/drawingml/2006/main">
                        <a:graphicData uri="http://schemas.microsoft.com/office/word/2010/wordprocessingShape">
                          <wps:wsp>
                            <wps:cNvSpPr txBox="1"/>
                            <wps:spPr>
                              <a:xfrm>
                                <a:off x="0" y="0"/>
                                <a:ext cx="39560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34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09855" cy="175260"/>
                      <wp:effectExtent l="0" t="0" r="0" b="0"/>
                      <wp:wrapNone/>
                      <wp:docPr id="3" name="Frame2"/>
                      <a:graphic xmlns:a="http://schemas.openxmlformats.org/drawingml/2006/main">
                        <a:graphicData uri="http://schemas.microsoft.com/office/word/2010/wordprocessingShape">
                          <wps:wsp>
                            <wps:cNvSpPr txBox="1"/>
                            <wps:spPr>
                              <a:xfrm>
                                <a:off x="0" y="0"/>
                                <a:ext cx="10985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775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462530" cy="175260"/>
                      <wp:effectExtent l="0" t="0" r="0" b="0"/>
                      <wp:wrapNone/>
                      <wp:docPr id="4" name="Frame3"/>
                      <a:graphic xmlns:a="http://schemas.openxmlformats.org/drawingml/2006/main">
                        <a:graphicData uri="http://schemas.microsoft.com/office/word/2010/wordprocessingShape">
                          <wps:wsp>
                            <wps:cNvSpPr txBox="1"/>
                            <wps:spPr>
                              <a:xfrm>
                                <a:off x="0" y="0"/>
                                <a:ext cx="246253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34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09855" cy="175260"/>
                      <wp:effectExtent l="0" t="0" r="0" b="0"/>
                      <wp:wrapNone/>
                      <wp:docPr id="5" name="Frame4"/>
                      <a:graphic xmlns:a="http://schemas.openxmlformats.org/drawingml/2006/main">
                        <a:graphicData uri="http://schemas.microsoft.com/office/word/2010/wordprocessingShape">
                          <wps:wsp>
                            <wps:cNvSpPr txBox="1"/>
                            <wps:spPr>
                              <a:xfrm>
                                <a:off x="0" y="0"/>
                                <a:ext cx="10985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511"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61925" cy="175260"/>
                      <wp:effectExtent l="0" t="0" r="0" b="0"/>
                      <wp:wrapNone/>
                      <wp:docPr id="6" name="Frame5"/>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r>
      <w:tr>
        <w:trPr/>
        <w:tc>
          <w:tcPr>
            <w:tcW w:w="1246" w:type="dxa"/>
            <w:tcBorders/>
            <w:vAlign w:val="center"/>
          </w:tcPr>
          <w:p>
            <w:pPr>
              <w:pStyle w:val="TableHeading"/>
              <w:pBdr/>
              <w:bidi w:val="0"/>
              <w:spacing w:before="0" w:after="0"/>
              <w:ind w:left="0" w:right="0" w:hanging="0"/>
              <w:jc w:val="left"/>
              <w:rPr/>
            </w:pPr>
            <w:r>
              <w:rPr/>
              <w:t>​</w:t>
            </w:r>
          </w:p>
        </w:tc>
        <w:tc>
          <w:tcPr>
            <w:tcW w:w="346" w:type="dxa"/>
            <w:tcBorders/>
            <w:vAlign w:val="center"/>
          </w:tcPr>
          <w:p>
            <w:pPr>
              <w:pStyle w:val="TableHeading"/>
              <w:bidi w:val="0"/>
              <w:spacing w:before="0" w:after="0"/>
              <w:ind w:left="0" w:right="0" w:hanging="0"/>
              <w:jc w:val="left"/>
              <w:rPr/>
            </w:pPr>
            <w:r>
              <w:rPr/>
              <w:t>  ​ ​ ​</w:t>
            </w:r>
          </w:p>
        </w:tc>
        <w:tc>
          <w:tcPr>
            <w:tcW w:w="7756" w:type="dxa"/>
            <w:tcBorders/>
            <w:vAlign w:val="center"/>
          </w:tcPr>
          <w:p>
            <w:pPr>
              <w:pStyle w:val="TableHeading"/>
              <w:bidi w:val="0"/>
              <w:spacing w:before="0" w:after="0"/>
              <w:ind w:left="0" w:right="0" w:hanging="0"/>
              <w:jc w:val="left"/>
              <w:rPr/>
            </w:pPr>
            <w:r>
              <w:rPr/>
              <w:t>​</w:t>
            </w:r>
          </w:p>
        </w:tc>
        <w:tc>
          <w:tcPr>
            <w:tcW w:w="346" w:type="dxa"/>
            <w:tcBorders/>
            <w:vAlign w:val="center"/>
          </w:tcPr>
          <w:p>
            <w:pPr>
              <w:pStyle w:val="TableHeading"/>
              <w:bidi w:val="0"/>
              <w:spacing w:before="0" w:after="0"/>
              <w:ind w:left="0" w:right="0" w:hanging="0"/>
              <w:jc w:val="left"/>
              <w:rPr/>
            </w:pPr>
            <w:r>
              <w:rPr/>
              <w:t>  ​ ​ ​</w:t>
            </w:r>
          </w:p>
        </w:tc>
        <w:tc>
          <w:tcPr>
            <w:tcW w:w="511"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124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246" w:type="dxa"/>
            <w:tcBorders/>
            <w:vAlign w:val="center"/>
          </w:tcPr>
          <w:p>
            <w:pPr>
              <w:pStyle w:val="TableContents"/>
              <w:pBdr/>
              <w:bidi w:val="0"/>
              <w:spacing w:before="0" w:after="0"/>
              <w:ind w:left="0" w:right="0" w:hanging="0"/>
              <w:jc w:val="left"/>
              <w:rPr/>
            </w:pPr>
            <w:hyperlink w:anchor="PARTIFINANCIALINFORMATION_860836">
              <w:r>
                <w:rPr>
                  <w:rStyle w:val="InternetLink"/>
                  <w:rFonts w:ascii="Times New Roman;Times;serif" w:hAnsi="Times New Roman;Times;serif"/>
                  <w:b/>
                  <w:i w:val="false"/>
                  <w:caps w:val="false"/>
                  <w:smallCaps w:val="false"/>
                  <w:sz w:val="20"/>
                </w:rPr>
                <w:t>Part I</w:t>
              </w:r>
            </w:hyperlink>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hyperlink w:anchor="PARTIFINANCIALINFORMATION_860836">
              <w:r>
                <w:rPr>
                  <w:rStyle w:val="InternetLink"/>
                  <w:rFonts w:ascii="Times New Roman;Times;serif" w:hAnsi="Times New Roman;Times;serif"/>
                  <w:b/>
                  <w:i w:val="false"/>
                  <w:caps w:val="false"/>
                  <w:smallCaps w:val="false"/>
                  <w:sz w:val="20"/>
                </w:rPr>
                <w:t>Financial Information</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r>
      <w:tr>
        <w:trPr/>
        <w:tc>
          <w:tcPr>
            <w:tcW w:w="1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r>
      <w:tr>
        <w:trPr/>
        <w:tc>
          <w:tcPr>
            <w:tcW w:w="1246" w:type="dxa"/>
            <w:tcBorders/>
            <w:vAlign w:val="center"/>
          </w:tcPr>
          <w:p>
            <w:pPr>
              <w:pStyle w:val="TableContents"/>
              <w:pBdr/>
              <w:bidi w:val="0"/>
              <w:spacing w:before="0" w:after="0"/>
              <w:ind w:left="0" w:right="0" w:hanging="0"/>
              <w:jc w:val="left"/>
              <w:rPr/>
            </w:pPr>
            <w:hyperlink w:anchor="Item1FinancialStatements_205649">
              <w:r>
                <w:rPr>
                  <w:rStyle w:val="InternetLink"/>
                  <w:rFonts w:ascii="Times New Roman;Times;serif" w:hAnsi="Times New Roman;Times;serif"/>
                  <w:b w:val="false"/>
                  <w:i w:val="false"/>
                  <w:caps w:val="false"/>
                  <w:smallCaps w:val="false"/>
                  <w:sz w:val="20"/>
                </w:rPr>
                <w:t>Item 1.</w:t>
              </w:r>
            </w:hyperlink>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hyperlink w:anchor="Item1FinancialStatements_205649">
              <w:r>
                <w:rPr>
                  <w:rStyle w:val="InternetLink"/>
                  <w:rFonts w:ascii="Times New Roman;Times;serif" w:hAnsi="Times New Roman;Times;serif"/>
                  <w:b w:val="false"/>
                  <w:i w:val="false"/>
                  <w:caps w:val="false"/>
                  <w:smallCaps w:val="false"/>
                  <w:sz w:val="20"/>
                </w:rPr>
                <w:t>Financial Statements (Unaudited)</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r>
      <w:tr>
        <w:trPr/>
        <w:tc>
          <w:tcPr>
            <w:tcW w:w="1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r>
      <w:tr>
        <w:trPr/>
        <w:tc>
          <w:tcPr>
            <w:tcW w:w="1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hyperlink w:anchor="ConsolidatedBalanceSheets_69127">
              <w:r>
                <w:rPr>
                  <w:rStyle w:val="InternetLink"/>
                  <w:rFonts w:ascii="Times New Roman;Times;serif" w:hAnsi="Times New Roman;Times;serif"/>
                  <w:b w:val="false"/>
                  <w:i w:val="false"/>
                  <w:caps w:val="false"/>
                  <w:smallCaps w:val="false"/>
                  <w:sz w:val="20"/>
                </w:rPr>
                <w:t>Condensed Consolidated Balance Sheets as of June 30, 2026 and December 31, 2025</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r>
      <w:tr>
        <w:trPr/>
        <w:tc>
          <w:tcPr>
            <w:tcW w:w="1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r>
      <w:tr>
        <w:trPr/>
        <w:tc>
          <w:tcPr>
            <w:tcW w:w="1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hyperlink w:anchor="StatementsofOperations_560390">
              <w:r>
                <w:rPr>
                  <w:rStyle w:val="InternetLink"/>
                  <w:rFonts w:ascii="Times New Roman;Times;serif" w:hAnsi="Times New Roman;Times;serif"/>
                  <w:b w:val="false"/>
                  <w:i w:val="false"/>
                  <w:caps w:val="false"/>
                  <w:smallCaps w:val="false"/>
                  <w:sz w:val="20"/>
                </w:rPr>
                <w:t xml:space="preserve">Condensed Consolidated Statements of Operations and Comprehensive Loss for the three and six months ended June 30, 2026 and 2025 </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r>
      <w:tr>
        <w:trPr/>
        <w:tc>
          <w:tcPr>
            <w:tcW w:w="1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r>
      <w:tr>
        <w:trPr/>
        <w:tc>
          <w:tcPr>
            <w:tcW w:w="1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hyperlink w:anchor="StockholdersEquity_262961">
              <w:r>
                <w:rPr>
                  <w:rStyle w:val="InternetLink"/>
                  <w:rFonts w:ascii="Times New Roman;Times;serif" w:hAnsi="Times New Roman;Times;serif"/>
                  <w:b w:val="false"/>
                  <w:i w:val="false"/>
                  <w:caps w:val="false"/>
                  <w:smallCaps w:val="false"/>
                  <w:sz w:val="20"/>
                </w:rPr>
                <w:t>Condensed Consolidated Statements of Stockholders’ Equity for the three and six months ended June 30, 2026 and 2025</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tc>
      </w:tr>
      <w:tr>
        <w:trPr/>
        <w:tc>
          <w:tcPr>
            <w:tcW w:w="1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r>
      <w:tr>
        <w:trPr/>
        <w:tc>
          <w:tcPr>
            <w:tcW w:w="1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hyperlink w:anchor="StatementsofCashFlows_498922">
              <w:r>
                <w:rPr>
                  <w:rStyle w:val="InternetLink"/>
                  <w:rFonts w:ascii="Times New Roman;Times;serif" w:hAnsi="Times New Roman;Times;serif"/>
                  <w:b w:val="false"/>
                  <w:i w:val="false"/>
                  <w:caps w:val="false"/>
                  <w:smallCaps w:val="false"/>
                  <w:sz w:val="20"/>
                </w:rPr>
                <w:t xml:space="preserve">Condensed Consolidated Statements of Cash Flows for the six months ended June 30, 2026 and 2025 </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r>
      <w:tr>
        <w:trPr/>
        <w:tc>
          <w:tcPr>
            <w:tcW w:w="1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r>
      <w:tr>
        <w:trPr/>
        <w:tc>
          <w:tcPr>
            <w:tcW w:w="1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hyperlink w:anchor="NotestoCondensedConsolidatedFinancial_80">
              <w:r>
                <w:rPr>
                  <w:rStyle w:val="InternetLink"/>
                  <w:rFonts w:ascii="Times New Roman;Times;serif" w:hAnsi="Times New Roman;Times;serif"/>
                  <w:b w:val="false"/>
                  <w:i w:val="false"/>
                  <w:caps w:val="false"/>
                  <w:smallCaps w:val="false"/>
                  <w:sz w:val="20"/>
                </w:rPr>
                <w:t xml:space="preserve">Notes to Condensed Consolidated Financial Statements </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w:t>
            </w:r>
          </w:p>
        </w:tc>
      </w:tr>
      <w:tr>
        <w:trPr/>
        <w:tc>
          <w:tcPr>
            <w:tcW w:w="1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r>
      <w:tr>
        <w:trPr/>
        <w:tc>
          <w:tcPr>
            <w:tcW w:w="1246" w:type="dxa"/>
            <w:tcBorders/>
            <w:vAlign w:val="center"/>
          </w:tcPr>
          <w:p>
            <w:pPr>
              <w:pStyle w:val="TableContents"/>
              <w:pBdr/>
              <w:bidi w:val="0"/>
              <w:spacing w:before="0" w:after="0"/>
              <w:ind w:left="0" w:right="0" w:hanging="0"/>
              <w:jc w:val="left"/>
              <w:rPr/>
            </w:pPr>
            <w:hyperlink w:anchor="Item2ManagementsDiscussion_843044">
              <w:r>
                <w:rPr>
                  <w:rStyle w:val="InternetLink"/>
                  <w:rFonts w:ascii="Times New Roman;Times;serif" w:hAnsi="Times New Roman;Times;serif"/>
                  <w:b w:val="false"/>
                  <w:i w:val="false"/>
                  <w:caps w:val="false"/>
                  <w:smallCaps w:val="false"/>
                  <w:sz w:val="20"/>
                </w:rPr>
                <w:t>Item 2.</w:t>
              </w:r>
            </w:hyperlink>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hyperlink w:anchor="Item2ManagementsDiscussion_843044">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w:t>
            </w:r>
          </w:p>
        </w:tc>
      </w:tr>
      <w:tr>
        <w:trPr/>
        <w:tc>
          <w:tcPr>
            <w:tcW w:w="1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r>
      <w:tr>
        <w:trPr/>
        <w:tc>
          <w:tcPr>
            <w:tcW w:w="1246" w:type="dxa"/>
            <w:tcBorders/>
            <w:vAlign w:val="center"/>
          </w:tcPr>
          <w:p>
            <w:pPr>
              <w:pStyle w:val="TableContents"/>
              <w:pBdr/>
              <w:bidi w:val="0"/>
              <w:spacing w:before="0" w:after="0"/>
              <w:ind w:left="0" w:right="0" w:hanging="0"/>
              <w:jc w:val="left"/>
              <w:rPr/>
            </w:pPr>
            <w:hyperlink w:anchor="Item3QuantitativeandQualitative_588339">
              <w:r>
                <w:rPr>
                  <w:rStyle w:val="InternetLink"/>
                  <w:rFonts w:ascii="Times New Roman;Times;serif" w:hAnsi="Times New Roman;Times;serif"/>
                  <w:b w:val="false"/>
                  <w:i w:val="false"/>
                  <w:caps w:val="false"/>
                  <w:smallCaps w:val="false"/>
                  <w:sz w:val="20"/>
                </w:rPr>
                <w:t>Item 3.</w:t>
              </w:r>
            </w:hyperlink>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hyperlink w:anchor="Item3QuantitativeandQualitative_588339">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51</w:t>
            </w:r>
          </w:p>
        </w:tc>
      </w:tr>
      <w:tr>
        <w:trPr/>
        <w:tc>
          <w:tcPr>
            <w:tcW w:w="1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r>
      <w:tr>
        <w:trPr/>
        <w:tc>
          <w:tcPr>
            <w:tcW w:w="1246" w:type="dxa"/>
            <w:tcBorders/>
            <w:vAlign w:val="center"/>
          </w:tcPr>
          <w:p>
            <w:pPr>
              <w:pStyle w:val="TableContents"/>
              <w:pBdr/>
              <w:bidi w:val="0"/>
              <w:spacing w:before="0" w:after="0"/>
              <w:ind w:left="0" w:right="0" w:hanging="0"/>
              <w:jc w:val="left"/>
              <w:rPr/>
            </w:pPr>
            <w:hyperlink w:anchor="Item4ControlsandProcedures_753135">
              <w:r>
                <w:rPr>
                  <w:rStyle w:val="InternetLink"/>
                  <w:rFonts w:ascii="Times New Roman;Times;serif" w:hAnsi="Times New Roman;Times;serif"/>
                  <w:b w:val="false"/>
                  <w:i w:val="false"/>
                  <w:caps w:val="false"/>
                  <w:smallCaps w:val="false"/>
                  <w:sz w:val="20"/>
                </w:rPr>
                <w:t>Item 4.</w:t>
              </w:r>
            </w:hyperlink>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hyperlink w:anchor="Item4ControlsandProcedures_753135">
              <w:r>
                <w:rPr>
                  <w:rStyle w:val="InternetLink"/>
                  <w:rFonts w:ascii="Times New Roman;Times;serif" w:hAnsi="Times New Roman;Times;serif"/>
                  <w:b w:val="false"/>
                  <w:i w:val="false"/>
                  <w:caps w:val="false"/>
                  <w:smallCaps w:val="false"/>
                  <w:sz w:val="20"/>
                </w:rPr>
                <w:t>Controls and Procedures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52</w:t>
            </w:r>
          </w:p>
        </w:tc>
      </w:tr>
      <w:tr>
        <w:trPr/>
        <w:tc>
          <w:tcPr>
            <w:tcW w:w="1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r>
      <w:tr>
        <w:trPr/>
        <w:tc>
          <w:tcPr>
            <w:tcW w:w="1246" w:type="dxa"/>
            <w:tcBorders/>
            <w:vAlign w:val="center"/>
          </w:tcPr>
          <w:p>
            <w:pPr>
              <w:pStyle w:val="TableContents"/>
              <w:pBdr/>
              <w:bidi w:val="0"/>
              <w:spacing w:before="0" w:after="0"/>
              <w:ind w:left="0" w:right="0" w:hanging="0"/>
              <w:jc w:val="left"/>
              <w:rPr/>
            </w:pPr>
            <w:hyperlink w:anchor="PARTIIOTHERINFORMATION_907855">
              <w:r>
                <w:rPr>
                  <w:rStyle w:val="InternetLink"/>
                  <w:rFonts w:ascii="Times New Roman;Times;serif" w:hAnsi="Times New Roman;Times;serif"/>
                  <w:b/>
                  <w:i w:val="false"/>
                  <w:caps w:val="false"/>
                  <w:smallCaps w:val="false"/>
                  <w:sz w:val="20"/>
                </w:rPr>
                <w:t>Part II</w:t>
              </w:r>
            </w:hyperlink>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hyperlink w:anchor="PARTIIOTHERINFORMATION_907855">
              <w:r>
                <w:rPr>
                  <w:rStyle w:val="InternetLink"/>
                  <w:rFonts w:ascii="Times New Roman;Times;serif" w:hAnsi="Times New Roman;Times;serif"/>
                  <w:b/>
                  <w:i w:val="false"/>
                  <w:caps w:val="false"/>
                  <w:smallCaps w:val="false"/>
                  <w:sz w:val="20"/>
                </w:rPr>
                <w:t>Other Information</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r>
      <w:tr>
        <w:trPr/>
        <w:tc>
          <w:tcPr>
            <w:tcW w:w="1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r>
      <w:tr>
        <w:trPr/>
        <w:tc>
          <w:tcPr>
            <w:tcW w:w="1246" w:type="dxa"/>
            <w:tcBorders/>
            <w:vAlign w:val="center"/>
          </w:tcPr>
          <w:p>
            <w:pPr>
              <w:pStyle w:val="TableContents"/>
              <w:pBdr/>
              <w:bidi w:val="0"/>
              <w:spacing w:before="0" w:after="0"/>
              <w:ind w:left="0" w:right="0" w:hanging="0"/>
              <w:jc w:val="left"/>
              <w:rPr/>
            </w:pPr>
            <w:hyperlink w:anchor="Item1LegalProceedings_54245">
              <w:r>
                <w:rPr>
                  <w:rStyle w:val="InternetLink"/>
                  <w:rFonts w:ascii="Times New Roman;Times;serif" w:hAnsi="Times New Roman;Times;serif"/>
                  <w:b w:val="false"/>
                  <w:i w:val="false"/>
                  <w:caps w:val="false"/>
                  <w:smallCaps w:val="false"/>
                  <w:sz w:val="20"/>
                </w:rPr>
                <w:t>Item 1.</w:t>
              </w:r>
            </w:hyperlink>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hyperlink w:anchor="Item1LegalProceedings_54245">
              <w:r>
                <w:rPr>
                  <w:rStyle w:val="InternetLink"/>
                  <w:rFonts w:ascii="Times New Roman;Times;serif" w:hAnsi="Times New Roman;Times;serif"/>
                  <w:b w:val="false"/>
                  <w:i w:val="false"/>
                  <w:caps w:val="false"/>
                  <w:smallCaps w:val="false"/>
                  <w:sz w:val="20"/>
                </w:rPr>
                <w:t>Legal Proceedings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52</w:t>
            </w:r>
          </w:p>
        </w:tc>
      </w:tr>
      <w:tr>
        <w:trPr/>
        <w:tc>
          <w:tcPr>
            <w:tcW w:w="1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r>
      <w:tr>
        <w:trPr/>
        <w:tc>
          <w:tcPr>
            <w:tcW w:w="1246" w:type="dxa"/>
            <w:tcBorders/>
            <w:vAlign w:val="center"/>
          </w:tcPr>
          <w:p>
            <w:pPr>
              <w:pStyle w:val="TableContents"/>
              <w:pBdr/>
              <w:bidi w:val="0"/>
              <w:spacing w:before="0" w:after="0"/>
              <w:ind w:left="0" w:right="0" w:hanging="0"/>
              <w:jc w:val="left"/>
              <w:rPr/>
            </w:pPr>
            <w:hyperlink w:anchor="Item1ARiskFactors_953988">
              <w:r>
                <w:rPr>
                  <w:rStyle w:val="InternetLink"/>
                  <w:rFonts w:ascii="Times New Roman;Times;serif" w:hAnsi="Times New Roman;Times;serif"/>
                  <w:b w:val="false"/>
                  <w:i w:val="false"/>
                  <w:caps w:val="false"/>
                  <w:smallCaps w:val="false"/>
                  <w:sz w:val="20"/>
                </w:rPr>
                <w:t>Item 1A.</w:t>
              </w:r>
            </w:hyperlink>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hyperlink w:anchor="Item1ARiskFactors_953988">
              <w:r>
                <w:rPr>
                  <w:rStyle w:val="InternetLink"/>
                  <w:rFonts w:ascii="Times New Roman;Times;serif" w:hAnsi="Times New Roman;Times;serif"/>
                  <w:b w:val="false"/>
                  <w:i w:val="false"/>
                  <w:caps w:val="false"/>
                  <w:smallCaps w:val="false"/>
                  <w:sz w:val="20"/>
                </w:rPr>
                <w:t>Risk Factors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52</w:t>
            </w:r>
          </w:p>
        </w:tc>
      </w:tr>
      <w:tr>
        <w:trPr/>
        <w:tc>
          <w:tcPr>
            <w:tcW w:w="1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r>
      <w:tr>
        <w:trPr/>
        <w:tc>
          <w:tcPr>
            <w:tcW w:w="1246" w:type="dxa"/>
            <w:tcBorders/>
            <w:vAlign w:val="center"/>
          </w:tcPr>
          <w:p>
            <w:pPr>
              <w:pStyle w:val="TableContents"/>
              <w:pBdr/>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55</w:t>
            </w:r>
          </w:p>
        </w:tc>
      </w:tr>
      <w:tr>
        <w:trPr/>
        <w:tc>
          <w:tcPr>
            <w:tcW w:w="1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r>
      <w:tr>
        <w:trPr/>
        <w:tc>
          <w:tcPr>
            <w:tcW w:w="1246" w:type="dxa"/>
            <w:tcBorders/>
            <w:vAlign w:val="center"/>
          </w:tcPr>
          <w:p>
            <w:pPr>
              <w:pStyle w:val="TableContents"/>
              <w:pBdr/>
              <w:bidi w:val="0"/>
              <w:spacing w:before="0" w:after="0"/>
              <w:ind w:left="0" w:right="0" w:hanging="0"/>
              <w:jc w:val="left"/>
              <w:rPr/>
            </w:pPr>
            <w:hyperlink w:anchor="Item3DefaultsUponSeniorSecurities_724366">
              <w:r>
                <w:rPr>
                  <w:rStyle w:val="InternetLink"/>
                  <w:rFonts w:ascii="Times New Roman;Times;serif" w:hAnsi="Times New Roman;Times;serif"/>
                  <w:b w:val="false"/>
                  <w:i w:val="false"/>
                  <w:caps w:val="false"/>
                  <w:smallCaps w:val="false"/>
                  <w:sz w:val="20"/>
                </w:rPr>
                <w:t>Item 3.</w:t>
              </w:r>
            </w:hyperlink>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hyperlink w:anchor="Item3DefaultsUponSeniorSecurities_724366">
              <w:r>
                <w:rPr>
                  <w:rStyle w:val="InternetLink"/>
                  <w:rFonts w:ascii="Times New Roman;Times;serif" w:hAnsi="Times New Roman;Times;serif"/>
                  <w:b w:val="false"/>
                  <w:i w:val="false"/>
                  <w:caps w:val="false"/>
                  <w:smallCaps w:val="false"/>
                  <w:sz w:val="20"/>
                </w:rPr>
                <w:t>Defaults Upon Senior Securities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55</w:t>
            </w:r>
          </w:p>
        </w:tc>
      </w:tr>
      <w:tr>
        <w:trPr/>
        <w:tc>
          <w:tcPr>
            <w:tcW w:w="1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r>
      <w:tr>
        <w:trPr/>
        <w:tc>
          <w:tcPr>
            <w:tcW w:w="1246" w:type="dxa"/>
            <w:tcBorders/>
            <w:vAlign w:val="center"/>
          </w:tcPr>
          <w:p>
            <w:pPr>
              <w:pStyle w:val="TableContents"/>
              <w:pBdr/>
              <w:bidi w:val="0"/>
              <w:spacing w:before="0" w:after="0"/>
              <w:ind w:left="0" w:right="0" w:hanging="0"/>
              <w:jc w:val="left"/>
              <w:rPr/>
            </w:pPr>
            <w:hyperlink w:anchor="Item4MineSafetyDisclosures_528908">
              <w:r>
                <w:rPr>
                  <w:rStyle w:val="InternetLink"/>
                  <w:rFonts w:ascii="Times New Roman;Times;serif" w:hAnsi="Times New Roman;Times;serif"/>
                  <w:b w:val="false"/>
                  <w:i w:val="false"/>
                  <w:caps w:val="false"/>
                  <w:smallCaps w:val="false"/>
                  <w:sz w:val="20"/>
                </w:rPr>
                <w:t>Item 4.</w:t>
              </w:r>
            </w:hyperlink>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hyperlink w:anchor="Item4MineSafetyDisclosures_528908">
              <w:r>
                <w:rPr>
                  <w:rStyle w:val="InternetLink"/>
                  <w:rFonts w:ascii="Times New Roman;Times;serif" w:hAnsi="Times New Roman;Times;serif"/>
                  <w:b w:val="false"/>
                  <w:i w:val="false"/>
                  <w:caps w:val="false"/>
                  <w:smallCaps w:val="false"/>
                  <w:sz w:val="20"/>
                </w:rPr>
                <w:t>Mine Safety Disclosures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55</w:t>
            </w:r>
          </w:p>
        </w:tc>
      </w:tr>
      <w:tr>
        <w:trPr/>
        <w:tc>
          <w:tcPr>
            <w:tcW w:w="1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r>
      <w:tr>
        <w:trPr/>
        <w:tc>
          <w:tcPr>
            <w:tcW w:w="1246" w:type="dxa"/>
            <w:tcBorders/>
            <w:vAlign w:val="center"/>
          </w:tcPr>
          <w:p>
            <w:pPr>
              <w:pStyle w:val="TableContents"/>
              <w:pBdr/>
              <w:bidi w:val="0"/>
              <w:spacing w:before="0" w:after="0"/>
              <w:ind w:left="0" w:right="0" w:hanging="0"/>
              <w:jc w:val="left"/>
              <w:rPr/>
            </w:pPr>
            <w:hyperlink w:anchor="Item5OtherInformation_282288">
              <w:r>
                <w:rPr>
                  <w:rStyle w:val="InternetLink"/>
                  <w:rFonts w:ascii="Times New Roman;Times;serif" w:hAnsi="Times New Roman;Times;serif"/>
                  <w:b w:val="false"/>
                  <w:i w:val="false"/>
                  <w:caps w:val="false"/>
                  <w:smallCaps w:val="false"/>
                  <w:sz w:val="20"/>
                </w:rPr>
                <w:t>Item 5.</w:t>
              </w:r>
            </w:hyperlink>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hyperlink w:anchor="Item5OtherInformation_282288">
              <w:r>
                <w:rPr>
                  <w:rStyle w:val="InternetLink"/>
                  <w:rFonts w:ascii="Times New Roman;Times;serif" w:hAnsi="Times New Roman;Times;serif"/>
                  <w:b w:val="false"/>
                  <w:i w:val="false"/>
                  <w:caps w:val="false"/>
                  <w:smallCaps w:val="false"/>
                  <w:sz w:val="20"/>
                </w:rPr>
                <w:t>Other Information</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56</w:t>
            </w:r>
          </w:p>
        </w:tc>
      </w:tr>
      <w:tr>
        <w:trPr/>
        <w:tc>
          <w:tcPr>
            <w:tcW w:w="1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r>
      <w:tr>
        <w:trPr/>
        <w:tc>
          <w:tcPr>
            <w:tcW w:w="1246" w:type="dxa"/>
            <w:tcBorders/>
            <w:vAlign w:val="center"/>
          </w:tcPr>
          <w:p>
            <w:pPr>
              <w:pStyle w:val="TableContents"/>
              <w:pBdr/>
              <w:bidi w:val="0"/>
              <w:spacing w:before="0" w:after="0"/>
              <w:ind w:left="0" w:right="0" w:hanging="0"/>
              <w:jc w:val="left"/>
              <w:rPr/>
            </w:pPr>
            <w:hyperlink w:anchor="Item6Exhibits_665718">
              <w:r>
                <w:rPr>
                  <w:rStyle w:val="InternetLink"/>
                  <w:rFonts w:ascii="Times New Roman;Times;serif" w:hAnsi="Times New Roman;Times;serif"/>
                  <w:b w:val="false"/>
                  <w:i w:val="false"/>
                  <w:caps w:val="false"/>
                  <w:smallCaps w:val="false"/>
                  <w:sz w:val="20"/>
                </w:rPr>
                <w:t>Item 6.</w:t>
              </w:r>
            </w:hyperlink>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hyperlink w:anchor="Item6Exhibits_665718">
              <w:r>
                <w:rPr>
                  <w:rStyle w:val="InternetLink"/>
                  <w:rFonts w:ascii="Times New Roman;Times;serif" w:hAnsi="Times New Roman;Times;serif"/>
                  <w:b w:val="false"/>
                  <w:i w:val="false"/>
                  <w:caps w:val="false"/>
                  <w:smallCaps w:val="false"/>
                  <w:sz w:val="20"/>
                </w:rPr>
                <w:t>Exhibits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56</w:t>
            </w:r>
          </w:p>
        </w:tc>
      </w:tr>
      <w:tr>
        <w:trPr/>
        <w:tc>
          <w:tcPr>
            <w:tcW w:w="1246"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1246" w:type="dxa"/>
            <w:tcBorders/>
            <w:vAlign w:val="center"/>
          </w:tcPr>
          <w:p>
            <w:pPr>
              <w:pStyle w:val="TableContents"/>
              <w:pBdr/>
              <w:bidi w:val="0"/>
              <w:spacing w:before="0" w:after="0"/>
              <w:ind w:left="0" w:right="0" w:hanging="0"/>
              <w:jc w:val="left"/>
              <w:rPr/>
            </w:pPr>
            <w:hyperlink w:anchor="EXHIBITINDEX_861745">
              <w:r>
                <w:rPr>
                  <w:rStyle w:val="InternetLink"/>
                  <w:rFonts w:ascii="Times New Roman;Times;serif" w:hAnsi="Times New Roman;Times;serif"/>
                  <w:b w:val="false"/>
                  <w:i w:val="false"/>
                  <w:caps w:val="false"/>
                  <w:smallCaps w:val="false"/>
                  <w:sz w:val="20"/>
                </w:rPr>
                <w:t>Exhibit Index</w:t>
              </w:r>
            </w:hyperlink>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56</w:t>
            </w:r>
          </w:p>
        </w:tc>
      </w:tr>
      <w:tr>
        <w:trPr/>
        <w:tc>
          <w:tcPr>
            <w:tcW w:w="1246"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r>
      <w:tr>
        <w:trPr/>
        <w:tc>
          <w:tcPr>
            <w:tcW w:w="1246" w:type="dxa"/>
            <w:tcBorders/>
            <w:vAlign w:val="center"/>
          </w:tcPr>
          <w:p>
            <w:pPr>
              <w:pStyle w:val="TableContents"/>
              <w:pBdr/>
              <w:bidi w:val="0"/>
              <w:spacing w:before="0" w:after="0"/>
              <w:ind w:left="0" w:right="0" w:hanging="0"/>
              <w:jc w:val="left"/>
              <w:rPr/>
            </w:pPr>
            <w:hyperlink w:anchor="SIGNATURES_748628">
              <w:r>
                <w:rPr>
                  <w:rStyle w:val="InternetLink"/>
                  <w:rFonts w:ascii="Times New Roman;Times;serif" w:hAnsi="Times New Roman;Times;serif"/>
                  <w:b w:val="false"/>
                  <w:i w:val="false"/>
                  <w:caps w:val="false"/>
                  <w:smallCaps w:val="false"/>
                  <w:sz w:val="20"/>
                </w:rPr>
                <w:t>Signatures</w:t>
              </w:r>
            </w:hyperlink>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57</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5" w:name="_350af4be_5dad_46fe_8091_40c26bac906c"/>
      <w:bookmarkEnd w:id="35"/>
      <w:r>
        <w:rPr>
          <w:rFonts w:ascii="Times New Roman;Times;serif" w:hAnsi="Times New Roman;Times;serif"/>
          <w:b/>
          <w:sz w:val="20"/>
        </w:rPr>
        <w:t>SPECIAL NOTE REGARDING FORWARD-LOOKING STATEMENTS</w:t>
      </w:r>
    </w:p>
    <w:p>
      <w:pPr>
        <w:pStyle w:val="TextBody"/>
        <w:bidi w:val="0"/>
        <w:spacing w:before="0" w:after="0"/>
        <w:ind w:left="0" w:right="0" w:hanging="0"/>
        <w:jc w:val="both"/>
        <w:rPr>
          <w:rFonts w:ascii="Times New Roman;Times;serif" w:hAnsi="Times New Roman;Times;serif"/>
          <w:spacing w:val="4"/>
          <w:sz w:val="20"/>
        </w:rPr>
      </w:pPr>
      <w:r>
        <w:rPr>
          <w:rFonts w:ascii="Times New Roman;Times;serif" w:hAnsi="Times New Roman;Times;serif"/>
          <w:spacing w:val="4"/>
          <w:sz w:val="20"/>
        </w:rPr>
        <w:t>This Quarterly Report on Form 10-Q (“Quarterly Report”) contains forward-looking statements. All statements other than statements of historical facts contained in this Quarterly Report are forward-looking statements. In some cases, forward-looking statements can be identified by terms such as “may,” “will,” “should,” “expect,” “plan,” “anticipate,” “could,” “intend,” “target,” “project,” “contemplate,” “believe,” “estimate,” “predict,” “potential” or “continue” or the negative of these terms or other similar expressions, although not all forward-looking statements contain these words. Forward-looking statements include, but are not limited to, statements concerning:</w:t>
      </w:r>
    </w:p>
    <w:p>
      <w:pPr>
        <w:pStyle w:val="TextBody"/>
        <w:bidi w:val="0"/>
        <w:spacing w:before="0" w:after="0"/>
        <w:ind w:left="0" w:right="0" w:hanging="0"/>
        <w:jc w:val="both"/>
        <w:rPr>
          <w:spacing w:val="4"/>
        </w:rPr>
      </w:pPr>
      <w:r>
        <w:rPr>
          <w:spacing w:val="4"/>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the commercial opportunities stemming from the development of our product candidates for multiple immunology and inflammation (“I&amp;I”) diseases;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pacing w:val="4"/>
                <w:sz w:val="20"/>
              </w:rPr>
              <w:t>our ability to develop and, if approved, ultimately commercialize our product candidates and, with partners, our other programs;</w:t>
            </w:r>
          </w:p>
        </w:tc>
      </w:tr>
    </w:tbl>
    <w:tbl>
      <w:tblPr>
        <w:tblW w:w="8490" w:type="dxa"/>
        <w:jc w:val="left"/>
        <w:tblInd w:w="0" w:type="dxa"/>
        <w:tblLayout w:type="fixed"/>
        <w:tblCellMar>
          <w:top w:w="28" w:type="dxa"/>
          <w:left w:w="28" w:type="dxa"/>
          <w:bottom w:w="28" w:type="dxa"/>
          <w:right w:w="28" w:type="dxa"/>
        </w:tblCellMar>
      </w:tblPr>
      <w:tblGrid>
        <w:gridCol w:w="124"/>
        <w:gridCol w:w="256"/>
        <w:gridCol w:w="8110"/>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10"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pacing w:val="4"/>
                <w:sz w:val="20"/>
              </w:rPr>
              <w:t>our ability to obtain or maintain orphan drug designation for certain of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pacing w:val="4"/>
                <w:sz w:val="20"/>
              </w:rPr>
              <w:t>the initiation, timing, progress, results, and cost of our development programs, and our current and future preclinical and clinical studies, including statements regarding the timing of initiation and completion of our clinical trials, and the period during which the results of the trials will become available;</w:t>
            </w:r>
          </w:p>
        </w:tc>
      </w:tr>
    </w:tbl>
    <w:tbl>
      <w:tblPr>
        <w:tblW w:w="7479" w:type="dxa"/>
        <w:jc w:val="left"/>
        <w:tblInd w:w="0" w:type="dxa"/>
        <w:tblLayout w:type="fixed"/>
        <w:tblCellMar>
          <w:top w:w="28" w:type="dxa"/>
          <w:left w:w="28" w:type="dxa"/>
          <w:bottom w:w="28" w:type="dxa"/>
          <w:right w:w="28" w:type="dxa"/>
        </w:tblCellMar>
      </w:tblPr>
      <w:tblGrid>
        <w:gridCol w:w="124"/>
        <w:gridCol w:w="256"/>
        <w:gridCol w:w="7099"/>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99"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pacing w:val="4"/>
                <w:sz w:val="20"/>
              </w:rPr>
              <w:t>the success, cost and timing of our clinical development of our product candidates;</w:t>
            </w:r>
          </w:p>
        </w:tc>
      </w:tr>
    </w:tbl>
    <w:tbl>
      <w:tblPr>
        <w:tblW w:w="6635" w:type="dxa"/>
        <w:jc w:val="left"/>
        <w:tblInd w:w="0" w:type="dxa"/>
        <w:tblLayout w:type="fixed"/>
        <w:tblCellMar>
          <w:top w:w="28" w:type="dxa"/>
          <w:left w:w="28" w:type="dxa"/>
          <w:bottom w:w="28" w:type="dxa"/>
          <w:right w:w="28" w:type="dxa"/>
        </w:tblCellMar>
      </w:tblPr>
      <w:tblGrid>
        <w:gridCol w:w="124"/>
        <w:gridCol w:w="256"/>
        <w:gridCol w:w="625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55"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pacing w:val="4"/>
                <w:sz w:val="20"/>
              </w:rPr>
              <w:t>our ability to establish clinical differentiation of our product candidates;</w:t>
            </w:r>
          </w:p>
        </w:tc>
      </w:tr>
    </w:tbl>
    <w:tbl>
      <w:tblPr>
        <w:tblW w:w="7228" w:type="dxa"/>
        <w:jc w:val="left"/>
        <w:tblInd w:w="0" w:type="dxa"/>
        <w:tblLayout w:type="fixed"/>
        <w:tblCellMar>
          <w:top w:w="28" w:type="dxa"/>
          <w:left w:w="28" w:type="dxa"/>
          <w:bottom w:w="28" w:type="dxa"/>
          <w:right w:w="28" w:type="dxa"/>
        </w:tblCellMar>
      </w:tblPr>
      <w:tblGrid>
        <w:gridCol w:w="124"/>
        <w:gridCol w:w="256"/>
        <w:gridCol w:w="6848"/>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48"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pacing w:val="4"/>
                <w:sz w:val="20"/>
              </w:rPr>
              <w:t>our ability to develop product candidates that have broad therapeutic potential;</w:t>
            </w:r>
          </w:p>
        </w:tc>
      </w:tr>
    </w:tbl>
    <w:tbl>
      <w:tblPr>
        <w:tblW w:w="8855" w:type="dxa"/>
        <w:jc w:val="left"/>
        <w:tblInd w:w="0" w:type="dxa"/>
        <w:tblLayout w:type="fixed"/>
        <w:tblCellMar>
          <w:top w:w="28" w:type="dxa"/>
          <w:left w:w="28" w:type="dxa"/>
          <w:bottom w:w="28" w:type="dxa"/>
          <w:right w:w="28" w:type="dxa"/>
        </w:tblCellMar>
      </w:tblPr>
      <w:tblGrid>
        <w:gridCol w:w="124"/>
        <w:gridCol w:w="256"/>
        <w:gridCol w:w="847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75"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pacing w:val="4"/>
                <w:sz w:val="20"/>
              </w:rPr>
              <w:t>our ability to utilize our business development strategy and expertise to build a balanced portfolio;</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pacing w:val="4"/>
                <w:sz w:val="20"/>
              </w:rPr>
              <w:t>our ability to build our operational and commercial capabilities for supplying and marketing our products, if approved, in key markets;</w:t>
            </w:r>
          </w:p>
        </w:tc>
      </w:tr>
    </w:tbl>
    <w:tbl>
      <w:tblPr>
        <w:tblW w:w="10160" w:type="dxa"/>
        <w:jc w:val="left"/>
        <w:tblInd w:w="0" w:type="dxa"/>
        <w:tblLayout w:type="fixed"/>
        <w:tblCellMar>
          <w:top w:w="28" w:type="dxa"/>
          <w:left w:w="28" w:type="dxa"/>
          <w:bottom w:w="28" w:type="dxa"/>
          <w:right w:w="28" w:type="dxa"/>
        </w:tblCellMar>
      </w:tblPr>
      <w:tblGrid>
        <w:gridCol w:w="124"/>
        <w:gridCol w:w="256"/>
        <w:gridCol w:w="9780"/>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80"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pacing w:val="4"/>
                <w:sz w:val="20"/>
              </w:rPr>
              <w:t>market conditions in the biopharmaceutical sector and issuance of securities analysts’ reports or recommendations;</w:t>
            </w:r>
          </w:p>
        </w:tc>
      </w:tr>
    </w:tbl>
    <w:tbl>
      <w:tblPr>
        <w:tblW w:w="3991" w:type="dxa"/>
        <w:jc w:val="left"/>
        <w:tblInd w:w="0" w:type="dxa"/>
        <w:tblLayout w:type="fixed"/>
        <w:tblCellMar>
          <w:top w:w="28" w:type="dxa"/>
          <w:left w:w="28" w:type="dxa"/>
          <w:bottom w:w="28" w:type="dxa"/>
          <w:right w:w="28" w:type="dxa"/>
        </w:tblCellMar>
      </w:tblPr>
      <w:tblGrid>
        <w:gridCol w:w="124"/>
        <w:gridCol w:w="256"/>
        <w:gridCol w:w="3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11"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pacing w:val="4"/>
                <w:sz w:val="20"/>
              </w:rPr>
              <w:t>the trading volume of our common stock;</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pacing w:val="4"/>
                <w:sz w:val="20"/>
              </w:rPr>
              <w:t xml:space="preserve">an inability to obtain additional funding and make future royalty payments under our Revenue Participation Right Purchase and Sale Agreement (“Royalty Purchase Agreement”) with </w:t>
            </w:r>
            <w:r>
              <w:rPr>
                <w:rFonts w:ascii="Times New Roman;Times;serif" w:hAnsi="Times New Roman;Times;serif"/>
                <w:b w:val="false"/>
                <w:i w:val="false"/>
                <w:caps w:val="false"/>
                <w:smallCaps w:val="false"/>
                <w:sz w:val="20"/>
              </w:rPr>
              <w:t>Royalty Pharma Investments 2019 ICAV (“Royalty Pharma”);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pacing w:val="4"/>
                <w:sz w:val="20"/>
              </w:rPr>
              <w:t>an inability to obtain additional funding and make borrowings under our agreement with BioPharma Credit PLC (the “Collateral Agent”), BPCR Limited Partnership and BioPharma Credit Investments V (Master) LP, which are funds managed by Pharmakon Advisors, LP (collectively, “Pharmakon”), and the guarantors party to such agreement (the “Loan Agreement”);</w:t>
            </w:r>
          </w:p>
        </w:tc>
      </w:tr>
    </w:tbl>
    <w:tbl>
      <w:tblPr>
        <w:tblW w:w="9610" w:type="dxa"/>
        <w:jc w:val="left"/>
        <w:tblInd w:w="0" w:type="dxa"/>
        <w:tblLayout w:type="fixed"/>
        <w:tblCellMar>
          <w:top w:w="28" w:type="dxa"/>
          <w:left w:w="28" w:type="dxa"/>
          <w:bottom w:w="28" w:type="dxa"/>
          <w:right w:w="28" w:type="dxa"/>
        </w:tblCellMar>
      </w:tblPr>
      <w:tblGrid>
        <w:gridCol w:w="124"/>
        <w:gridCol w:w="256"/>
        <w:gridCol w:w="9230"/>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30"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pacing w:val="4"/>
                <w:sz w:val="20"/>
              </w:rPr>
              <w:t>our ability to initiate, recruit and enroll patients in and conduct our clinical trials at the pace that we project;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pacing w:val="4"/>
                <w:sz w:val="20"/>
              </w:rPr>
              <w:t>our ability to obtain and maintain regulatory approval of our product candidates, and any related restrictions, limitations or warnings in the label of any of our product candidates, if approved;</w:t>
            </w:r>
          </w:p>
        </w:tc>
      </w:tr>
    </w:tbl>
    <w:tbl>
      <w:tblPr>
        <w:tblW w:w="9294" w:type="dxa"/>
        <w:jc w:val="left"/>
        <w:tblInd w:w="0" w:type="dxa"/>
        <w:tblLayout w:type="fixed"/>
        <w:tblCellMar>
          <w:top w:w="28" w:type="dxa"/>
          <w:left w:w="28" w:type="dxa"/>
          <w:bottom w:w="28" w:type="dxa"/>
          <w:right w:w="28" w:type="dxa"/>
        </w:tblCellMar>
      </w:tblPr>
      <w:tblGrid>
        <w:gridCol w:w="124"/>
        <w:gridCol w:w="256"/>
        <w:gridCol w:w="891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14"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pacing w:val="4"/>
                <w:sz w:val="20"/>
              </w:rPr>
              <w:t>our reliance on third parties to manufacture drug substance and drug product for use in our clinical trials;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4394" w:type="dxa"/>
        <w:jc w:val="left"/>
        <w:tblInd w:w="0" w:type="dxa"/>
        <w:tblLayout w:type="fixed"/>
        <w:tblCellMar>
          <w:top w:w="28" w:type="dxa"/>
          <w:left w:w="28" w:type="dxa"/>
          <w:bottom w:w="28" w:type="dxa"/>
          <w:right w:w="28" w:type="dxa"/>
        </w:tblCellMar>
      </w:tblPr>
      <w:tblGrid>
        <w:gridCol w:w="124"/>
        <w:gridCol w:w="256"/>
        <w:gridCol w:w="401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14"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pacing w:val="4"/>
                <w:sz w:val="20"/>
              </w:rPr>
              <w:t>our ability to retain and recruit key personnel;</w:t>
            </w:r>
          </w:p>
        </w:tc>
      </w:tr>
    </w:tbl>
    <w:tbl>
      <w:tblPr>
        <w:tblW w:w="6548" w:type="dxa"/>
        <w:jc w:val="left"/>
        <w:tblInd w:w="0" w:type="dxa"/>
        <w:tblLayout w:type="fixed"/>
        <w:tblCellMar>
          <w:top w:w="28" w:type="dxa"/>
          <w:left w:w="28" w:type="dxa"/>
          <w:bottom w:w="28" w:type="dxa"/>
          <w:right w:w="28" w:type="dxa"/>
        </w:tblCellMar>
      </w:tblPr>
      <w:tblGrid>
        <w:gridCol w:w="124"/>
        <w:gridCol w:w="256"/>
        <w:gridCol w:w="6168"/>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68"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pacing w:val="4"/>
                <w:sz w:val="20"/>
              </w:rPr>
              <w:t>our ability to obtain and maintain adequate intellectual property rights;</w:t>
            </w:r>
          </w:p>
        </w:tc>
      </w:tr>
    </w:tbl>
    <w:tbl>
      <w:tblPr>
        <w:tblW w:w="8194" w:type="dxa"/>
        <w:jc w:val="left"/>
        <w:tblInd w:w="0" w:type="dxa"/>
        <w:tblLayout w:type="fixed"/>
        <w:tblCellMar>
          <w:top w:w="28" w:type="dxa"/>
          <w:left w:w="28" w:type="dxa"/>
          <w:bottom w:w="28" w:type="dxa"/>
          <w:right w:w="28" w:type="dxa"/>
        </w:tblCellMar>
      </w:tblPr>
      <w:tblGrid>
        <w:gridCol w:w="124"/>
        <w:gridCol w:w="256"/>
        <w:gridCol w:w="781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14"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pacing w:val="4"/>
                <w:sz w:val="20"/>
              </w:rPr>
              <w:t>our expectations regarding government and third-party payor coverage and reimbursement;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the impact of current and future healthcare reforms, including those affecting the delivery of or payment for healthcare products and services;</w:t>
            </w:r>
          </w:p>
        </w:tc>
      </w:tr>
    </w:tbl>
    <w:tbl>
      <w:tblPr>
        <w:tblW w:w="7026" w:type="dxa"/>
        <w:jc w:val="left"/>
        <w:tblInd w:w="0" w:type="dxa"/>
        <w:tblLayout w:type="fixed"/>
        <w:tblCellMar>
          <w:top w:w="28" w:type="dxa"/>
          <w:left w:w="28" w:type="dxa"/>
          <w:bottom w:w="28" w:type="dxa"/>
          <w:right w:w="28" w:type="dxa"/>
        </w:tblCellMar>
      </w:tblPr>
      <w:tblGrid>
        <w:gridCol w:w="124"/>
        <w:gridCol w:w="256"/>
        <w:gridCol w:w="6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our expectations regarding federal, state and foreign regulatory requirements;</w:t>
            </w:r>
          </w:p>
        </w:tc>
      </w:tr>
    </w:tbl>
    <w:tbl>
      <w:tblPr>
        <w:tblW w:w="10027" w:type="dxa"/>
        <w:jc w:val="left"/>
        <w:tblInd w:w="0" w:type="dxa"/>
        <w:tblLayout w:type="fixed"/>
        <w:tblCellMar>
          <w:top w:w="28" w:type="dxa"/>
          <w:left w:w="28" w:type="dxa"/>
          <w:bottom w:w="28" w:type="dxa"/>
          <w:right w:w="28" w:type="dxa"/>
        </w:tblCellMar>
      </w:tblPr>
      <w:tblGrid>
        <w:gridCol w:w="124"/>
        <w:gridCol w:w="256"/>
        <w:gridCol w:w="9647"/>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4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other governmental legislation and regulation, as well as adverse effects from a shutdown of the U.S. government;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our estimates of our expenses, ongoing losses, capital requirements and our needs for or ability to obtain additional financing;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pacing w:val="4"/>
                <w:sz w:val="20"/>
              </w:rPr>
              <w:t>our existing cash and the sufficiency of our existing cash and proceeds from future capital-raising efforts, if any, to fund our future operating expenses and capital expenditure requirements;</w:t>
            </w:r>
          </w:p>
        </w:tc>
      </w:tr>
    </w:tbl>
    <w:tbl>
      <w:tblPr>
        <w:tblW w:w="5549" w:type="dxa"/>
        <w:jc w:val="left"/>
        <w:tblInd w:w="0" w:type="dxa"/>
        <w:tblLayout w:type="fixed"/>
        <w:tblCellMar>
          <w:top w:w="28" w:type="dxa"/>
          <w:left w:w="28" w:type="dxa"/>
          <w:bottom w:w="28" w:type="dxa"/>
          <w:right w:w="28" w:type="dxa"/>
        </w:tblCellMar>
      </w:tblPr>
      <w:tblGrid>
        <w:gridCol w:w="124"/>
        <w:gridCol w:w="256"/>
        <w:gridCol w:w="5169"/>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69"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pacing w:val="4"/>
                <w:sz w:val="20"/>
              </w:rPr>
              <w:t>the potential benefits of strategic collaboration agreements;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pacing w:val="4"/>
                <w:sz w:val="20"/>
              </w:rPr>
              <w:t>our ability to identify and enter into strategic collaborations or arrangements, including potential business development opportunities and potential licensing partnerships, and our ability to attract collaborators with development, regulatory and commercialization expertise;</w:t>
            </w:r>
          </w:p>
        </w:tc>
      </w:tr>
    </w:tbl>
    <w:tbl>
      <w:tblPr>
        <w:tblW w:w="5254" w:type="dxa"/>
        <w:jc w:val="left"/>
        <w:tblInd w:w="0" w:type="dxa"/>
        <w:tblLayout w:type="fixed"/>
        <w:tblCellMar>
          <w:top w:w="28" w:type="dxa"/>
          <w:left w:w="28" w:type="dxa"/>
          <w:bottom w:w="28" w:type="dxa"/>
          <w:right w:w="28" w:type="dxa"/>
        </w:tblCellMar>
      </w:tblPr>
      <w:tblGrid>
        <w:gridCol w:w="124"/>
        <w:gridCol w:w="256"/>
        <w:gridCol w:w="487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7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sales of our stock by us, our insiders or our stockholders;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pacing w:val="4"/>
                <w:sz w:val="20"/>
              </w:rPr>
              <w:t>our expectations regarding the time during which we will be an emerging growth company and smaller reporting company under the Jumpstart Our Business Startups Act of 2012, as amended (the “JOBS Act”);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pacing w:val="4"/>
                <w:sz w:val="20"/>
              </w:rPr>
              <w:t>general economic, industry, geopolitical and market conditions, such as military conflict or war, inflation and financial institution instability, tariffs and other trade measures, or pandemic or epidemic disease outbreaks, many of which are beyond our control;</w:t>
            </w:r>
          </w:p>
        </w:tc>
      </w:tr>
    </w:tbl>
    <w:tbl>
      <w:tblPr>
        <w:tblW w:w="6683" w:type="dxa"/>
        <w:jc w:val="left"/>
        <w:tblInd w:w="0" w:type="dxa"/>
        <w:tblLayout w:type="fixed"/>
        <w:tblCellMar>
          <w:top w:w="28" w:type="dxa"/>
          <w:left w:w="28" w:type="dxa"/>
          <w:bottom w:w="28" w:type="dxa"/>
          <w:right w:w="28" w:type="dxa"/>
        </w:tblCellMar>
      </w:tblPr>
      <w:tblGrid>
        <w:gridCol w:w="124"/>
        <w:gridCol w:w="256"/>
        <w:gridCol w:w="6303"/>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03"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pacing w:val="4"/>
                <w:sz w:val="20"/>
              </w:rPr>
              <w:t>additions or departures of senior management, directors or key personnel;</w:t>
            </w:r>
          </w:p>
        </w:tc>
      </w:tr>
    </w:tbl>
    <w:tbl>
      <w:tblPr>
        <w:tblW w:w="2756" w:type="dxa"/>
        <w:jc w:val="left"/>
        <w:tblInd w:w="0" w:type="dxa"/>
        <w:tblLayout w:type="fixed"/>
        <w:tblCellMar>
          <w:top w:w="28" w:type="dxa"/>
          <w:left w:w="28" w:type="dxa"/>
          <w:bottom w:w="28" w:type="dxa"/>
          <w:right w:w="28" w:type="dxa"/>
        </w:tblCellMar>
      </w:tblPr>
      <w:tblGrid>
        <w:gridCol w:w="124"/>
        <w:gridCol w:w="256"/>
        <w:gridCol w:w="23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376"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pacing w:val="4"/>
                <w:sz w:val="20"/>
              </w:rPr>
              <w:t>our financial performance;</w:t>
            </w:r>
          </w:p>
        </w:tc>
      </w:tr>
    </w:tbl>
    <w:tbl>
      <w:tblPr>
        <w:tblW w:w="7055" w:type="dxa"/>
        <w:jc w:val="left"/>
        <w:tblInd w:w="0" w:type="dxa"/>
        <w:tblLayout w:type="fixed"/>
        <w:tblCellMar>
          <w:top w:w="28" w:type="dxa"/>
          <w:left w:w="28" w:type="dxa"/>
          <w:bottom w:w="28" w:type="dxa"/>
          <w:right w:w="28" w:type="dxa"/>
        </w:tblCellMar>
      </w:tblPr>
      <w:tblGrid>
        <w:gridCol w:w="124"/>
        <w:gridCol w:w="256"/>
        <w:gridCol w:w="667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75"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pacing w:val="4"/>
                <w:sz w:val="20"/>
              </w:rPr>
              <w:t>developments and projections relating to our competitors or our industry; and</w:t>
            </w:r>
          </w:p>
        </w:tc>
      </w:tr>
    </w:tbl>
    <w:tbl>
      <w:tblPr>
        <w:tblW w:w="8104" w:type="dxa"/>
        <w:jc w:val="left"/>
        <w:tblInd w:w="0" w:type="dxa"/>
        <w:tblLayout w:type="fixed"/>
        <w:tblCellMar>
          <w:top w:w="28" w:type="dxa"/>
          <w:left w:w="28" w:type="dxa"/>
          <w:bottom w:w="28" w:type="dxa"/>
          <w:right w:w="28" w:type="dxa"/>
        </w:tblCellMar>
      </w:tblPr>
      <w:tblGrid>
        <w:gridCol w:w="124"/>
        <w:gridCol w:w="256"/>
        <w:gridCol w:w="772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24"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pacing w:val="4"/>
                <w:sz w:val="20"/>
              </w:rPr>
              <w:t>other risks and uncertainties, including those included in the section titled “Risk Factors.”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forward-looking statements in this Quarterly Report may prove incorrect. These forward-looking statements speak only as of the date of this Quarterly Report and are subject to a number of known and unknown risks, uncertainties and assumptions, including those described under the sections titled “Risk Factors” and “Management’s Discussion and Analysis of Financial Condition and Results of Operations” and elsewhere in this Quarterly Report and in the section titled “</w:t>
      </w:r>
      <w:r>
        <w:rPr>
          <w:rFonts w:ascii="Times New Roman;Times;serif" w:hAnsi="Times New Roman;Times;serif"/>
          <w:i/>
          <w:sz w:val="20"/>
        </w:rPr>
        <w:t>Risk Factors</w:t>
      </w:r>
      <w:r>
        <w:rPr>
          <w:rFonts w:ascii="Times New Roman;Times;serif" w:hAnsi="Times New Roman;Times;serif"/>
          <w:sz w:val="20"/>
        </w:rPr>
        <w:t>” in our Annual Report on Form 10-K for the fiscal year ended December 31, 2025 and in our other filings with the Securities and Exchange Commission (the “SEC”). 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should not be unduly relied upon. Because forward-looking statements are inherently subject to risks and uncertainties, some of which cannot be predicted or quantified and some of which are beyond our control, these forward-looking statements should not be relied upon as guarantees of future events. The events and circumstances reflected in our forward-looking statements may not be achieved or occur and actual future results, levels of activity, performance and events and circumstances could differ materially from those projected in the forward-looking statements. Moreover, we operate in an evolving environment. New risks and uncertainties may emerge from time to time, and management cannot predict all risks and uncertainties. Except as required by applicable law, we do not undertake to publicly update or revise any forward-looking statements contained herein, whether as a result of any new information, future events, changed circumstances or otherwise.</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NOTE REGARDING TRADEMARKS </w:t>
      </w:r>
    </w:p>
    <w:p>
      <w:pPr>
        <w:pStyle w:val="TextBody"/>
        <w:bidi w:val="0"/>
        <w:spacing w:before="0" w:after="0"/>
        <w:ind w:left="0" w:right="0" w:firstLine="54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Zenas BioPharma word mark, logo mark, and the “lightning bolt” design are trademarks of Zenas BioPharma, Inc. or its affiliated companies.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in certain cases, omitted the ® and ™ designations for these trademarks used in this Quarterly Report. Nevertheless, all rights to such trademarks are owned by Zenas BioPharma, Inc. or its affiliates. Other trademarks referenced in this Quarterly Report are the property of their respective owners.</w:t>
      </w:r>
    </w:p>
    <w:p>
      <w:pPr>
        <w:pStyle w:val="TextBody"/>
        <w:bidi w:val="0"/>
        <w:spacing w:before="0" w:after="0"/>
        <w:ind w:left="0" w:right="0" w:hanging="0"/>
        <w:jc w:val="both"/>
        <w:rPr/>
      </w:pPr>
      <w:r>
        <w:rPr/>
        <w:t>​</w:t>
      </w:r>
    </w:p>
    <w:p>
      <w:pPr>
        <w:pStyle w:val="TextBody"/>
        <w:bidi w:val="0"/>
        <w:spacing w:before="0" w:after="0"/>
        <w:ind w:left="0" w:right="0" w:hanging="0"/>
        <w:jc w:val="left"/>
        <w:rPr>
          <w:shd w:fill="FFFF00" w:val="clear"/>
        </w:rPr>
      </w:pPr>
      <w:r>
        <w:rPr>
          <w:shd w:fill="FFFF00"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36" w:name="PARTIFINANCIALINFORMATION_860836"/>
      <w:bookmarkStart w:id="37" w:name="_c74fbe15_17c7_46f1_b21f_6b6b851a45d3"/>
      <w:bookmarkEnd w:id="36"/>
      <w:bookmarkEnd w:id="37"/>
      <w:r>
        <w:rPr>
          <w:rFonts w:ascii="Times New Roman;Times;serif" w:hAnsi="Times New Roman;Times;serif"/>
          <w:sz w:val="20"/>
        </w:rPr>
        <w:t>PART I —FINANCIAL INFORMATION</w:t>
      </w:r>
    </w:p>
    <w:p>
      <w:pPr>
        <w:pStyle w:val="TextBody"/>
        <w:bidi w:val="0"/>
        <w:spacing w:before="0" w:after="0"/>
        <w:ind w:left="0" w:right="0" w:hanging="0"/>
        <w:jc w:val="left"/>
        <w:rPr>
          <w:rFonts w:ascii="Times New Roman;Times;serif" w:hAnsi="Times New Roman;Times;serif"/>
          <w:b/>
          <w:sz w:val="20"/>
        </w:rPr>
      </w:pPr>
      <w:bookmarkStart w:id="38" w:name="Item1FinancialStatements_205649"/>
      <w:bookmarkEnd w:id="38"/>
      <w:r>
        <w:rPr>
          <w:rFonts w:ascii="Times New Roman;Times;serif" w:hAnsi="Times New Roman;Times;serif"/>
          <w:b/>
          <w:sz w:val="20"/>
        </w:rPr>
        <w:t>Item 1.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Zenas BioPharma, Inc.</w:t>
      </w:r>
    </w:p>
    <w:p>
      <w:pPr>
        <w:pStyle w:val="TextBody"/>
        <w:bidi w:val="0"/>
        <w:spacing w:before="0" w:after="0"/>
        <w:ind w:left="0" w:right="0" w:hanging="0"/>
        <w:jc w:val="center"/>
        <w:rPr>
          <w:rFonts w:ascii="Times New Roman;Times;serif" w:hAnsi="Times New Roman;Times;serif"/>
          <w:b/>
          <w:sz w:val="20"/>
        </w:rPr>
      </w:pPr>
      <w:bookmarkStart w:id="39" w:name="ConsolidatedBalanceSheets_69127"/>
      <w:bookmarkEnd w:id="39"/>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Normal"/>
        <w:bidi w:val="0"/>
        <w:spacing w:before="0" w:after="0"/>
        <w:jc w:val="left"/>
        <w:rPr>
          <w:sz w:val="4"/>
          <w:szCs w:val="4"/>
        </w:rPr>
      </w:pPr>
      <w:r>
        <w:rPr>
          <w:sz w:val="4"/>
          <w:szCs w:val="4"/>
        </w:rPr>
      </w:r>
      <w:bookmarkStart w:id="40" w:name="Tc_vkEa6mJl4EGu4kxa6vkAWg_35_5"/>
      <w:bookmarkStart w:id="41" w:name="Tc_8WkGx1_AZ0OYyQAFaVCY0Q_35_2"/>
      <w:bookmarkStart w:id="42" w:name="Tc_hiaMvmpR4kW4KZUMjVHV0A_35_0"/>
      <w:bookmarkStart w:id="43" w:name="Tc_ZhfBxbe10ESJjeRkTYJCdA_34_0"/>
      <w:bookmarkStart w:id="44" w:name="Tc_OwSefyrrw0i2VXtvLjnTwA_33_0"/>
      <w:bookmarkStart w:id="45" w:name="Tc_pVdeVYiL2k2IeAoS3Iq8CQ_32_0"/>
      <w:bookmarkStart w:id="46" w:name="Tc_74ZsEmJoZUa0IuM7PXvqmg_31_0"/>
      <w:bookmarkStart w:id="47" w:name="Tc_ihwqtQPKkku5lY-yqiRXlQ_30_0"/>
      <w:bookmarkStart w:id="48" w:name="Tc_NxoioylZ6EKTm6ekHkM9kA_29_6"/>
      <w:bookmarkStart w:id="49" w:name="Tc_x3AJQf5UyUi6oJdYvnjKTg_29_3"/>
      <w:bookmarkStart w:id="50" w:name="Tc_zXmlPsU9mUmDDjRPtuN7xg_29_0"/>
      <w:bookmarkStart w:id="51" w:name="Tc_exx8tLq8XEKO-7Mc96C_sQ_28_0"/>
      <w:bookmarkStart w:id="52" w:name="Tc_wZOQzvZbxU6XeV0NANOaZQ_27_0"/>
      <w:bookmarkStart w:id="53" w:name="Tc_g4YdpC4BnUexFF_yGFYC0w_26_0"/>
      <w:bookmarkStart w:id="54" w:name="Tc_LGRN7hdoWkK-v2grZwBMvQ_25_0"/>
      <w:bookmarkStart w:id="55" w:name="Tc_9BVkuJ_fM0ej7jc7PqmZDw_24_0"/>
      <w:bookmarkStart w:id="56" w:name="Tc_hXnmWFExkUiaIrjlKoQESQ_23_6"/>
      <w:bookmarkStart w:id="57" w:name="Tc_VNp_P8HGS06iP7S9DQQ7yA_23_0"/>
      <w:bookmarkStart w:id="58" w:name="Tc_u9FZ11Bdw0ONSNj3WKs76A_22_6"/>
      <w:bookmarkStart w:id="59" w:name="Tc_O-uZBZWyc0mFj1i1E53cjA_22_0"/>
      <w:bookmarkStart w:id="60" w:name="Tc_CPkGpxr0PU2-hPjEUqT0lw_21_0"/>
      <w:bookmarkStart w:id="61" w:name="Tc_6gLBHG8kdUCmGWG9mgFr7Q_20_0"/>
      <w:bookmarkStart w:id="62" w:name="Tc_Lp0GwvsXukiMtGaSPh4ZTQ_19_0"/>
      <w:bookmarkStart w:id="63" w:name="Tc_dzMBYJOwp0G2ADBwHidMcA_18_0"/>
      <w:bookmarkStart w:id="64" w:name="Tc_fxart5BGFUu9qJiD4QcOtA_17_0"/>
      <w:bookmarkStart w:id="65" w:name="Tc_-tikfkl-tk24z0IlFZ6hHA_16_5"/>
      <w:bookmarkStart w:id="66" w:name="Tc_wRviL9fjd0q15hKO43q58g_16_2"/>
      <w:bookmarkStart w:id="67" w:name="Tc_64Tig4xnXEa5DLwV2Cu3fw_16_0"/>
      <w:bookmarkStart w:id="68" w:name="Tc_davoHBeZ4EKH_O9JAUmFqg_15_0"/>
      <w:bookmarkStart w:id="69" w:name="Tc_APDXbiNEskS6bFaCZgxj_g_14_0"/>
      <w:bookmarkStart w:id="70" w:name="Tc_nWaYbyW-MEOnJrPGRxbniA_13_5"/>
      <w:bookmarkStart w:id="71" w:name="Tc_Lgvq2axsT0-kCba8xxv6Bg_13_2"/>
      <w:bookmarkStart w:id="72" w:name="Tc_ypmDwoZ2aU-uL6S_z0mV_g_13_0"/>
      <w:bookmarkStart w:id="73" w:name="Tc_iiRIR47fgUOCt9fRPLeI1A_12_0"/>
      <w:bookmarkStart w:id="74" w:name="Tc_Ag1DZT4L4Eip2ja7TJW0Gg_11_0"/>
      <w:bookmarkStart w:id="75" w:name="Tc_Qn-9sppPTkyZu3371m9q5w_10_0"/>
      <w:bookmarkStart w:id="76" w:name="Tc_4arGkb1kDUiHCvFImk2IkQ_9_0"/>
      <w:bookmarkStart w:id="77" w:name="Tc_cf744CZLw0GotflAPbggqw_8_0"/>
      <w:bookmarkStart w:id="78" w:name="Tc_SlnK7yCdcEe-sFxr_HIKVA_7_0"/>
      <w:bookmarkStart w:id="79" w:name="Tc_391zXHnoLUqhPWUj0JlAww_6_0"/>
      <w:bookmarkStart w:id="80" w:name="Tc_2m6lJ4sFqk6ca6MVwxrUAA_5_5"/>
      <w:bookmarkStart w:id="81" w:name="Tc_UIlpfyiCXU-SClpoDYbfDQ_5_2"/>
      <w:bookmarkStart w:id="82" w:name="Tc_u4SNuJIwOUizk0Bk3alzdQ_5_0"/>
      <w:bookmarkStart w:id="83" w:name="Tc_pDzuE0dELUyglNHfjyO_QA_4_0"/>
      <w:bookmarkStart w:id="84" w:name="Tc_LTnI1zNVuUCR-eBJqN40ZQ_3_0"/>
      <w:bookmarkStart w:id="85" w:name="Tc_TbRsnTc2DUiUEdBc9S4Qsg_2_5"/>
      <w:bookmarkStart w:id="86" w:name="Tc_ETSHtvtuwkyFswOHLJeRVw_2_2"/>
      <w:bookmarkStart w:id="87" w:name="Tc_osVP2BcXPku70tqZUNgQzQ_1_5"/>
      <w:bookmarkStart w:id="88" w:name="Tc_tkIj2HdU4Uqi-nDx_Y8M7g_1_2"/>
      <w:bookmarkStart w:id="89" w:name="_df8f11d5_6bc1_4307_a15a_3eaa1942a940"/>
      <w:bookmarkStart w:id="90" w:name="Tc_vkEa6mJl4EGu4kxa6vkAWg_35_5"/>
      <w:bookmarkStart w:id="91" w:name="Tc_8WkGx1_AZ0OYyQAFaVCY0Q_35_2"/>
      <w:bookmarkStart w:id="92" w:name="Tc_hiaMvmpR4kW4KZUMjVHV0A_35_0"/>
      <w:bookmarkStart w:id="93" w:name="Tc_ZhfBxbe10ESJjeRkTYJCdA_34_0"/>
      <w:bookmarkStart w:id="94" w:name="Tc_OwSefyrrw0i2VXtvLjnTwA_33_0"/>
      <w:bookmarkStart w:id="95" w:name="Tc_pVdeVYiL2k2IeAoS3Iq8CQ_32_0"/>
      <w:bookmarkStart w:id="96" w:name="Tc_74ZsEmJoZUa0IuM7PXvqmg_31_0"/>
      <w:bookmarkStart w:id="97" w:name="Tc_ihwqtQPKkku5lY-yqiRXlQ_30_0"/>
      <w:bookmarkStart w:id="98" w:name="Tc_NxoioylZ6EKTm6ekHkM9kA_29_6"/>
      <w:bookmarkStart w:id="99" w:name="Tc_x3AJQf5UyUi6oJdYvnjKTg_29_3"/>
      <w:bookmarkStart w:id="100" w:name="Tc_zXmlPsU9mUmDDjRPtuN7xg_29_0"/>
      <w:bookmarkStart w:id="101" w:name="Tc_exx8tLq8XEKO-7Mc96C_sQ_28_0"/>
      <w:bookmarkStart w:id="102" w:name="Tc_wZOQzvZbxU6XeV0NANOaZQ_27_0"/>
      <w:bookmarkStart w:id="103" w:name="Tc_g4YdpC4BnUexFF_yGFYC0w_26_0"/>
      <w:bookmarkStart w:id="104" w:name="Tc_LGRN7hdoWkK-v2grZwBMvQ_25_0"/>
      <w:bookmarkStart w:id="105" w:name="Tc_9BVkuJ_fM0ej7jc7PqmZDw_24_0"/>
      <w:bookmarkStart w:id="106" w:name="Tc_hXnmWFExkUiaIrjlKoQESQ_23_6"/>
      <w:bookmarkStart w:id="107" w:name="Tc_VNp_P8HGS06iP7S9DQQ7yA_23_0"/>
      <w:bookmarkStart w:id="108" w:name="Tc_u9FZ11Bdw0ONSNj3WKs76A_22_6"/>
      <w:bookmarkStart w:id="109" w:name="Tc_O-uZBZWyc0mFj1i1E53cjA_22_0"/>
      <w:bookmarkStart w:id="110" w:name="Tc_CPkGpxr0PU2-hPjEUqT0lw_21_0"/>
      <w:bookmarkStart w:id="111" w:name="Tc_6gLBHG8kdUCmGWG9mgFr7Q_20_0"/>
      <w:bookmarkStart w:id="112" w:name="Tc_Lp0GwvsXukiMtGaSPh4ZTQ_19_0"/>
      <w:bookmarkStart w:id="113" w:name="Tc_dzMBYJOwp0G2ADBwHidMcA_18_0"/>
      <w:bookmarkStart w:id="114" w:name="Tc_fxart5BGFUu9qJiD4QcOtA_17_0"/>
      <w:bookmarkStart w:id="115" w:name="Tc_-tikfkl-tk24z0IlFZ6hHA_16_5"/>
      <w:bookmarkStart w:id="116" w:name="Tc_wRviL9fjd0q15hKO43q58g_16_2"/>
      <w:bookmarkStart w:id="117" w:name="Tc_64Tig4xnXEa5DLwV2Cu3fw_16_0"/>
      <w:bookmarkStart w:id="118" w:name="Tc_davoHBeZ4EKH_O9JAUmFqg_15_0"/>
      <w:bookmarkStart w:id="119" w:name="Tc_APDXbiNEskS6bFaCZgxj_g_14_0"/>
      <w:bookmarkStart w:id="120" w:name="Tc_nWaYbyW-MEOnJrPGRxbniA_13_5"/>
      <w:bookmarkStart w:id="121" w:name="Tc_Lgvq2axsT0-kCba8xxv6Bg_13_2"/>
      <w:bookmarkStart w:id="122" w:name="Tc_ypmDwoZ2aU-uL6S_z0mV_g_13_0"/>
      <w:bookmarkStart w:id="123" w:name="Tc_iiRIR47fgUOCt9fRPLeI1A_12_0"/>
      <w:bookmarkStart w:id="124" w:name="Tc_Ag1DZT4L4Eip2ja7TJW0Gg_11_0"/>
      <w:bookmarkStart w:id="125" w:name="Tc_Qn-9sppPTkyZu3371m9q5w_10_0"/>
      <w:bookmarkStart w:id="126" w:name="Tc_4arGkb1kDUiHCvFImk2IkQ_9_0"/>
      <w:bookmarkStart w:id="127" w:name="Tc_cf744CZLw0GotflAPbggqw_8_0"/>
      <w:bookmarkStart w:id="128" w:name="Tc_SlnK7yCdcEe-sFxr_HIKVA_7_0"/>
      <w:bookmarkStart w:id="129" w:name="Tc_391zXHnoLUqhPWUj0JlAww_6_0"/>
      <w:bookmarkStart w:id="130" w:name="Tc_2m6lJ4sFqk6ca6MVwxrUAA_5_5"/>
      <w:bookmarkStart w:id="131" w:name="Tc_UIlpfyiCXU-SClpoDYbfDQ_5_2"/>
      <w:bookmarkStart w:id="132" w:name="Tc_u4SNuJIwOUizk0Bk3alzdQ_5_0"/>
      <w:bookmarkStart w:id="133" w:name="Tc_pDzuE0dELUyglNHfjyO_QA_4_0"/>
      <w:bookmarkStart w:id="134" w:name="Tc_LTnI1zNVuUCR-eBJqN40ZQ_3_0"/>
      <w:bookmarkStart w:id="135" w:name="Tc_TbRsnTc2DUiUEdBc9S4Qsg_2_5"/>
      <w:bookmarkStart w:id="136" w:name="Tc_ETSHtvtuwkyFswOHLJeRVw_2_2"/>
      <w:bookmarkStart w:id="137" w:name="Tc_osVP2BcXPku70tqZUNgQzQ_1_5"/>
      <w:bookmarkStart w:id="138" w:name="Tc_tkIj2HdU4Uqi-nDx_Y8M7g_1_2"/>
      <w:bookmarkStart w:id="139" w:name="_df8f11d5_6bc1_4307_a15a_3eaa1942a940"/>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p>
    <w:tbl>
      <w:tblPr>
        <w:tblW w:w="10205" w:type="dxa"/>
        <w:jc w:val="left"/>
        <w:tblInd w:w="0" w:type="dxa"/>
        <w:tblLayout w:type="fixed"/>
        <w:tblCellMar>
          <w:top w:w="0" w:type="dxa"/>
          <w:left w:w="0" w:type="dxa"/>
          <w:bottom w:w="0" w:type="dxa"/>
          <w:right w:w="0" w:type="dxa"/>
        </w:tblCellMar>
      </w:tblPr>
      <w:tblGrid>
        <w:gridCol w:w="7379"/>
        <w:gridCol w:w="346"/>
        <w:gridCol w:w="196"/>
        <w:gridCol w:w="826"/>
        <w:gridCol w:w="346"/>
        <w:gridCol w:w="203"/>
        <w:gridCol w:w="909"/>
      </w:tblGrid>
      <w:tr>
        <w:trPr/>
        <w:tc>
          <w:tcPr>
            <w:tcW w:w="7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4685665" cy="175260"/>
                      <wp:effectExtent l="0" t="0" r="0" b="0"/>
                      <wp:wrapNone/>
                      <wp:docPr id="7" name="Frame6"/>
                      <a:graphic xmlns:a="http://schemas.openxmlformats.org/drawingml/2006/main">
                        <a:graphicData uri="http://schemas.microsoft.com/office/word/2010/wordprocessingShape">
                          <wps:wsp>
                            <wps:cNvSpPr txBox="1"/>
                            <wps:spPr>
                              <a:xfrm>
                                <a:off x="0" y="0"/>
                                <a:ext cx="4685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19710" cy="175260"/>
                      <wp:effectExtent l="0" t="0" r="0" b="0"/>
                      <wp:wrapNone/>
                      <wp:docPr id="8" name="Frame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24460" cy="175260"/>
                      <wp:effectExtent l="0" t="0" r="0" b="0"/>
                      <wp:wrapNone/>
                      <wp:docPr id="9" name="Frame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524510" cy="175260"/>
                      <wp:effectExtent l="0" t="0" r="0" b="0"/>
                      <wp:wrapNone/>
                      <wp:docPr id="10" name="Frame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11" name="Frame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28905" cy="175260"/>
                      <wp:effectExtent l="0" t="0" r="0" b="0"/>
                      <wp:wrapNone/>
                      <wp:docPr id="12" name="Frame11"/>
                      <a:graphic xmlns:a="http://schemas.openxmlformats.org/drawingml/2006/main">
                        <a:graphicData uri="http://schemas.microsoft.com/office/word/2010/wordprocessingShape">
                          <wps:wsp>
                            <wps:cNvSpPr txBox="1"/>
                            <wps:spPr>
                              <a:xfrm>
                                <a:off x="0" y="0"/>
                                <a:ext cx="128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577215" cy="175260"/>
                      <wp:effectExtent l="0" t="0" r="0" b="0"/>
                      <wp:wrapNone/>
                      <wp:docPr id="13" name="Frame12"/>
                      <a:graphic xmlns:a="http://schemas.openxmlformats.org/drawingml/2006/main">
                        <a:graphicData uri="http://schemas.microsoft.com/office/word/2010/wordprocessingShape">
                          <wps:wsp>
                            <wps:cNvSpPr txBox="1"/>
                            <wps:spPr>
                              <a:xfrm>
                                <a:off x="0" y="0"/>
                                <a:ext cx="577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379" w:type="dxa"/>
            <w:tcBorders/>
            <w:shd w:fill="FFFFFF" w:val="clear"/>
            <w:vAlign w:val="center"/>
          </w:tcPr>
          <w:p>
            <w:pPr>
              <w:pStyle w:val="TableContents"/>
              <w:bidi w:val="0"/>
              <w:spacing w:before="0" w:after="1"/>
              <w:ind w:left="0" w:right="0" w:hanging="0"/>
              <w:jc w:val="left"/>
              <w:rPr/>
            </w:pPr>
            <w:r>
              <w:rPr/>
              <w:t>​</w:t>
            </w:r>
          </w:p>
        </w:tc>
        <w:tc>
          <w:tcPr>
            <w:tcW w:w="346" w:type="dxa"/>
            <w:tcBorders/>
            <w:shd w:fill="FFFFFF" w:val="clear"/>
            <w:vAlign w:val="center"/>
          </w:tcPr>
          <w:p>
            <w:pPr>
              <w:pStyle w:val="TableContents"/>
              <w:bidi w:val="0"/>
              <w:spacing w:before="0" w:after="1"/>
              <w:ind w:left="0" w:right="0" w:hanging="0"/>
              <w:jc w:val="left"/>
              <w:rPr/>
            </w:pPr>
            <w:r>
              <w:rPr/>
              <w:t>​</w:t>
            </w:r>
          </w:p>
        </w:tc>
        <w:tc>
          <w:tcPr>
            <w:tcW w:w="1022"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w:t>
            </w:r>
          </w:p>
        </w:tc>
        <w:tc>
          <w:tcPr>
            <w:tcW w:w="346" w:type="dxa"/>
            <w:tcBorders/>
            <w:shd w:fill="FFFFFF" w:val="clear"/>
            <w:vAlign w:val="center"/>
          </w:tcPr>
          <w:p>
            <w:pPr>
              <w:pStyle w:val="TableContents"/>
              <w:bidi w:val="0"/>
              <w:spacing w:before="0" w:after="1"/>
              <w:ind w:left="0" w:right="0" w:hanging="0"/>
              <w:jc w:val="left"/>
              <w:rPr/>
            </w:pPr>
            <w:r>
              <w:rPr/>
              <w:t>​</w:t>
            </w:r>
          </w:p>
        </w:tc>
        <w:tc>
          <w:tcPr>
            <w:tcW w:w="1112"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31,</w:t>
            </w:r>
          </w:p>
        </w:tc>
      </w:tr>
      <w:tr>
        <w:trPr/>
        <w:tc>
          <w:tcPr>
            <w:tcW w:w="7379" w:type="dxa"/>
            <w:tcBorders/>
            <w:shd w:fill="FFFFFF" w:val="clear"/>
            <w:vAlign w:val="center"/>
          </w:tcPr>
          <w:p>
            <w:pPr>
              <w:pStyle w:val="TableContents"/>
              <w:bidi w:val="0"/>
              <w:spacing w:before="0" w:after="1"/>
              <w:ind w:left="0" w:right="0" w:hanging="0"/>
              <w:jc w:val="left"/>
              <w:rPr/>
            </w:pPr>
            <w:r>
              <w:rPr/>
              <w:t>​</w:t>
            </w:r>
          </w:p>
        </w:tc>
        <w:tc>
          <w:tcPr>
            <w:tcW w:w="346" w:type="dxa"/>
            <w:tcBorders/>
            <w:shd w:fill="FFFFFF" w:val="clear"/>
            <w:vAlign w:val="center"/>
          </w:tcPr>
          <w:p>
            <w:pPr>
              <w:pStyle w:val="TableContents"/>
              <w:bidi w:val="0"/>
              <w:spacing w:before="0" w:after="1"/>
              <w:ind w:left="0" w:right="0" w:hanging="0"/>
              <w:jc w:val="left"/>
              <w:rPr/>
            </w:pPr>
            <w:r>
              <w:rPr/>
              <w:t>  ​ ​ ​</w:t>
            </w:r>
          </w:p>
        </w:tc>
        <w:tc>
          <w:tcPr>
            <w:tcW w:w="1022"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shd w:fill="FFFFFF" w:val="clear"/>
            <w:vAlign w:val="center"/>
          </w:tcPr>
          <w:p>
            <w:pPr>
              <w:pStyle w:val="TableContents"/>
              <w:bidi w:val="0"/>
              <w:spacing w:before="0" w:after="1"/>
              <w:ind w:left="0" w:right="0" w:hanging="0"/>
              <w:jc w:val="left"/>
              <w:rPr/>
            </w:pPr>
            <w:r>
              <w:rPr/>
              <w:t>  ​ ​ ​</w:t>
            </w:r>
          </w:p>
        </w:tc>
        <w:tc>
          <w:tcPr>
            <w:tcW w:w="1112"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7379"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 ​ ​</w:t>
            </w:r>
          </w:p>
        </w:tc>
        <w:tc>
          <w:tcPr>
            <w:tcW w:w="203" w:type="dxa"/>
            <w:tcBorders/>
            <w:shd w:fill="CCEEFF" w:val="clear"/>
            <w:vAlign w:val="center"/>
          </w:tcPr>
          <w:p>
            <w:pPr>
              <w:pStyle w:val="TableContents"/>
              <w:bidi w:val="0"/>
              <w:spacing w:before="0" w:after="1"/>
              <w:ind w:left="0" w:right="0" w:hanging="0"/>
              <w:jc w:val="left"/>
              <w:rPr/>
            </w:pPr>
            <w:r>
              <w:rPr/>
              <w:t>​</w:t>
            </w:r>
          </w:p>
        </w:tc>
        <w:tc>
          <w:tcPr>
            <w:tcW w:w="909" w:type="dxa"/>
            <w:tcBorders/>
            <w:shd w:fill="CCEEFF" w:val="clear"/>
            <w:vAlign w:val="center"/>
          </w:tcPr>
          <w:p>
            <w:pPr>
              <w:pStyle w:val="TableContents"/>
              <w:bidi w:val="0"/>
              <w:spacing w:before="0" w:after="1"/>
              <w:ind w:left="0" w:right="0" w:hanging="0"/>
              <w:jc w:val="left"/>
              <w:rPr/>
            </w:pPr>
            <w:r>
              <w:rPr/>
              <w:t>​</w:t>
            </w:r>
          </w:p>
        </w:tc>
      </w:tr>
      <w:tr>
        <w:trPr/>
        <w:tc>
          <w:tcPr>
            <w:tcW w:w="737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Current assets: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w:t>
            </w:r>
          </w:p>
        </w:tc>
        <w:tc>
          <w:tcPr>
            <w:tcW w:w="909" w:type="dxa"/>
            <w:tcBorders/>
            <w:vAlign w:val="center"/>
          </w:tcPr>
          <w:p>
            <w:pPr>
              <w:pStyle w:val="TableContents"/>
              <w:bidi w:val="0"/>
              <w:spacing w:before="0" w:after="1"/>
              <w:ind w:left="0" w:right="0" w:hanging="0"/>
              <w:jc w:val="left"/>
              <w:rPr/>
            </w:pPr>
            <w:r>
              <w:rPr/>
              <w:t>​</w:t>
            </w:r>
          </w:p>
        </w:tc>
      </w:tr>
      <w:tr>
        <w:trPr/>
        <w:tc>
          <w:tcPr>
            <w:tcW w:w="737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196,577</w:t>
            </w:r>
          </w:p>
        </w:tc>
        <w:tc>
          <w:tcPr>
            <w:tcW w:w="34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110,641</w:t>
            </w:r>
          </w:p>
        </w:tc>
      </w:tr>
      <w:tr>
        <w:trPr/>
        <w:tc>
          <w:tcPr>
            <w:tcW w:w="737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Short-term investments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446,549</w:t>
            </w:r>
          </w:p>
        </w:tc>
        <w:tc>
          <w:tcPr>
            <w:tcW w:w="34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w:t>
            </w:r>
          </w:p>
        </w:tc>
        <w:tc>
          <w:tcPr>
            <w:tcW w:w="90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232,551</w:t>
            </w:r>
          </w:p>
        </w:tc>
      </w:tr>
      <w:tr>
        <w:trPr/>
        <w:tc>
          <w:tcPr>
            <w:tcW w:w="737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10,668</w:t>
            </w:r>
          </w:p>
        </w:tc>
        <w:tc>
          <w:tcPr>
            <w:tcW w:w="34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w:t>
            </w:r>
          </w:p>
        </w:tc>
        <w:tc>
          <w:tcPr>
            <w:tcW w:w="9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7,979</w:t>
            </w:r>
          </w:p>
        </w:tc>
      </w:tr>
      <w:tr>
        <w:trPr/>
        <w:tc>
          <w:tcPr>
            <w:tcW w:w="737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current assets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653,794</w:t>
            </w:r>
          </w:p>
        </w:tc>
        <w:tc>
          <w:tcPr>
            <w:tcW w:w="34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w:t>
            </w:r>
          </w:p>
        </w:tc>
        <w:tc>
          <w:tcPr>
            <w:tcW w:w="90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351,171</w:t>
            </w:r>
          </w:p>
        </w:tc>
      </w:tr>
      <w:tr>
        <w:trPr/>
        <w:tc>
          <w:tcPr>
            <w:tcW w:w="737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Property and equipment, net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w:t>
            </w:r>
          </w:p>
        </w:tc>
        <w:tc>
          <w:tcPr>
            <w:tcW w:w="34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w:t>
            </w:r>
          </w:p>
        </w:tc>
        <w:tc>
          <w:tcPr>
            <w:tcW w:w="90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w:t>
            </w:r>
          </w:p>
        </w:tc>
      </w:tr>
      <w:tr>
        <w:trPr/>
        <w:tc>
          <w:tcPr>
            <w:tcW w:w="737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right-of-use assets, net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821</w:t>
            </w:r>
          </w:p>
        </w:tc>
        <w:tc>
          <w:tcPr>
            <w:tcW w:w="34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w:t>
            </w:r>
          </w:p>
        </w:tc>
        <w:tc>
          <w:tcPr>
            <w:tcW w:w="90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1,354</w:t>
            </w:r>
          </w:p>
        </w:tc>
      </w:tr>
      <w:tr>
        <w:trPr/>
        <w:tc>
          <w:tcPr>
            <w:tcW w:w="737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Long-term investments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30,763</w:t>
            </w:r>
          </w:p>
        </w:tc>
        <w:tc>
          <w:tcPr>
            <w:tcW w:w="34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w:t>
            </w:r>
          </w:p>
        </w:tc>
        <w:tc>
          <w:tcPr>
            <w:tcW w:w="90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17,272</w:t>
            </w:r>
          </w:p>
        </w:tc>
      </w:tr>
      <w:tr>
        <w:trPr/>
        <w:tc>
          <w:tcPr>
            <w:tcW w:w="737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non-current assets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16,289</w:t>
            </w:r>
          </w:p>
        </w:tc>
        <w:tc>
          <w:tcPr>
            <w:tcW w:w="34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w:t>
            </w:r>
          </w:p>
        </w:tc>
        <w:tc>
          <w:tcPr>
            <w:tcW w:w="90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13,809</w:t>
            </w:r>
          </w:p>
        </w:tc>
      </w:tr>
      <w:tr>
        <w:trPr/>
        <w:tc>
          <w:tcPr>
            <w:tcW w:w="737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701,690</w:t>
            </w:r>
          </w:p>
        </w:tc>
        <w:tc>
          <w:tcPr>
            <w:tcW w:w="34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383,640</w:t>
            </w:r>
          </w:p>
        </w:tc>
      </w:tr>
      <w:tr>
        <w:trPr/>
        <w:tc>
          <w:tcPr>
            <w:tcW w:w="7379"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Liabilities and Stockholders’ Equity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w:t>
            </w:r>
          </w:p>
        </w:tc>
        <w:tc>
          <w:tcPr>
            <w:tcW w:w="909" w:type="dxa"/>
            <w:tcBorders/>
            <w:vAlign w:val="center"/>
          </w:tcPr>
          <w:p>
            <w:pPr>
              <w:pStyle w:val="TableContents"/>
              <w:bidi w:val="0"/>
              <w:spacing w:before="0" w:after="1"/>
              <w:ind w:left="0" w:right="0" w:hanging="0"/>
              <w:jc w:val="left"/>
              <w:rPr/>
            </w:pPr>
            <w:r>
              <w:rPr/>
              <w:t>​</w:t>
            </w:r>
          </w:p>
        </w:tc>
      </w:tr>
      <w:tr>
        <w:trPr/>
        <w:tc>
          <w:tcPr>
            <w:tcW w:w="737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w:t>
            </w:r>
          </w:p>
        </w:tc>
        <w:tc>
          <w:tcPr>
            <w:tcW w:w="909" w:type="dxa"/>
            <w:tcBorders/>
            <w:shd w:fill="CCEEFF" w:val="clear"/>
            <w:vAlign w:val="center"/>
          </w:tcPr>
          <w:p>
            <w:pPr>
              <w:pStyle w:val="TableContents"/>
              <w:bidi w:val="0"/>
              <w:spacing w:before="0" w:after="1"/>
              <w:ind w:left="0" w:right="0" w:hanging="0"/>
              <w:jc w:val="left"/>
              <w:rPr/>
            </w:pPr>
            <w:r>
              <w:rPr/>
              <w:t>​</w:t>
            </w:r>
          </w:p>
        </w:tc>
      </w:tr>
      <w:tr>
        <w:trPr/>
        <w:tc>
          <w:tcPr>
            <w:tcW w:w="737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Accounts payable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7,589</w:t>
            </w:r>
          </w:p>
        </w:tc>
        <w:tc>
          <w:tcPr>
            <w:tcW w:w="34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7,111</w:t>
            </w:r>
          </w:p>
        </w:tc>
      </w:tr>
      <w:tr>
        <w:trPr/>
        <w:tc>
          <w:tcPr>
            <w:tcW w:w="737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57,406</w:t>
            </w:r>
          </w:p>
        </w:tc>
        <w:tc>
          <w:tcPr>
            <w:tcW w:w="34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w:t>
            </w:r>
          </w:p>
        </w:tc>
        <w:tc>
          <w:tcPr>
            <w:tcW w:w="90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54,423</w:t>
            </w:r>
          </w:p>
        </w:tc>
      </w:tr>
      <w:tr>
        <w:trPr/>
        <w:tc>
          <w:tcPr>
            <w:tcW w:w="737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liabilities, current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823</w:t>
            </w:r>
          </w:p>
        </w:tc>
        <w:tc>
          <w:tcPr>
            <w:tcW w:w="34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w:t>
            </w:r>
          </w:p>
        </w:tc>
        <w:tc>
          <w:tcPr>
            <w:tcW w:w="90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1,115</w:t>
            </w:r>
          </w:p>
        </w:tc>
      </w:tr>
      <w:tr>
        <w:trPr/>
        <w:tc>
          <w:tcPr>
            <w:tcW w:w="737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65,818</w:t>
            </w:r>
          </w:p>
        </w:tc>
        <w:tc>
          <w:tcPr>
            <w:tcW w:w="34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w:t>
            </w:r>
          </w:p>
        </w:tc>
        <w:tc>
          <w:tcPr>
            <w:tcW w:w="90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62,649</w:t>
            </w:r>
          </w:p>
        </w:tc>
      </w:tr>
      <w:tr>
        <w:trPr/>
        <w:tc>
          <w:tcPr>
            <w:tcW w:w="737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Long-term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w:t>
            </w:r>
          </w:p>
        </w:tc>
        <w:tc>
          <w:tcPr>
            <w:tcW w:w="909" w:type="dxa"/>
            <w:tcBorders/>
            <w:vAlign w:val="center"/>
          </w:tcPr>
          <w:p>
            <w:pPr>
              <w:pStyle w:val="TableContents"/>
              <w:bidi w:val="0"/>
              <w:spacing w:before="0" w:after="1"/>
              <w:ind w:left="0" w:right="0" w:hanging="0"/>
              <w:jc w:val="right"/>
              <w:rPr/>
            </w:pPr>
            <w:r>
              <w:rPr/>
              <w:t>​</w:t>
            </w:r>
          </w:p>
        </w:tc>
      </w:tr>
      <w:tr>
        <w:trPr/>
        <w:tc>
          <w:tcPr>
            <w:tcW w:w="737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Royalty obligation</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91,737</w:t>
            </w:r>
          </w:p>
        </w:tc>
        <w:tc>
          <w:tcPr>
            <w:tcW w:w="34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w:t>
            </w:r>
          </w:p>
        </w:tc>
        <w:tc>
          <w:tcPr>
            <w:tcW w:w="90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78,636</w:t>
            </w:r>
          </w:p>
        </w:tc>
      </w:tr>
      <w:tr>
        <w:trPr/>
        <w:tc>
          <w:tcPr>
            <w:tcW w:w="737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Senior secured term loan, net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74,060</w:t>
            </w:r>
          </w:p>
        </w:tc>
        <w:tc>
          <w:tcPr>
            <w:tcW w:w="34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w:t>
            </w:r>
          </w:p>
        </w:tc>
        <w:tc>
          <w:tcPr>
            <w:tcW w:w="909" w:type="dxa"/>
            <w:tcBorders/>
            <w:vAlign w:val="center"/>
          </w:tcPr>
          <w:p>
            <w:pPr>
              <w:pStyle w:val="TableContents"/>
              <w:bidi w:val="0"/>
              <w:spacing w:before="0" w:after="1"/>
              <w:ind w:left="0" w:right="0" w:hanging="0"/>
              <w:jc w:val="right"/>
              <w:rPr/>
            </w:pPr>
            <w:r>
              <w:rPr/>
              <w:t>—</w:t>
            </w:r>
          </w:p>
        </w:tc>
      </w:tr>
      <w:tr>
        <w:trPr/>
        <w:tc>
          <w:tcPr>
            <w:tcW w:w="737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Convertible senior notes, net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222,956</w:t>
            </w:r>
          </w:p>
        </w:tc>
        <w:tc>
          <w:tcPr>
            <w:tcW w:w="34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w:t>
            </w:r>
          </w:p>
        </w:tc>
        <w:tc>
          <w:tcPr>
            <w:tcW w:w="909" w:type="dxa"/>
            <w:tcBorders/>
            <w:shd w:fill="CCEEFF" w:val="clear"/>
            <w:vAlign w:val="center"/>
          </w:tcPr>
          <w:p>
            <w:pPr>
              <w:pStyle w:val="TableContents"/>
              <w:bidi w:val="0"/>
              <w:spacing w:before="0" w:after="1"/>
              <w:ind w:left="0" w:right="0" w:hanging="0"/>
              <w:jc w:val="right"/>
              <w:rPr/>
            </w:pPr>
            <w:r>
              <w:rPr/>
              <w:t>—</w:t>
            </w:r>
          </w:p>
        </w:tc>
      </w:tr>
      <w:tr>
        <w:trPr/>
        <w:tc>
          <w:tcPr>
            <w:tcW w:w="737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liabilities, less current portion</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w:t>
            </w:r>
          </w:p>
        </w:tc>
        <w:tc>
          <w:tcPr>
            <w:tcW w:w="34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w:t>
            </w:r>
          </w:p>
        </w:tc>
        <w:tc>
          <w:tcPr>
            <w:tcW w:w="90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211</w:t>
            </w:r>
          </w:p>
        </w:tc>
      </w:tr>
      <w:tr>
        <w:trPr/>
        <w:tc>
          <w:tcPr>
            <w:tcW w:w="737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long-term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388,775</w:t>
            </w:r>
          </w:p>
        </w:tc>
        <w:tc>
          <w:tcPr>
            <w:tcW w:w="34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w:t>
            </w:r>
          </w:p>
        </w:tc>
        <w:tc>
          <w:tcPr>
            <w:tcW w:w="9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78,847</w:t>
            </w:r>
          </w:p>
        </w:tc>
      </w:tr>
      <w:tr>
        <w:trPr/>
        <w:tc>
          <w:tcPr>
            <w:tcW w:w="737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454,593</w:t>
            </w:r>
          </w:p>
        </w:tc>
        <w:tc>
          <w:tcPr>
            <w:tcW w:w="34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w:t>
            </w:r>
          </w:p>
        </w:tc>
        <w:tc>
          <w:tcPr>
            <w:tcW w:w="90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141,496</w:t>
            </w:r>
          </w:p>
        </w:tc>
      </w:tr>
      <w:tr>
        <w:trPr/>
        <w:tc>
          <w:tcPr>
            <w:tcW w:w="737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Commitments and contingencies (Note 13)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w:t>
            </w:r>
          </w:p>
        </w:tc>
        <w:tc>
          <w:tcPr>
            <w:tcW w:w="909" w:type="dxa"/>
            <w:tcBorders/>
            <w:shd w:fill="CCEEFF" w:val="clear"/>
            <w:vAlign w:val="center"/>
          </w:tcPr>
          <w:p>
            <w:pPr>
              <w:pStyle w:val="TableContents"/>
              <w:bidi w:val="0"/>
              <w:spacing w:before="0" w:after="1"/>
              <w:ind w:left="0" w:right="0" w:hanging="0"/>
              <w:jc w:val="right"/>
              <w:rPr/>
            </w:pPr>
            <w:r>
              <w:rPr/>
              <w:t>​</w:t>
            </w:r>
          </w:p>
        </w:tc>
      </w:tr>
      <w:tr>
        <w:trPr/>
        <w:tc>
          <w:tcPr>
            <w:tcW w:w="737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Stockholders’ equity: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w:t>
            </w:r>
          </w:p>
        </w:tc>
        <w:tc>
          <w:tcPr>
            <w:tcW w:w="909" w:type="dxa"/>
            <w:tcBorders/>
            <w:vAlign w:val="center"/>
          </w:tcPr>
          <w:p>
            <w:pPr>
              <w:pStyle w:val="TableContents"/>
              <w:bidi w:val="0"/>
              <w:spacing w:before="0" w:after="1"/>
              <w:ind w:left="0" w:right="0" w:hanging="0"/>
              <w:jc w:val="right"/>
              <w:rPr/>
            </w:pPr>
            <w:r>
              <w:rPr/>
              <w:t>​</w:t>
            </w:r>
          </w:p>
        </w:tc>
      </w:tr>
      <w:tr>
        <w:trPr/>
        <w:tc>
          <w:tcPr>
            <w:tcW w:w="737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Preferred stock, par value $0.0001 per share; 25,000,000 shares authorized and no shares issued and outstanding as of June 30, 2026 and December 31, 2025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w:t>
            </w:r>
          </w:p>
        </w:tc>
        <w:tc>
          <w:tcPr>
            <w:tcW w:w="909" w:type="dxa"/>
            <w:tcBorders/>
            <w:shd w:fill="CCEEFF" w:val="clear"/>
            <w:vAlign w:val="center"/>
          </w:tcPr>
          <w:p>
            <w:pPr>
              <w:pStyle w:val="TableContents"/>
              <w:bidi w:val="0"/>
              <w:spacing w:before="0" w:after="1"/>
              <w:ind w:left="0" w:right="0" w:hanging="0"/>
              <w:jc w:val="right"/>
              <w:rPr/>
            </w:pPr>
            <w:r>
              <w:rPr/>
              <w:t>—</w:t>
            </w:r>
          </w:p>
        </w:tc>
      </w:tr>
      <w:tr>
        <w:trPr/>
        <w:tc>
          <w:tcPr>
            <w:tcW w:w="737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18"/>
              </w:rPr>
              <w:t>Common stock, par value $0.0001</w:t>
            </w:r>
            <w:r>
              <w:rPr>
                <w:rFonts w:ascii="Times New Roman;Times;serif" w:hAnsi="Times New Roman;Times;serif"/>
                <w:sz w:val="20"/>
              </w:rPr>
              <w:t xml:space="preserve"> </w:t>
            </w:r>
            <w:r>
              <w:rPr>
                <w:rFonts w:ascii="Times New Roman;Times;serif" w:hAnsi="Times New Roman;Times;serif"/>
                <w:sz w:val="18"/>
              </w:rPr>
              <w:t>per share; 175,000,000</w:t>
            </w:r>
            <w:r>
              <w:rPr>
                <w:rFonts w:ascii="Times New Roman;Times;serif" w:hAnsi="Times New Roman;Times;serif"/>
                <w:sz w:val="20"/>
              </w:rPr>
              <w:t xml:space="preserve"> </w:t>
            </w:r>
            <w:r>
              <w:rPr>
                <w:rFonts w:ascii="Times New Roman;Times;serif" w:hAnsi="Times New Roman;Times;serif"/>
                <w:sz w:val="18"/>
              </w:rPr>
              <w:t>shares authorized at June 30, 2026 and December 31, 2025, respectively; 63,330,747</w:t>
            </w:r>
            <w:r>
              <w:rPr>
                <w:rFonts w:ascii="Times New Roman;Times;serif" w:hAnsi="Times New Roman;Times;serif"/>
                <w:sz w:val="20"/>
              </w:rPr>
              <w:t xml:space="preserve"> </w:t>
            </w:r>
            <w:r>
              <w:rPr>
                <w:rFonts w:ascii="Times New Roman;Times;serif" w:hAnsi="Times New Roman;Times;serif"/>
                <w:sz w:val="18"/>
              </w:rPr>
              <w:t>and 54,485,518</w:t>
            </w:r>
            <w:r>
              <w:rPr>
                <w:rFonts w:ascii="Times New Roman;Times;serif" w:hAnsi="Times New Roman;Times;serif"/>
                <w:sz w:val="20"/>
              </w:rPr>
              <w:t xml:space="preserve"> </w:t>
            </w:r>
            <w:r>
              <w:rPr>
                <w:rFonts w:ascii="Times New Roman;Times;serif" w:hAnsi="Times New Roman;Times;serif"/>
                <w:sz w:val="18"/>
              </w:rPr>
              <w:t xml:space="preserve">shares </w:t>
            </w:r>
            <w:r>
              <w:rPr>
                <w:rFonts w:ascii="Times New Roman;Times;serif" w:hAnsi="Times New Roman;Times;serif"/>
                <w:b w:val="false"/>
                <w:i w:val="false"/>
                <w:caps w:val="false"/>
                <w:smallCaps w:val="false"/>
                <w:sz w:val="18"/>
              </w:rPr>
              <w:t>issued</w:t>
            </w:r>
            <w:r>
              <w:rPr>
                <w:rFonts w:ascii="Times New Roman;Times;serif" w:hAnsi="Times New Roman;Times;serif"/>
                <w:sz w:val="20"/>
              </w:rPr>
              <w:t xml:space="preserve"> </w:t>
            </w:r>
            <w:r>
              <w:rPr>
                <w:rFonts w:ascii="Times New Roman;Times;serif" w:hAnsi="Times New Roman;Times;serif"/>
                <w:sz w:val="18"/>
              </w:rPr>
              <w:t xml:space="preserve">and </w:t>
            </w:r>
            <w:r>
              <w:rPr>
                <w:rFonts w:ascii="Times New Roman;Times;serif" w:hAnsi="Times New Roman;Times;serif"/>
                <w:b w:val="false"/>
                <w:i w:val="false"/>
                <w:caps w:val="false"/>
                <w:smallCaps w:val="false"/>
                <w:sz w:val="18"/>
              </w:rPr>
              <w:t>outstanding</w:t>
            </w:r>
            <w:r>
              <w:rPr>
                <w:rFonts w:ascii="Times New Roman;Times;serif" w:hAnsi="Times New Roman;Times;serif"/>
                <w:sz w:val="20"/>
              </w:rPr>
              <w:t xml:space="preserve"> </w:t>
            </w:r>
            <w:r>
              <w:rPr>
                <w:rFonts w:ascii="Times New Roman;Times;serif" w:hAnsi="Times New Roman;Times;serif"/>
                <w:sz w:val="18"/>
              </w:rPr>
              <w:t>as of June 30, 2026 and December 31, 2025, respectively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w:t>
            </w:r>
          </w:p>
        </w:tc>
        <w:tc>
          <w:tcPr>
            <w:tcW w:w="34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w:t>
            </w:r>
          </w:p>
        </w:tc>
        <w:tc>
          <w:tcPr>
            <w:tcW w:w="90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w:t>
            </w:r>
          </w:p>
        </w:tc>
      </w:tr>
      <w:tr>
        <w:trPr/>
        <w:tc>
          <w:tcPr>
            <w:tcW w:w="737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Additional paid-in capital</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1,205,803</w:t>
            </w:r>
          </w:p>
        </w:tc>
        <w:tc>
          <w:tcPr>
            <w:tcW w:w="34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w:t>
            </w:r>
          </w:p>
        </w:tc>
        <w:tc>
          <w:tcPr>
            <w:tcW w:w="90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1,007,331</w:t>
            </w:r>
          </w:p>
        </w:tc>
      </w:tr>
      <w:tr>
        <w:trPr/>
        <w:tc>
          <w:tcPr>
            <w:tcW w:w="737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Accumulated other comprehensive loss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(1,141)</w:t>
            </w:r>
          </w:p>
        </w:tc>
        <w:tc>
          <w:tcPr>
            <w:tcW w:w="34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w:t>
            </w:r>
          </w:p>
        </w:tc>
        <w:tc>
          <w:tcPr>
            <w:tcW w:w="90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w:t>
            </w:r>
          </w:p>
        </w:tc>
      </w:tr>
      <w:tr>
        <w:trPr/>
        <w:tc>
          <w:tcPr>
            <w:tcW w:w="737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Accumulated deficit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(957,571)</w:t>
            </w:r>
          </w:p>
        </w:tc>
        <w:tc>
          <w:tcPr>
            <w:tcW w:w="34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w:t>
            </w:r>
          </w:p>
        </w:tc>
        <w:tc>
          <w:tcPr>
            <w:tcW w:w="9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(765,128)</w:t>
            </w:r>
          </w:p>
        </w:tc>
      </w:tr>
      <w:tr>
        <w:trPr/>
        <w:tc>
          <w:tcPr>
            <w:tcW w:w="737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stockholders’ equity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247,097</w:t>
            </w:r>
          </w:p>
        </w:tc>
        <w:tc>
          <w:tcPr>
            <w:tcW w:w="34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w:t>
            </w:r>
          </w:p>
        </w:tc>
        <w:tc>
          <w:tcPr>
            <w:tcW w:w="90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242,144</w:t>
            </w:r>
          </w:p>
        </w:tc>
      </w:tr>
      <w:tr>
        <w:trPr/>
        <w:tc>
          <w:tcPr>
            <w:tcW w:w="737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liabilities and stockholders’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701,690</w:t>
            </w:r>
          </w:p>
        </w:tc>
        <w:tc>
          <w:tcPr>
            <w:tcW w:w="34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9"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383,640</w:t>
            </w:r>
          </w:p>
        </w:tc>
      </w:tr>
    </w:tbl>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40" w:name="_88b043d5_9d63_4659_aa0e_77c9463b5e06"/>
      <w:bookmarkEnd w:id="140"/>
      <w:r>
        <w:rPr>
          <w:rFonts w:ascii="Times New Roman;Times;serif" w:hAnsi="Times New Roman;Times;serif"/>
          <w:b/>
          <w:sz w:val="20"/>
        </w:rPr>
        <w:t>Zenas BioPharma, Inc.</w:t>
      </w:r>
    </w:p>
    <w:p>
      <w:pPr>
        <w:pStyle w:val="TextBody"/>
        <w:bidi w:val="0"/>
        <w:spacing w:before="0" w:after="0"/>
        <w:ind w:left="0" w:right="0" w:hanging="0"/>
        <w:jc w:val="center"/>
        <w:rPr>
          <w:rFonts w:ascii="Times New Roman;Times;serif" w:hAnsi="Times New Roman;Times;serif"/>
          <w:b/>
          <w:sz w:val="20"/>
        </w:rPr>
      </w:pPr>
      <w:bookmarkStart w:id="141" w:name="StatementsofOperations_560390"/>
      <w:bookmarkEnd w:id="141"/>
      <w:r>
        <w:rPr>
          <w:rFonts w:ascii="Times New Roman;Times;serif" w:hAnsi="Times New Roman;Times;serif"/>
          <w:b/>
          <w:sz w:val="20"/>
        </w:rPr>
        <w:t>Condensed Consolidated Statements of Operations and Comprehensive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Normal"/>
        <w:bidi w:val="0"/>
        <w:spacing w:before="0" w:after="0"/>
        <w:jc w:val="left"/>
        <w:rPr>
          <w:sz w:val="4"/>
          <w:szCs w:val="4"/>
        </w:rPr>
      </w:pPr>
      <w:r>
        <w:rPr>
          <w:sz w:val="4"/>
          <w:szCs w:val="4"/>
        </w:rPr>
      </w:r>
      <w:bookmarkStart w:id="142" w:name="Tc_jtOxrY73Jk6BJzM4YG7ksQ_29_10"/>
      <w:bookmarkStart w:id="143" w:name="Tc_R4cKk30gDkO60d_tddQjeg_29_7"/>
      <w:bookmarkStart w:id="144" w:name="Tc_xB3rk7EO6kye5AnkV9xC4g_29_4"/>
      <w:bookmarkStart w:id="145" w:name="Tc_frOhBbPY3EWpkVXENK9zZg_29_1"/>
      <w:bookmarkStart w:id="146" w:name="Tc_0iI0hoEHKk6Nugultx-0_w_29_0"/>
      <w:bookmarkStart w:id="147" w:name="Tc_RUgI8kNMWEOf6kn2z04vJA_28_0"/>
      <w:bookmarkStart w:id="148" w:name="Tc_DGFLESKPLEiS3xpcwD0HAw_27_0"/>
      <w:bookmarkStart w:id="149" w:name="Tc_qrRP_yrbgUa0hPkdp53eZQ_26_0"/>
      <w:bookmarkStart w:id="150" w:name="Tc_YzNd8nOW906DOnGgzgi7kQ_25_10"/>
      <w:bookmarkStart w:id="151" w:name="Tc_UarA2Pf_gEuVKhgyAqFETg_25_7"/>
      <w:bookmarkStart w:id="152" w:name="Tc_3s2U6636mkm0Jv3Ntu9MRA_25_4"/>
      <w:bookmarkStart w:id="153" w:name="Tc_YTVTPXU6Kk-XmOyJLYIipA_25_1"/>
      <w:bookmarkStart w:id="154" w:name="Tc_a5GZRMCunUiRFpSP_svzMA_25_0"/>
      <w:bookmarkStart w:id="155" w:name="Tc_GcLYCwvJkkSvqc0cA-7prg_24_0"/>
      <w:bookmarkStart w:id="156" w:name="Tc_AQgkEh4DxUaje6X3BSoTIg_23_0"/>
      <w:bookmarkStart w:id="157" w:name="Tc_JPo7rO4Q0ECdamCS9LYrGw_22_10"/>
      <w:bookmarkStart w:id="158" w:name="Tc_yW2TefskbUOYOXobwyoSUg_22_7"/>
      <w:bookmarkStart w:id="159" w:name="Tc_r6qnVTHkUUmW-n4nxynsxw_22_4"/>
      <w:bookmarkStart w:id="160" w:name="Tc_7uxW95L_Y028rbJXS-SfpQ_22_1"/>
      <w:bookmarkStart w:id="161" w:name="Tc_jVe_swFfDEKRE2DkiGz2HQ_22_0"/>
      <w:bookmarkStart w:id="162" w:name="Tc_ZeDgz9CfSESm463FvP_xSA_21_10"/>
      <w:bookmarkStart w:id="163" w:name="Tc_2iHNVso36EucWJotq14V5g_21_7"/>
      <w:bookmarkStart w:id="164" w:name="Tc_BwffUB-N0kGZEVuAXKUkCA_21_4"/>
      <w:bookmarkStart w:id="165" w:name="Tc_wQufoYeyW0uu59MjTUihOQ_21_1"/>
      <w:bookmarkStart w:id="166" w:name="Tc_KwwyjEOoXk-w0U1A28A5Dw_21_0"/>
      <w:bookmarkStart w:id="167" w:name="Tc_7OW5LxVDzUGmdKXChE8UWQ_20_0"/>
      <w:bookmarkStart w:id="168" w:name="Tc_Bl_0Vj6jzUaIPs7vQXW8vQ_19_0"/>
      <w:bookmarkStart w:id="169" w:name="Tc_kd2GMzDJJ0CCKoWug7RUtA_18_0"/>
      <w:bookmarkStart w:id="170" w:name="Tc_Fh9vfDJb-U2RhoOphWlv-A_17_0"/>
      <w:bookmarkStart w:id="171" w:name="Tc_hvqyg94sLUObmWsF-GYRRA_16_0"/>
      <w:bookmarkStart w:id="172" w:name="Tc_LTTAz-DXaUaaubeVe6bQ9Q_15_11"/>
      <w:bookmarkStart w:id="173" w:name="Tc_UgpVSSZEbUmlHCbBfRYP1g_15_5"/>
      <w:bookmarkStart w:id="174" w:name="Tc_RseyUbi65U6G_GiGMM9yAA_15_0"/>
      <w:bookmarkStart w:id="175" w:name="Tc_9sqnTWUh9U6XpYuc_vPDMA_14_11"/>
      <w:bookmarkStart w:id="176" w:name="Tc_vR9aFl_x3U2sau_NFIYm8g_14_5"/>
      <w:bookmarkStart w:id="177" w:name="Tc_hKTjqZBk80m2PyugncLtXw_14_0"/>
      <w:bookmarkStart w:id="178" w:name="Tc_zaiO5hGHqEiGrNVqepv1Hw_13_11"/>
      <w:bookmarkStart w:id="179" w:name="Tc_JEBfqFV0oUOg1zB_l7ypUw_13_5"/>
      <w:bookmarkStart w:id="180" w:name="Tc_c9jIXW2iBkyCuMaQXEiFQQ_13_0"/>
      <w:bookmarkStart w:id="181" w:name="Tc_EN6kJkkEjkGFuqiY30h8MA_12_0"/>
      <w:bookmarkStart w:id="182" w:name="Tc_2TIOr5ecb0SPkASm52ulRw_11_0"/>
      <w:bookmarkStart w:id="183" w:name="Tc_uI1tTpv8b0K_wYwiP9xkxg_10_0"/>
      <w:bookmarkStart w:id="184" w:name="Tc_BYAriW_UdkWabG6sbCn66A_9_11"/>
      <w:bookmarkStart w:id="185" w:name="Tc_CL3r3b7rc0O0488tQPEomw_9_5"/>
      <w:bookmarkStart w:id="186" w:name="Tc_uNE0dOW6bU2xbVygvT_8jA_9_0"/>
      <w:bookmarkStart w:id="187" w:name="Tc_xwkFGx_wsEmYu8fyWYtYQw_8_0"/>
      <w:bookmarkStart w:id="188" w:name="Tc_iFzmEAuCDE-NLRDiRo8Lmg_7_0"/>
      <w:bookmarkStart w:id="189" w:name="Tc_MS6kl1Evn0-9fkaTXbT_Cw_6_0"/>
      <w:bookmarkStart w:id="190" w:name="Tc_P9hsTavWAUWnSq8JYNiT0g_5_5"/>
      <w:bookmarkStart w:id="191" w:name="Tc_iE17TTxRf0ilk1cPMj_Jug_5_0"/>
      <w:bookmarkStart w:id="192" w:name="Tc_ZCGZ1YRLoUKgZ5agHPTd0Q_4_10"/>
      <w:bookmarkStart w:id="193" w:name="Tc_WDwkLyhTtUKIG-oMl2OWIg_4_7"/>
      <w:bookmarkStart w:id="194" w:name="Tc_ey_hYwt8kkaNv-O2ZCUMSg_4_5"/>
      <w:bookmarkStart w:id="195" w:name="Tc_pHRlSY15jkiV_XtPtcAONg_4_4"/>
      <w:bookmarkStart w:id="196" w:name="Tc_YiUVC5eUmkabSSxvytS76A_4_1"/>
      <w:bookmarkStart w:id="197" w:name="Tc_-JTcvC85aESHrziqj0gTFA_4_0"/>
      <w:bookmarkStart w:id="198" w:name="Tc_GBbknLjlH0msZ3b-TzCefg_3_0"/>
      <w:bookmarkStart w:id="199" w:name="Tc_076je0UaF0addBqlYJS_tg_2_11"/>
      <w:bookmarkStart w:id="200" w:name="Tc_5WTUizMIwk-h8Mc79YT5FQ_2_8"/>
      <w:bookmarkStart w:id="201" w:name="Tc_UMFJ4IVM302ObFfEWNoI7w_2_5"/>
      <w:bookmarkStart w:id="202" w:name="Tc_nggv6TLbX0K6-f3DA1PnGg_2_2"/>
      <w:bookmarkStart w:id="203" w:name="Tc_BPb3bDYVqUCcN8lMLlzEKA_1_8"/>
      <w:bookmarkStart w:id="204" w:name="Tc_4K0ca4qJ10y3iDnSmyehrQ_1_2"/>
      <w:bookmarkStart w:id="205" w:name="_84dcb9c0_4a37_4ac5_b6c2_273087293aac"/>
      <w:bookmarkStart w:id="206" w:name="_1b8cdc4f_eb84_43bd_a8db_f0c806e69ffc"/>
      <w:bookmarkStart w:id="207" w:name="Tc_jtOxrY73Jk6BJzM4YG7ksQ_29_10"/>
      <w:bookmarkStart w:id="208" w:name="Tc_R4cKk30gDkO60d_tddQjeg_29_7"/>
      <w:bookmarkStart w:id="209" w:name="Tc_xB3rk7EO6kye5AnkV9xC4g_29_4"/>
      <w:bookmarkStart w:id="210" w:name="Tc_frOhBbPY3EWpkVXENK9zZg_29_1"/>
      <w:bookmarkStart w:id="211" w:name="Tc_0iI0hoEHKk6Nugultx-0_w_29_0"/>
      <w:bookmarkStart w:id="212" w:name="Tc_RUgI8kNMWEOf6kn2z04vJA_28_0"/>
      <w:bookmarkStart w:id="213" w:name="Tc_DGFLESKPLEiS3xpcwD0HAw_27_0"/>
      <w:bookmarkStart w:id="214" w:name="Tc_qrRP_yrbgUa0hPkdp53eZQ_26_0"/>
      <w:bookmarkStart w:id="215" w:name="Tc_YzNd8nOW906DOnGgzgi7kQ_25_10"/>
      <w:bookmarkStart w:id="216" w:name="Tc_UarA2Pf_gEuVKhgyAqFETg_25_7"/>
      <w:bookmarkStart w:id="217" w:name="Tc_3s2U6636mkm0Jv3Ntu9MRA_25_4"/>
      <w:bookmarkStart w:id="218" w:name="Tc_YTVTPXU6Kk-XmOyJLYIipA_25_1"/>
      <w:bookmarkStart w:id="219" w:name="Tc_a5GZRMCunUiRFpSP_svzMA_25_0"/>
      <w:bookmarkStart w:id="220" w:name="Tc_GcLYCwvJkkSvqc0cA-7prg_24_0"/>
      <w:bookmarkStart w:id="221" w:name="Tc_AQgkEh4DxUaje6X3BSoTIg_23_0"/>
      <w:bookmarkStart w:id="222" w:name="Tc_JPo7rO4Q0ECdamCS9LYrGw_22_10"/>
      <w:bookmarkStart w:id="223" w:name="Tc_yW2TefskbUOYOXobwyoSUg_22_7"/>
      <w:bookmarkStart w:id="224" w:name="Tc_r6qnVTHkUUmW-n4nxynsxw_22_4"/>
      <w:bookmarkStart w:id="225" w:name="Tc_7uxW95L_Y028rbJXS-SfpQ_22_1"/>
      <w:bookmarkStart w:id="226" w:name="Tc_jVe_swFfDEKRE2DkiGz2HQ_22_0"/>
      <w:bookmarkStart w:id="227" w:name="Tc_ZeDgz9CfSESm463FvP_xSA_21_10"/>
      <w:bookmarkStart w:id="228" w:name="Tc_2iHNVso36EucWJotq14V5g_21_7"/>
      <w:bookmarkStart w:id="229" w:name="Tc_BwffUB-N0kGZEVuAXKUkCA_21_4"/>
      <w:bookmarkStart w:id="230" w:name="Tc_wQufoYeyW0uu59MjTUihOQ_21_1"/>
      <w:bookmarkStart w:id="231" w:name="Tc_KwwyjEOoXk-w0U1A28A5Dw_21_0"/>
      <w:bookmarkStart w:id="232" w:name="Tc_7OW5LxVDzUGmdKXChE8UWQ_20_0"/>
      <w:bookmarkStart w:id="233" w:name="Tc_Bl_0Vj6jzUaIPs7vQXW8vQ_19_0"/>
      <w:bookmarkStart w:id="234" w:name="Tc_kd2GMzDJJ0CCKoWug7RUtA_18_0"/>
      <w:bookmarkStart w:id="235" w:name="Tc_Fh9vfDJb-U2RhoOphWlv-A_17_0"/>
      <w:bookmarkStart w:id="236" w:name="Tc_hvqyg94sLUObmWsF-GYRRA_16_0"/>
      <w:bookmarkStart w:id="237" w:name="Tc_LTTAz-DXaUaaubeVe6bQ9Q_15_11"/>
      <w:bookmarkStart w:id="238" w:name="Tc_UgpVSSZEbUmlHCbBfRYP1g_15_5"/>
      <w:bookmarkStart w:id="239" w:name="Tc_RseyUbi65U6G_GiGMM9yAA_15_0"/>
      <w:bookmarkStart w:id="240" w:name="Tc_9sqnTWUh9U6XpYuc_vPDMA_14_11"/>
      <w:bookmarkStart w:id="241" w:name="Tc_vR9aFl_x3U2sau_NFIYm8g_14_5"/>
      <w:bookmarkStart w:id="242" w:name="Tc_hKTjqZBk80m2PyugncLtXw_14_0"/>
      <w:bookmarkStart w:id="243" w:name="Tc_zaiO5hGHqEiGrNVqepv1Hw_13_11"/>
      <w:bookmarkStart w:id="244" w:name="Tc_JEBfqFV0oUOg1zB_l7ypUw_13_5"/>
      <w:bookmarkStart w:id="245" w:name="Tc_c9jIXW2iBkyCuMaQXEiFQQ_13_0"/>
      <w:bookmarkStart w:id="246" w:name="Tc_EN6kJkkEjkGFuqiY30h8MA_12_0"/>
      <w:bookmarkStart w:id="247" w:name="Tc_2TIOr5ecb0SPkASm52ulRw_11_0"/>
      <w:bookmarkStart w:id="248" w:name="Tc_uI1tTpv8b0K_wYwiP9xkxg_10_0"/>
      <w:bookmarkStart w:id="249" w:name="Tc_BYAriW_UdkWabG6sbCn66A_9_11"/>
      <w:bookmarkStart w:id="250" w:name="Tc_CL3r3b7rc0O0488tQPEomw_9_5"/>
      <w:bookmarkStart w:id="251" w:name="Tc_uNE0dOW6bU2xbVygvT_8jA_9_0"/>
      <w:bookmarkStart w:id="252" w:name="Tc_xwkFGx_wsEmYu8fyWYtYQw_8_0"/>
      <w:bookmarkStart w:id="253" w:name="Tc_iFzmEAuCDE-NLRDiRo8Lmg_7_0"/>
      <w:bookmarkStart w:id="254" w:name="Tc_MS6kl1Evn0-9fkaTXbT_Cw_6_0"/>
      <w:bookmarkStart w:id="255" w:name="Tc_P9hsTavWAUWnSq8JYNiT0g_5_5"/>
      <w:bookmarkStart w:id="256" w:name="Tc_iE17TTxRf0ilk1cPMj_Jug_5_0"/>
      <w:bookmarkStart w:id="257" w:name="Tc_ZCGZ1YRLoUKgZ5agHPTd0Q_4_10"/>
      <w:bookmarkStart w:id="258" w:name="Tc_WDwkLyhTtUKIG-oMl2OWIg_4_7"/>
      <w:bookmarkStart w:id="259" w:name="Tc_ey_hYwt8kkaNv-O2ZCUMSg_4_5"/>
      <w:bookmarkStart w:id="260" w:name="Tc_pHRlSY15jkiV_XtPtcAONg_4_4"/>
      <w:bookmarkStart w:id="261" w:name="Tc_YiUVC5eUmkabSSxvytS76A_4_1"/>
      <w:bookmarkStart w:id="262" w:name="Tc_-JTcvC85aESHrziqj0gTFA_4_0"/>
      <w:bookmarkStart w:id="263" w:name="Tc_GBbknLjlH0msZ3b-TzCefg_3_0"/>
      <w:bookmarkStart w:id="264" w:name="Tc_076je0UaF0addBqlYJS_tg_2_11"/>
      <w:bookmarkStart w:id="265" w:name="Tc_5WTUizMIwk-h8Mc79YT5FQ_2_8"/>
      <w:bookmarkStart w:id="266" w:name="Tc_UMFJ4IVM302ObFfEWNoI7w_2_5"/>
      <w:bookmarkStart w:id="267" w:name="Tc_nggv6TLbX0K6-f3DA1PnGg_2_2"/>
      <w:bookmarkStart w:id="268" w:name="Tc_BPb3bDYVqUCcN8lMLlzEKA_1_8"/>
      <w:bookmarkStart w:id="269" w:name="Tc_4K0ca4qJ10y3iDnSmyehrQ_1_2"/>
      <w:bookmarkStart w:id="270" w:name="_84dcb9c0_4a37_4ac5_b6c2_273087293aac"/>
      <w:bookmarkStart w:id="271" w:name="_1b8cdc4f_eb84_43bd_a8db_f0c806e69ffc"/>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p>
    <w:tbl>
      <w:tblPr>
        <w:tblW w:w="10205" w:type="dxa"/>
        <w:jc w:val="left"/>
        <w:tblInd w:w="0" w:type="dxa"/>
        <w:tblLayout w:type="fixed"/>
        <w:tblCellMar>
          <w:top w:w="0" w:type="dxa"/>
          <w:left w:w="0" w:type="dxa"/>
          <w:bottom w:w="0" w:type="dxa"/>
          <w:right w:w="0" w:type="dxa"/>
        </w:tblCellMar>
      </w:tblPr>
      <w:tblGrid>
        <w:gridCol w:w="4905"/>
        <w:gridCol w:w="196"/>
        <w:gridCol w:w="1036"/>
        <w:gridCol w:w="109"/>
        <w:gridCol w:w="196"/>
        <w:gridCol w:w="1036"/>
        <w:gridCol w:w="109"/>
        <w:gridCol w:w="196"/>
        <w:gridCol w:w="1036"/>
        <w:gridCol w:w="109"/>
        <w:gridCol w:w="196"/>
        <w:gridCol w:w="1081"/>
      </w:tblGrid>
      <w:tr>
        <w:trPr/>
        <w:tc>
          <w:tcPr>
            <w:tcW w:w="49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3114675" cy="175260"/>
                      <wp:effectExtent l="0" t="0" r="0" b="0"/>
                      <wp:wrapNone/>
                      <wp:docPr id="14" name="Frame13"/>
                      <a:graphic xmlns:a="http://schemas.openxmlformats.org/drawingml/2006/main">
                        <a:graphicData uri="http://schemas.microsoft.com/office/word/2010/wordprocessingShape">
                          <wps:wsp>
                            <wps:cNvSpPr txBox="1"/>
                            <wps:spPr>
                              <a:xfrm>
                                <a:off x="0" y="0"/>
                                <a:ext cx="31146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24460" cy="175260"/>
                      <wp:effectExtent l="0" t="0" r="0" b="0"/>
                      <wp:wrapNone/>
                      <wp:docPr id="15" name="Frame1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57860" cy="175260"/>
                      <wp:effectExtent l="0" t="0" r="0" b="0"/>
                      <wp:wrapNone/>
                      <wp:docPr id="16" name="Frame1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9215" cy="175260"/>
                      <wp:effectExtent l="0" t="0" r="0" b="0"/>
                      <wp:wrapNone/>
                      <wp:docPr id="17" name="Frame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24460" cy="175260"/>
                      <wp:effectExtent l="0" t="0" r="0" b="0"/>
                      <wp:wrapNone/>
                      <wp:docPr id="18" name="Frame1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57860" cy="175260"/>
                      <wp:effectExtent l="0" t="0" r="0" b="0"/>
                      <wp:wrapNone/>
                      <wp:docPr id="19" name="Frame1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9215" cy="175260"/>
                      <wp:effectExtent l="0" t="0" r="0" b="0"/>
                      <wp:wrapNone/>
                      <wp:docPr id="20" name="Frame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24460" cy="175260"/>
                      <wp:effectExtent l="0" t="0" r="0" b="0"/>
                      <wp:wrapNone/>
                      <wp:docPr id="21" name="Frame2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57860" cy="175260"/>
                      <wp:effectExtent l="0" t="0" r="0" b="0"/>
                      <wp:wrapNone/>
                      <wp:docPr id="22" name="Frame2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9215" cy="175260"/>
                      <wp:effectExtent l="0" t="0" r="0" b="0"/>
                      <wp:wrapNone/>
                      <wp:docPr id="23" name="Frame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24460" cy="175260"/>
                      <wp:effectExtent l="0" t="0" r="0" b="0"/>
                      <wp:wrapNone/>
                      <wp:docPr id="24" name="Frame2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86435" cy="175260"/>
                      <wp:effectExtent l="0" t="0" r="0" b="0"/>
                      <wp:wrapNone/>
                      <wp:docPr id="25" name="Frame24"/>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905" w:type="dxa"/>
            <w:tcBorders/>
            <w:shd w:fill="FFFFFF" w:val="clear"/>
            <w:vAlign w:val="center"/>
          </w:tcPr>
          <w:p>
            <w:pPr>
              <w:pStyle w:val="TableContents"/>
              <w:bidi w:val="0"/>
              <w:spacing w:before="0" w:after="1"/>
              <w:ind w:left="0" w:right="0" w:hanging="0"/>
              <w:jc w:val="left"/>
              <w:rPr/>
            </w:pPr>
            <w:r>
              <w:rPr/>
              <w:t>​</w:t>
            </w:r>
          </w:p>
        </w:tc>
        <w:tc>
          <w:tcPr>
            <w:tcW w:w="196" w:type="dxa"/>
            <w:tcBorders/>
            <w:shd w:fill="FFFFFF" w:val="clear"/>
            <w:vAlign w:val="center"/>
          </w:tcPr>
          <w:p>
            <w:pPr>
              <w:pStyle w:val="TableContents"/>
              <w:bidi w:val="0"/>
              <w:spacing w:before="0" w:after="1"/>
              <w:ind w:left="0" w:right="0" w:hanging="0"/>
              <w:jc w:val="left"/>
              <w:rPr/>
            </w:pPr>
            <w:r>
              <w:rPr/>
              <w:t>​</w:t>
            </w:r>
          </w:p>
        </w:tc>
        <w:tc>
          <w:tcPr>
            <w:tcW w:w="2377" w:type="dxa"/>
            <w:gridSpan w:val="4"/>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For the three months ended</w:t>
              <w:br/>
              <w:t>June 30,</w:t>
            </w:r>
          </w:p>
        </w:tc>
        <w:tc>
          <w:tcPr>
            <w:tcW w:w="109" w:type="dxa"/>
            <w:tcBorders/>
            <w:shd w:fill="FFFFFF" w:val="clear"/>
            <w:vAlign w:val="center"/>
          </w:tcPr>
          <w:p>
            <w:pPr>
              <w:pStyle w:val="TableContents"/>
              <w:bidi w:val="0"/>
              <w:spacing w:before="0" w:after="1"/>
              <w:ind w:left="0" w:right="0" w:hanging="0"/>
              <w:jc w:val="left"/>
              <w:rPr/>
            </w:pPr>
            <w:r>
              <w:rPr/>
              <w:t>​</w:t>
            </w:r>
          </w:p>
        </w:tc>
        <w:tc>
          <w:tcPr>
            <w:tcW w:w="196" w:type="dxa"/>
            <w:tcBorders/>
            <w:shd w:fill="FFFFFF" w:val="clear"/>
            <w:vAlign w:val="center"/>
          </w:tcPr>
          <w:p>
            <w:pPr>
              <w:pStyle w:val="TableContents"/>
              <w:bidi w:val="0"/>
              <w:spacing w:before="0" w:after="1"/>
              <w:ind w:left="0" w:right="0" w:hanging="0"/>
              <w:jc w:val="left"/>
              <w:rPr/>
            </w:pPr>
            <w:r>
              <w:rPr/>
              <w:t>​</w:t>
            </w:r>
          </w:p>
        </w:tc>
        <w:tc>
          <w:tcPr>
            <w:tcW w:w="2422" w:type="dxa"/>
            <w:gridSpan w:val="4"/>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For the six months ended</w:t>
              <w:br/>
              <w:t>June 30,</w:t>
            </w:r>
          </w:p>
        </w:tc>
      </w:tr>
      <w:tr>
        <w:trPr/>
        <w:tc>
          <w:tcPr>
            <w:tcW w:w="4905" w:type="dxa"/>
            <w:tcBorders/>
            <w:shd w:fill="FFFFFF" w:val="clear"/>
            <w:vAlign w:val="center"/>
          </w:tcPr>
          <w:p>
            <w:pPr>
              <w:pStyle w:val="TableContents"/>
              <w:bidi w:val="0"/>
              <w:spacing w:before="0" w:after="1"/>
              <w:ind w:left="0" w:right="0" w:hanging="0"/>
              <w:jc w:val="left"/>
              <w:rPr/>
            </w:pPr>
            <w:r>
              <w:rPr/>
              <w:t>​</w:t>
            </w:r>
          </w:p>
        </w:tc>
        <w:tc>
          <w:tcPr>
            <w:tcW w:w="196" w:type="dxa"/>
            <w:tcBorders/>
            <w:shd w:fill="FFFFFF" w:val="cle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109" w:type="dxa"/>
            <w:tcBorders/>
            <w:shd w:fill="FFFFFF" w:val="clear"/>
            <w:vAlign w:val="center"/>
          </w:tcPr>
          <w:p>
            <w:pPr>
              <w:pStyle w:val="TableContents"/>
              <w:bidi w:val="0"/>
              <w:spacing w:before="0" w:after="1"/>
              <w:ind w:left="0" w:right="0" w:hanging="0"/>
              <w:jc w:val="left"/>
              <w:rPr/>
            </w:pPr>
            <w:r>
              <w:rPr/>
              <w:t>​</w:t>
            </w:r>
          </w:p>
        </w:tc>
        <w:tc>
          <w:tcPr>
            <w:tcW w:w="196" w:type="dxa"/>
            <w:tcBorders/>
            <w:shd w:fill="FFFFFF" w:val="cle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09" w:type="dxa"/>
            <w:tcBorders/>
            <w:shd w:fill="FFFFFF" w:val="clear"/>
            <w:vAlign w:val="center"/>
          </w:tcPr>
          <w:p>
            <w:pPr>
              <w:pStyle w:val="TableContents"/>
              <w:bidi w:val="0"/>
              <w:spacing w:before="0" w:after="1"/>
              <w:ind w:left="0" w:right="0" w:hanging="0"/>
              <w:jc w:val="left"/>
              <w:rPr/>
            </w:pPr>
            <w:r>
              <w:rPr/>
              <w:t>​</w:t>
            </w:r>
          </w:p>
        </w:tc>
        <w:tc>
          <w:tcPr>
            <w:tcW w:w="196" w:type="dxa"/>
            <w:tcBorders/>
            <w:shd w:fill="FFFFFF" w:val="cle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109" w:type="dxa"/>
            <w:tcBorders/>
            <w:shd w:fill="FFFFFF" w:val="clear"/>
            <w:vAlign w:val="center"/>
          </w:tcPr>
          <w:p>
            <w:pPr>
              <w:pStyle w:val="TableContents"/>
              <w:bidi w:val="0"/>
              <w:spacing w:before="0" w:after="1"/>
              <w:ind w:left="0" w:right="0" w:hanging="0"/>
              <w:jc w:val="left"/>
              <w:rPr/>
            </w:pPr>
            <w:r>
              <w:rPr/>
              <w:t>​</w:t>
            </w:r>
          </w:p>
        </w:tc>
        <w:tc>
          <w:tcPr>
            <w:tcW w:w="196" w:type="dxa"/>
            <w:tcBorders/>
            <w:shd w:fill="FFFFFF" w:val="clear"/>
            <w:vAlign w:val="center"/>
          </w:tcPr>
          <w:p>
            <w:pPr>
              <w:pStyle w:val="TableContents"/>
              <w:bidi w:val="0"/>
              <w:spacing w:before="0" w:after="1"/>
              <w:ind w:left="0" w:right="0" w:hanging="0"/>
              <w:jc w:val="left"/>
              <w:rPr/>
            </w:pPr>
            <w:r>
              <w:rPr/>
              <w:t>​</w:t>
            </w:r>
          </w:p>
        </w:tc>
        <w:tc>
          <w:tcPr>
            <w:tcW w:w="1081" w:type="dxa"/>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490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Revenue:</w:t>
            </w:r>
          </w:p>
        </w:tc>
        <w:tc>
          <w:tcPr>
            <w:tcW w:w="19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left"/>
              <w:rPr/>
            </w:pPr>
            <w:r>
              <w:rPr/>
              <w:t>​</w:t>
            </w:r>
          </w:p>
        </w:tc>
      </w:tr>
      <w:tr>
        <w:trPr/>
        <w:tc>
          <w:tcPr>
            <w:tcW w:w="49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License and collaboration revenue</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w:t>
            </w:r>
          </w:p>
        </w:tc>
      </w:tr>
      <w:tr>
        <w:trPr/>
        <w:tc>
          <w:tcPr>
            <w:tcW w:w="49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196" w:type="dxa"/>
            <w:tcBorders/>
            <w:shd w:fill="CCEEFF" w:val="cle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w:t>
            </w:r>
          </w:p>
        </w:tc>
      </w:tr>
      <w:tr>
        <w:trPr/>
        <w:tc>
          <w:tcPr>
            <w:tcW w:w="49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19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left"/>
              <w:rPr/>
            </w:pPr>
            <w:r>
              <w:rPr/>
              <w:t>​</w:t>
            </w:r>
          </w:p>
        </w:tc>
      </w:tr>
      <w:tr>
        <w:trPr/>
        <w:tc>
          <w:tcPr>
            <w:tcW w:w="49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19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62,913</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43,027</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123,352</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77,942</w:t>
            </w:r>
          </w:p>
        </w:tc>
      </w:tr>
      <w:tr>
        <w:trPr/>
        <w:tc>
          <w:tcPr>
            <w:tcW w:w="49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19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15,746</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12,136</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32,657</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24,551</w:t>
            </w:r>
          </w:p>
        </w:tc>
      </w:tr>
      <w:tr>
        <w:trPr/>
        <w:tc>
          <w:tcPr>
            <w:tcW w:w="49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Acquired in-process research and development</w:t>
            </w:r>
          </w:p>
        </w:tc>
        <w:tc>
          <w:tcPr>
            <w:tcW w:w="196" w:type="dxa"/>
            <w:tcBorders/>
            <w:shd w:fill="CCEEFF" w:val="cle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30,000</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30,000</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49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196" w:type="dxa"/>
            <w:tcBorders/>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108,659</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55,163</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186,009</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102,493</w:t>
            </w:r>
          </w:p>
        </w:tc>
      </w:tr>
      <w:tr>
        <w:trPr/>
        <w:tc>
          <w:tcPr>
            <w:tcW w:w="49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196" w:type="dxa"/>
            <w:tcBorders/>
            <w:shd w:fill="CCEEFF" w:val="cle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(107,659)</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(55,163)</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(185,009)</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(92,493)</w:t>
            </w:r>
          </w:p>
        </w:tc>
      </w:tr>
      <w:tr>
        <w:trPr/>
        <w:tc>
          <w:tcPr>
            <w:tcW w:w="49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19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pPr>
            <w:r>
              <w:rPr/>
              <w:t>​</w:t>
            </w:r>
          </w:p>
        </w:tc>
      </w:tr>
      <w:tr>
        <w:trPr/>
        <w:tc>
          <w:tcPr>
            <w:tcW w:w="49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 on royalty obligation</w:t>
            </w:r>
          </w:p>
        </w:tc>
        <w:tc>
          <w:tcPr>
            <w:tcW w:w="19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(6,837)</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(13,100)</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pPr>
            <w:r>
              <w:rPr/>
              <w:t>—</w:t>
            </w:r>
          </w:p>
        </w:tc>
      </w:tr>
      <w:tr>
        <w:trPr/>
        <w:tc>
          <w:tcPr>
            <w:tcW w:w="49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 on senior secured term loan</w:t>
            </w:r>
          </w:p>
        </w:tc>
        <w:tc>
          <w:tcPr>
            <w:tcW w:w="19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(1,720)</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(2,088)</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pPr>
            <w:r>
              <w:rPr/>
              <w:t>—</w:t>
            </w:r>
          </w:p>
        </w:tc>
      </w:tr>
      <w:tr>
        <w:trPr/>
        <w:tc>
          <w:tcPr>
            <w:tcW w:w="49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 on convertible senior notes</w:t>
            </w:r>
          </w:p>
        </w:tc>
        <w:tc>
          <w:tcPr>
            <w:tcW w:w="19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(1,745)</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(1,745)</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pPr>
            <w:r>
              <w:rPr/>
              <w:t>—</w:t>
            </w:r>
          </w:p>
        </w:tc>
      </w:tr>
      <w:tr>
        <w:trPr/>
        <w:tc>
          <w:tcPr>
            <w:tcW w:w="49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19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6,603</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2,743</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9,621</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6,136</w:t>
            </w:r>
          </w:p>
        </w:tc>
      </w:tr>
      <w:tr>
        <w:trPr/>
        <w:tc>
          <w:tcPr>
            <w:tcW w:w="49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196" w:type="dxa"/>
            <w:tcBorders/>
            <w:shd w:fill="CCEEFF" w:val="cle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376</w:t>
            </w:r>
          </w:p>
        </w:tc>
      </w:tr>
      <w:tr>
        <w:trPr/>
        <w:tc>
          <w:tcPr>
            <w:tcW w:w="49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income (expense), net</w:t>
            </w:r>
          </w:p>
        </w:tc>
        <w:tc>
          <w:tcPr>
            <w:tcW w:w="196" w:type="dxa"/>
            <w:tcBorders/>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(3,683)</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2,960</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(7,320)</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6,512</w:t>
            </w:r>
          </w:p>
        </w:tc>
      </w:tr>
      <w:tr>
        <w:trPr/>
        <w:tc>
          <w:tcPr>
            <w:tcW w:w="49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before income taxes</w:t>
            </w:r>
          </w:p>
        </w:tc>
        <w:tc>
          <w:tcPr>
            <w:tcW w:w="19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(111,342)</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(52,203)</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(192,329)</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(85,981)</w:t>
            </w:r>
          </w:p>
        </w:tc>
      </w:tr>
      <w:tr>
        <w:trPr/>
        <w:tc>
          <w:tcPr>
            <w:tcW w:w="49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provision (benefit)</w:t>
            </w:r>
          </w:p>
        </w:tc>
        <w:tc>
          <w:tcPr>
            <w:tcW w:w="196" w:type="dxa"/>
            <w:tcBorders/>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w:t>
            </w:r>
          </w:p>
        </w:tc>
      </w:tr>
      <w:tr>
        <w:trPr/>
        <w:tc>
          <w:tcPr>
            <w:tcW w:w="49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Net loss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(111,456)</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(52,223)</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(192,443)</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(85,796)</w:t>
            </w:r>
          </w:p>
        </w:tc>
      </w:tr>
      <w:tr>
        <w:trPr/>
        <w:tc>
          <w:tcPr>
            <w:tcW w:w="49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per share - basic and diluted</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(3.24)</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w:t>
            </w:r>
          </w:p>
        </w:tc>
      </w:tr>
      <w:tr>
        <w:trPr/>
        <w:tc>
          <w:tcPr>
            <w:tcW w:w="49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common stock outstanding - basic and diluted</w:t>
            </w:r>
          </w:p>
        </w:tc>
        <w:tc>
          <w:tcPr>
            <w:tcW w:w="196" w:type="dxa"/>
            <w:tcBorders/>
            <w:shd w:fill="CCEEFF" w:val="clear"/>
            <w:vAlign w:val="center"/>
          </w:tcPr>
          <w:p>
            <w:pPr>
              <w:pStyle w:val="TableContents"/>
              <w:bidi w:val="0"/>
              <w:spacing w:before="0" w:after="1"/>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63,112,314</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41,865,400</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59,393,300</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41,833,279</w:t>
            </w:r>
          </w:p>
        </w:tc>
      </w:tr>
      <w:tr>
        <w:trPr/>
        <w:tc>
          <w:tcPr>
            <w:tcW w:w="49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Comprehensive loss:</w:t>
            </w:r>
          </w:p>
        </w:tc>
        <w:tc>
          <w:tcPr>
            <w:tcW w:w="19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pPr>
            <w:r>
              <w:rPr/>
              <w:t>​</w:t>
            </w:r>
          </w:p>
        </w:tc>
      </w:tr>
      <w:tr>
        <w:trPr/>
        <w:tc>
          <w:tcPr>
            <w:tcW w:w="49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Net loss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(111,456)</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(52,223)</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(192,443)</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(85,796)</w:t>
            </w:r>
          </w:p>
        </w:tc>
      </w:tr>
      <w:tr>
        <w:trPr/>
        <w:tc>
          <w:tcPr>
            <w:tcW w:w="49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19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pPr>
            <w:r>
              <w:rPr/>
              <w:t>​</w:t>
            </w:r>
          </w:p>
        </w:tc>
      </w:tr>
      <w:tr>
        <w:trPr/>
        <w:tc>
          <w:tcPr>
            <w:tcW w:w="49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(loss) gain on investments</w:t>
            </w:r>
          </w:p>
        </w:tc>
        <w:tc>
          <w:tcPr>
            <w:tcW w:w="19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(780)</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(1,121)</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49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 adjustment</w:t>
            </w:r>
          </w:p>
        </w:tc>
        <w:tc>
          <w:tcPr>
            <w:tcW w:w="196" w:type="dxa"/>
            <w:tcBorders/>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(330)</w:t>
            </w:r>
          </w:p>
        </w:tc>
      </w:tr>
      <w:tr>
        <w:trPr/>
        <w:tc>
          <w:tcPr>
            <w:tcW w:w="49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Comprehensive loss</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(112,220)</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(52,458)</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(193,520)</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(86,084)</w:t>
            </w:r>
          </w:p>
        </w:tc>
      </w:tr>
    </w:tbl>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72" w:name="_d87c11b4_fc82_499f_b522_e3c61d3f1331"/>
      <w:bookmarkEnd w:id="272"/>
      <w:r>
        <w:rPr>
          <w:rFonts w:ascii="Times New Roman;Times;serif" w:hAnsi="Times New Roman;Times;serif"/>
          <w:b/>
          <w:sz w:val="20"/>
        </w:rPr>
        <w:t>Zenas BioPharma, Inc.</w:t>
      </w:r>
    </w:p>
    <w:p>
      <w:pPr>
        <w:pStyle w:val="TextBody"/>
        <w:bidi w:val="0"/>
        <w:spacing w:before="0" w:after="0"/>
        <w:ind w:left="0" w:right="0" w:hanging="0"/>
        <w:jc w:val="center"/>
        <w:rPr>
          <w:rFonts w:ascii="Times New Roman;Times;serif" w:hAnsi="Times New Roman;Times;serif"/>
          <w:b/>
          <w:sz w:val="20"/>
        </w:rPr>
      </w:pPr>
      <w:bookmarkStart w:id="273" w:name="CondensedConsolidatedStatementsofChanges"/>
      <w:bookmarkStart w:id="274" w:name="StockholdersEquity_262961"/>
      <w:bookmarkEnd w:id="273"/>
      <w:bookmarkEnd w:id="274"/>
      <w:r>
        <w:rPr>
          <w:rFonts w:ascii="Times New Roman;Times;serif" w:hAnsi="Times New Roman;Times;serif"/>
          <w:b/>
          <w:sz w:val="20"/>
        </w:rPr>
        <w:t>Condensed 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data)</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75" w:name="Tc_LnlA-80YkUeDDtk65uedGQ_21_16"/>
      <w:bookmarkStart w:id="276" w:name="Tc_2fJTUy630kqAEkTjxV8G_A_21_13"/>
      <w:bookmarkStart w:id="277" w:name="Tc_T05xiMy2kk2iJiXNpxFc1g_21_10"/>
      <w:bookmarkStart w:id="278" w:name="Tc_L7kWP8dFXECMBBiRmmuJcA_21_7"/>
      <w:bookmarkStart w:id="279" w:name="Tc_BTzWFo7-UUauNL1rg2ZL0g_21_4"/>
      <w:bookmarkStart w:id="280" w:name="Tc_35hwyt2BTk2Jg98N9XP5lg_21_0"/>
      <w:bookmarkStart w:id="281" w:name="Tc_l90twJMtpUqyz0KSQPAHYg_20_11"/>
      <w:bookmarkStart w:id="282" w:name="Tc_zPYkyw8exk6AcWrQjvMENw_20_8"/>
      <w:bookmarkStart w:id="283" w:name="Tc_WYcuIO2eQkG6lRa43-thlQ_20_5"/>
      <w:bookmarkStart w:id="284" w:name="Tc_IgQ6KRBvRk2z80sXKq5qfQ_20_2"/>
      <w:bookmarkStart w:id="285" w:name="Tc_gPsivBf770WHHf9Q5U908g_20_0"/>
      <w:bookmarkStart w:id="286" w:name="Tc_UGwCWKr-HkmGGNGj2oYRZQ_19_14"/>
      <w:bookmarkStart w:id="287" w:name="Tc_0bJfYax9kEG7g9xhZLEqjQ_19_8"/>
      <w:bookmarkStart w:id="288" w:name="Tc_sHJgPYQ0JEKfZd1Sjz9ZfQ_19_5"/>
      <w:bookmarkStart w:id="289" w:name="Tc_K1mNBCmyUkm2lAfxuoIUnQ_19_2"/>
      <w:bookmarkStart w:id="290" w:name="Tc_GYexTY2Y70eFzvluxcyaSw_19_0"/>
      <w:bookmarkStart w:id="291" w:name="Tc_srEkl_qAJUiEQqA-BPJCvw_18_14"/>
      <w:bookmarkStart w:id="292" w:name="Tc_617svvodwUuU46rOeLjNBQ_18_8"/>
      <w:bookmarkStart w:id="293" w:name="Tc__1L9xIysuEyuFQRN8gnNLg_18_5"/>
      <w:bookmarkStart w:id="294" w:name="Tc_s3H-8KF6QECTREq8vgZFwg_18_2"/>
      <w:bookmarkStart w:id="295" w:name="Tc_FWyOdcj8tUmkbouiGLkVtA_18_0"/>
      <w:bookmarkStart w:id="296" w:name="Tc_n4J6XxAehEOMDS65sUoO4g_17_14"/>
      <w:bookmarkStart w:id="297" w:name="Tc_8LjgN8TWrESFq3F4rA7sIw_17_11"/>
      <w:bookmarkStart w:id="298" w:name="Tc_Yh9TMdTPDUml71ESwq7jYA_17_5"/>
      <w:bookmarkStart w:id="299" w:name="Tc_rl7Lx5K4akGcerDxtJdgqQ_17_0"/>
      <w:bookmarkStart w:id="300" w:name="Tc_Am2apVkL0EmvpXooa6dIgQ_16_14"/>
      <w:bookmarkStart w:id="301" w:name="Tc_-RH29f0NOkmhk1etsvH61Q_16_11"/>
      <w:bookmarkStart w:id="302" w:name="Tc_zy5rFL46-Ue8g_OlbJYqUw_16_5"/>
      <w:bookmarkStart w:id="303" w:name="Tc_FPMnNpZv9kuH7f9221VM_Q_16_2"/>
      <w:bookmarkStart w:id="304" w:name="Tc_6sBKNYfmTUOhSBsldvoncA_16_0"/>
      <w:bookmarkStart w:id="305" w:name="Tc_mycsdIXvtUGZMOXX9OthDQ_15_17"/>
      <w:bookmarkStart w:id="306" w:name="Tc_6GD2MjVJ7UunrvxuxBootQ_15_14"/>
      <w:bookmarkStart w:id="307" w:name="Tc_IbUC0KzCoU6KmR4QH3Omug_15_11"/>
      <w:bookmarkStart w:id="308" w:name="Tc_YbeqtoTowkW2myRmPi0pEQ_15_8"/>
      <w:bookmarkStart w:id="309" w:name="Tc_ulLAMmZh9E-p_qezWQqMCw_15_5"/>
      <w:bookmarkStart w:id="310" w:name="Tc_63GIfDKNg0CEl1I7zR5Qbw_15_0"/>
      <w:bookmarkStart w:id="311" w:name="Tc_lXeAxPj4L0SIH8fNNXNm3g_14_14"/>
      <w:bookmarkStart w:id="312" w:name="Tc_BBsU1ilU8EqOFS6NS7vjSw_14_11"/>
      <w:bookmarkStart w:id="313" w:name="Tc_OcifkpjVmkuy2_kQCMb9HA_14_5"/>
      <w:bookmarkStart w:id="314" w:name="Tc_rY_wKbrrNEWoYAFJoD7ahw_14_0"/>
      <w:bookmarkStart w:id="315" w:name="Tc_w18c6Ddb5EOjTQrKvyjkjA_13_16"/>
      <w:bookmarkStart w:id="316" w:name="Tc_ViPH3gjiikGW2lPfi2aMlQ_13_13"/>
      <w:bookmarkStart w:id="317" w:name="Tc_s6geyPX7rkmajJwhgA954A_13_10"/>
      <w:bookmarkStart w:id="318" w:name="Tc_cv9s_wrghUK_K-lF49V0GA_13_7"/>
      <w:bookmarkStart w:id="319" w:name="Tc_SLNKU_3awk2ZUETyTTFcOw_13_4"/>
      <w:bookmarkStart w:id="320" w:name="Tc_8yeK1nUGYEWkEFb-Q3FXFw_13_0"/>
      <w:bookmarkStart w:id="321" w:name="Tc_phPELOw6D0u-GhBnp4q6Fg_12_11"/>
      <w:bookmarkStart w:id="322" w:name="Tc_vTQ8ewLcDEGObxejmgA5Cw_12_8"/>
      <w:bookmarkStart w:id="323" w:name="Tc_jV2Q7onxxEaZsu2ukD66Kw_12_5"/>
      <w:bookmarkStart w:id="324" w:name="Tc_ZytTiiAelEqUWV5K3-vc7w_12_2"/>
      <w:bookmarkStart w:id="325" w:name="Tc_THLenVV7qkuaIWsPkbWH9Q_12_0"/>
      <w:bookmarkStart w:id="326" w:name="Tc_GFqZoCqdkkmkt_Z1TVHmYw_11_14"/>
      <w:bookmarkStart w:id="327" w:name="Tc_yrMNZJCYKEKJWBDc4y9t7A_11_8"/>
      <w:bookmarkStart w:id="328" w:name="Tc_qaPdd_onvUyuvnzoAIshrQ_11_5"/>
      <w:bookmarkStart w:id="329" w:name="Tc_ULVMmFHytEa5g17crPg8cQ_11_2"/>
      <w:bookmarkStart w:id="330" w:name="Tc_yeVIF2uB6ku8lDw8ywwSjg_11_0"/>
      <w:bookmarkStart w:id="331" w:name="Tc_KvVfcfLud0uRNHyPmm114A_10_14"/>
      <w:bookmarkStart w:id="332" w:name="Tc_-sfBjyRVLUCytn5dqkR_3g_10_8"/>
      <w:bookmarkStart w:id="333" w:name="Tc_eCxfRye1vE-gLnSIDERTAQ_10_5"/>
      <w:bookmarkStart w:id="334" w:name="Tc_IDrK3kOgykudQXnJIiqH9g_10_2"/>
      <w:bookmarkStart w:id="335" w:name="Tc_kkxHNvD2uUmmpvWYwhb8kQ_10_0"/>
      <w:bookmarkStart w:id="336" w:name="Tc_SALFfmV7KkminFjhdOALHA_9_14"/>
      <w:bookmarkStart w:id="337" w:name="Tc_ygLIqYYCVUunvM7iQlASmw_9_11"/>
      <w:bookmarkStart w:id="338" w:name="Tc_9EGJEQsTzkW9LMQI5IyQkA_9_0"/>
      <w:bookmarkStart w:id="339" w:name="Tc_yYcYe1Y9EEW5x3GROeoukw_8_14"/>
      <w:bookmarkStart w:id="340" w:name="Tc_7VO0V9SboEu-Dz35rG-hsw_8_11"/>
      <w:bookmarkStart w:id="341" w:name="Tc_mfvFxjQz0kqdl7Torvvy2g_8_5"/>
      <w:bookmarkStart w:id="342" w:name="Tc_g8S8hUjATEyiB4qoiP0fBw_8_0"/>
      <w:bookmarkStart w:id="343" w:name="Tc_sozSAJ4kOkqs9Y-79FiCbw_7_14"/>
      <w:bookmarkStart w:id="344" w:name="Tc_34w567huq0--u93ybCkLcQ_7_11"/>
      <w:bookmarkStart w:id="345" w:name="Tc_NxiLeNZXjES6iGCXLU1wQg_7_5"/>
      <w:bookmarkStart w:id="346" w:name="Tc_f8v-VOd4oEK4cQwjfewVsA_7_0"/>
      <w:bookmarkStart w:id="347" w:name="Tc_WrkhJt7C40yuduEykjkZOg_6_14"/>
      <w:bookmarkStart w:id="348" w:name="Tc_S-XwGkRhoUinZAC4Q2XzUw_6_11"/>
      <w:bookmarkStart w:id="349" w:name="Tc_m7Q16PzcoE6JPXyFEn2_TQ_6_5"/>
      <w:bookmarkStart w:id="350" w:name="Tc_eRRkA5QbtEWUgVpfd-HZwg_6_2"/>
      <w:bookmarkStart w:id="351" w:name="Tc_exH5yOSDRESmW_XyuV9WbA_6_0"/>
      <w:bookmarkStart w:id="352" w:name="Tc_iGHOo797KkCJUilgZpOAuA_5_14"/>
      <w:bookmarkStart w:id="353" w:name="Tc_f2GRRxdQJEumvEeA0C42qQ_5_11"/>
      <w:bookmarkStart w:id="354" w:name="Tc_S6dy6GSWbE6OoBNsE_Qjug_5_5"/>
      <w:bookmarkStart w:id="355" w:name="Tc_HpIG8GHxBkCirOh9bAHq8Q_5_0"/>
      <w:bookmarkStart w:id="356" w:name="Tc_K9zFSXqhHUa6skZMzIMizA_4_16"/>
      <w:bookmarkStart w:id="357" w:name="Tc_loc9T2Vt5E6bHVpCcY2BzA_4_13"/>
      <w:bookmarkStart w:id="358" w:name="Tc_3cGg31UIr0mks99GRqWZzQ_4_10"/>
      <w:bookmarkStart w:id="359" w:name="Tc_crEyWU-a6kSlSTji93ghYw_4_7"/>
      <w:bookmarkStart w:id="360" w:name="Tc_xBKpX7HgpUaGRjPddmPUdg_4_4"/>
      <w:bookmarkStart w:id="361" w:name="Tc_Gh-3OC_bB0Gcy7Iz7u_THw_4_0"/>
      <w:bookmarkStart w:id="362" w:name="Tc_nLNL_vKmkUSW4PQH06Bdgw_3_16"/>
      <w:bookmarkStart w:id="363" w:name="Tc_WSsVjUPGxkqLPYArFI1FtA_3_13"/>
      <w:bookmarkStart w:id="364" w:name="Tc__poPcyaqvESpRo5f9u7HxQ_3_10"/>
      <w:bookmarkStart w:id="365" w:name="Tc_2B5MLTwuiUWqLvQKpgIVIQ_3_7"/>
      <w:bookmarkStart w:id="366" w:name="Tc_HOXLh-gKKUayb6-Ya8VWZQ_3_4"/>
      <w:bookmarkStart w:id="367" w:name="Tc_AXS3P14idUGEhxkjA4i6XA_3_2"/>
      <w:bookmarkStart w:id="368" w:name="Tc_59lVw8lHOU6T5wUArwb0tg_2_2"/>
      <w:bookmarkStart w:id="369" w:name="_fa8750a5_9aa8_49bc_a23e_0a400c5f218a"/>
      <w:bookmarkStart w:id="370" w:name="Tc_LnlA-80YkUeDDtk65uedGQ_21_16"/>
      <w:bookmarkStart w:id="371" w:name="Tc_2fJTUy630kqAEkTjxV8G_A_21_13"/>
      <w:bookmarkStart w:id="372" w:name="Tc_T05xiMy2kk2iJiXNpxFc1g_21_10"/>
      <w:bookmarkStart w:id="373" w:name="Tc_L7kWP8dFXECMBBiRmmuJcA_21_7"/>
      <w:bookmarkStart w:id="374" w:name="Tc_BTzWFo7-UUauNL1rg2ZL0g_21_4"/>
      <w:bookmarkStart w:id="375" w:name="Tc_35hwyt2BTk2Jg98N9XP5lg_21_0"/>
      <w:bookmarkStart w:id="376" w:name="Tc_l90twJMtpUqyz0KSQPAHYg_20_11"/>
      <w:bookmarkStart w:id="377" w:name="Tc_zPYkyw8exk6AcWrQjvMENw_20_8"/>
      <w:bookmarkStart w:id="378" w:name="Tc_WYcuIO2eQkG6lRa43-thlQ_20_5"/>
      <w:bookmarkStart w:id="379" w:name="Tc_IgQ6KRBvRk2z80sXKq5qfQ_20_2"/>
      <w:bookmarkStart w:id="380" w:name="Tc_gPsivBf770WHHf9Q5U908g_20_0"/>
      <w:bookmarkStart w:id="381" w:name="Tc_UGwCWKr-HkmGGNGj2oYRZQ_19_14"/>
      <w:bookmarkStart w:id="382" w:name="Tc_0bJfYax9kEG7g9xhZLEqjQ_19_8"/>
      <w:bookmarkStart w:id="383" w:name="Tc_sHJgPYQ0JEKfZd1Sjz9ZfQ_19_5"/>
      <w:bookmarkStart w:id="384" w:name="Tc_K1mNBCmyUkm2lAfxuoIUnQ_19_2"/>
      <w:bookmarkStart w:id="385" w:name="Tc_GYexTY2Y70eFzvluxcyaSw_19_0"/>
      <w:bookmarkStart w:id="386" w:name="Tc_srEkl_qAJUiEQqA-BPJCvw_18_14"/>
      <w:bookmarkStart w:id="387" w:name="Tc_617svvodwUuU46rOeLjNBQ_18_8"/>
      <w:bookmarkStart w:id="388" w:name="Tc__1L9xIysuEyuFQRN8gnNLg_18_5"/>
      <w:bookmarkStart w:id="389" w:name="Tc_s3H-8KF6QECTREq8vgZFwg_18_2"/>
      <w:bookmarkStart w:id="390" w:name="Tc_FWyOdcj8tUmkbouiGLkVtA_18_0"/>
      <w:bookmarkStart w:id="391" w:name="Tc_n4J6XxAehEOMDS65sUoO4g_17_14"/>
      <w:bookmarkStart w:id="392" w:name="Tc_8LjgN8TWrESFq3F4rA7sIw_17_11"/>
      <w:bookmarkStart w:id="393" w:name="Tc_Yh9TMdTPDUml71ESwq7jYA_17_5"/>
      <w:bookmarkStart w:id="394" w:name="Tc_rl7Lx5K4akGcerDxtJdgqQ_17_0"/>
      <w:bookmarkStart w:id="395" w:name="Tc_Am2apVkL0EmvpXooa6dIgQ_16_14"/>
      <w:bookmarkStart w:id="396" w:name="Tc_-RH29f0NOkmhk1etsvH61Q_16_11"/>
      <w:bookmarkStart w:id="397" w:name="Tc_zy5rFL46-Ue8g_OlbJYqUw_16_5"/>
      <w:bookmarkStart w:id="398" w:name="Tc_FPMnNpZv9kuH7f9221VM_Q_16_2"/>
      <w:bookmarkStart w:id="399" w:name="Tc_6sBKNYfmTUOhSBsldvoncA_16_0"/>
      <w:bookmarkStart w:id="400" w:name="Tc_mycsdIXvtUGZMOXX9OthDQ_15_17"/>
      <w:bookmarkStart w:id="401" w:name="Tc_6GD2MjVJ7UunrvxuxBootQ_15_14"/>
      <w:bookmarkStart w:id="402" w:name="Tc_IbUC0KzCoU6KmR4QH3Omug_15_11"/>
      <w:bookmarkStart w:id="403" w:name="Tc_YbeqtoTowkW2myRmPi0pEQ_15_8"/>
      <w:bookmarkStart w:id="404" w:name="Tc_ulLAMmZh9E-p_qezWQqMCw_15_5"/>
      <w:bookmarkStart w:id="405" w:name="Tc_63GIfDKNg0CEl1I7zR5Qbw_15_0"/>
      <w:bookmarkStart w:id="406" w:name="Tc_lXeAxPj4L0SIH8fNNXNm3g_14_14"/>
      <w:bookmarkStart w:id="407" w:name="Tc_BBsU1ilU8EqOFS6NS7vjSw_14_11"/>
      <w:bookmarkStart w:id="408" w:name="Tc_OcifkpjVmkuy2_kQCMb9HA_14_5"/>
      <w:bookmarkStart w:id="409" w:name="Tc_rY_wKbrrNEWoYAFJoD7ahw_14_0"/>
      <w:bookmarkStart w:id="410" w:name="Tc_w18c6Ddb5EOjTQrKvyjkjA_13_16"/>
      <w:bookmarkStart w:id="411" w:name="Tc_ViPH3gjiikGW2lPfi2aMlQ_13_13"/>
      <w:bookmarkStart w:id="412" w:name="Tc_s6geyPX7rkmajJwhgA954A_13_10"/>
      <w:bookmarkStart w:id="413" w:name="Tc_cv9s_wrghUK_K-lF49V0GA_13_7"/>
      <w:bookmarkStart w:id="414" w:name="Tc_SLNKU_3awk2ZUETyTTFcOw_13_4"/>
      <w:bookmarkStart w:id="415" w:name="Tc_8yeK1nUGYEWkEFb-Q3FXFw_13_0"/>
      <w:bookmarkStart w:id="416" w:name="Tc_phPELOw6D0u-GhBnp4q6Fg_12_11"/>
      <w:bookmarkStart w:id="417" w:name="Tc_vTQ8ewLcDEGObxejmgA5Cw_12_8"/>
      <w:bookmarkStart w:id="418" w:name="Tc_jV2Q7onxxEaZsu2ukD66Kw_12_5"/>
      <w:bookmarkStart w:id="419" w:name="Tc_ZytTiiAelEqUWV5K3-vc7w_12_2"/>
      <w:bookmarkStart w:id="420" w:name="Tc_THLenVV7qkuaIWsPkbWH9Q_12_0"/>
      <w:bookmarkStart w:id="421" w:name="Tc_GFqZoCqdkkmkt_Z1TVHmYw_11_14"/>
      <w:bookmarkStart w:id="422" w:name="Tc_yrMNZJCYKEKJWBDc4y9t7A_11_8"/>
      <w:bookmarkStart w:id="423" w:name="Tc_qaPdd_onvUyuvnzoAIshrQ_11_5"/>
      <w:bookmarkStart w:id="424" w:name="Tc_ULVMmFHytEa5g17crPg8cQ_11_2"/>
      <w:bookmarkStart w:id="425" w:name="Tc_yeVIF2uB6ku8lDw8ywwSjg_11_0"/>
      <w:bookmarkStart w:id="426" w:name="Tc_KvVfcfLud0uRNHyPmm114A_10_14"/>
      <w:bookmarkStart w:id="427" w:name="Tc_-sfBjyRVLUCytn5dqkR_3g_10_8"/>
      <w:bookmarkStart w:id="428" w:name="Tc_eCxfRye1vE-gLnSIDERTAQ_10_5"/>
      <w:bookmarkStart w:id="429" w:name="Tc_IDrK3kOgykudQXnJIiqH9g_10_2"/>
      <w:bookmarkStart w:id="430" w:name="Tc_kkxHNvD2uUmmpvWYwhb8kQ_10_0"/>
      <w:bookmarkStart w:id="431" w:name="Tc_SALFfmV7KkminFjhdOALHA_9_14"/>
      <w:bookmarkStart w:id="432" w:name="Tc_ygLIqYYCVUunvM7iQlASmw_9_11"/>
      <w:bookmarkStart w:id="433" w:name="Tc_9EGJEQsTzkW9LMQI5IyQkA_9_0"/>
      <w:bookmarkStart w:id="434" w:name="Tc_yYcYe1Y9EEW5x3GROeoukw_8_14"/>
      <w:bookmarkStart w:id="435" w:name="Tc_7VO0V9SboEu-Dz35rG-hsw_8_11"/>
      <w:bookmarkStart w:id="436" w:name="Tc_mfvFxjQz0kqdl7Torvvy2g_8_5"/>
      <w:bookmarkStart w:id="437" w:name="Tc_g8S8hUjATEyiB4qoiP0fBw_8_0"/>
      <w:bookmarkStart w:id="438" w:name="Tc_sozSAJ4kOkqs9Y-79FiCbw_7_14"/>
      <w:bookmarkStart w:id="439" w:name="Tc_34w567huq0--u93ybCkLcQ_7_11"/>
      <w:bookmarkStart w:id="440" w:name="Tc_NxiLeNZXjES6iGCXLU1wQg_7_5"/>
      <w:bookmarkStart w:id="441" w:name="Tc_f8v-VOd4oEK4cQwjfewVsA_7_0"/>
      <w:bookmarkStart w:id="442" w:name="Tc_WrkhJt7C40yuduEykjkZOg_6_14"/>
      <w:bookmarkStart w:id="443" w:name="Tc_S-XwGkRhoUinZAC4Q2XzUw_6_11"/>
      <w:bookmarkStart w:id="444" w:name="Tc_m7Q16PzcoE6JPXyFEn2_TQ_6_5"/>
      <w:bookmarkStart w:id="445" w:name="Tc_eRRkA5QbtEWUgVpfd-HZwg_6_2"/>
      <w:bookmarkStart w:id="446" w:name="Tc_exH5yOSDRESmW_XyuV9WbA_6_0"/>
      <w:bookmarkStart w:id="447" w:name="Tc_iGHOo797KkCJUilgZpOAuA_5_14"/>
      <w:bookmarkStart w:id="448" w:name="Tc_f2GRRxdQJEumvEeA0C42qQ_5_11"/>
      <w:bookmarkStart w:id="449" w:name="Tc_S6dy6GSWbE6OoBNsE_Qjug_5_5"/>
      <w:bookmarkStart w:id="450" w:name="Tc_HpIG8GHxBkCirOh9bAHq8Q_5_0"/>
      <w:bookmarkStart w:id="451" w:name="Tc_K9zFSXqhHUa6skZMzIMizA_4_16"/>
      <w:bookmarkStart w:id="452" w:name="Tc_loc9T2Vt5E6bHVpCcY2BzA_4_13"/>
      <w:bookmarkStart w:id="453" w:name="Tc_3cGg31UIr0mks99GRqWZzQ_4_10"/>
      <w:bookmarkStart w:id="454" w:name="Tc_crEyWU-a6kSlSTji93ghYw_4_7"/>
      <w:bookmarkStart w:id="455" w:name="Tc_xBKpX7HgpUaGRjPddmPUdg_4_4"/>
      <w:bookmarkStart w:id="456" w:name="Tc_Gh-3OC_bB0Gcy7Iz7u_THw_4_0"/>
      <w:bookmarkStart w:id="457" w:name="Tc_nLNL_vKmkUSW4PQH06Bdgw_3_16"/>
      <w:bookmarkStart w:id="458" w:name="Tc_WSsVjUPGxkqLPYArFI1FtA_3_13"/>
      <w:bookmarkStart w:id="459" w:name="Tc__poPcyaqvESpRo5f9u7HxQ_3_10"/>
      <w:bookmarkStart w:id="460" w:name="Tc_2B5MLTwuiUWqLvQKpgIVIQ_3_7"/>
      <w:bookmarkStart w:id="461" w:name="Tc_HOXLh-gKKUayb6-Ya8VWZQ_3_4"/>
      <w:bookmarkStart w:id="462" w:name="Tc_AXS3P14idUGEhxkjA4i6XA_3_2"/>
      <w:bookmarkStart w:id="463" w:name="Tc_59lVw8lHOU6T5wUArwb0tg_2_2"/>
      <w:bookmarkStart w:id="464" w:name="_fa8750a5_9aa8_49bc_a23e_0a400c5f218a"/>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p>
    <w:tbl>
      <w:tblPr>
        <w:tblW w:w="10205" w:type="dxa"/>
        <w:jc w:val="left"/>
        <w:tblInd w:w="0" w:type="dxa"/>
        <w:tblLayout w:type="fixed"/>
        <w:tblCellMar>
          <w:top w:w="0" w:type="dxa"/>
          <w:left w:w="0" w:type="dxa"/>
          <w:bottom w:w="0" w:type="dxa"/>
          <w:right w:w="0" w:type="dxa"/>
        </w:tblCellMar>
      </w:tblPr>
      <w:tblGrid>
        <w:gridCol w:w="1853"/>
        <w:gridCol w:w="346"/>
        <w:gridCol w:w="916"/>
        <w:gridCol w:w="346"/>
        <w:gridCol w:w="249"/>
        <w:gridCol w:w="442"/>
        <w:gridCol w:w="346"/>
        <w:gridCol w:w="210"/>
        <w:gridCol w:w="885"/>
        <w:gridCol w:w="346"/>
        <w:gridCol w:w="337"/>
        <w:gridCol w:w="985"/>
        <w:gridCol w:w="346"/>
        <w:gridCol w:w="224"/>
        <w:gridCol w:w="864"/>
        <w:gridCol w:w="346"/>
        <w:gridCol w:w="228"/>
        <w:gridCol w:w="936"/>
      </w:tblGrid>
      <w:tr>
        <w:trPr/>
        <w:tc>
          <w:tcPr>
            <w:tcW w:w="18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176655" cy="175260"/>
                      <wp:effectExtent l="0" t="0" r="0" b="0"/>
                      <wp:wrapNone/>
                      <wp:docPr id="26" name="Frame25"/>
                      <a:graphic xmlns:a="http://schemas.openxmlformats.org/drawingml/2006/main">
                        <a:graphicData uri="http://schemas.microsoft.com/office/word/2010/wordprocessingShape">
                          <wps:wsp>
                            <wps:cNvSpPr txBox="1"/>
                            <wps:spPr>
                              <a:xfrm>
                                <a:off x="0" y="0"/>
                                <a:ext cx="1176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9710" cy="175260"/>
                      <wp:effectExtent l="0" t="0" r="0" b="0"/>
                      <wp:wrapNone/>
                      <wp:docPr id="27" name="Frame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581660" cy="175260"/>
                      <wp:effectExtent l="0" t="0" r="0" b="0"/>
                      <wp:wrapNone/>
                      <wp:docPr id="28" name="Frame27"/>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19710" cy="175260"/>
                      <wp:effectExtent l="0" t="0" r="0" b="0"/>
                      <wp:wrapNone/>
                      <wp:docPr id="29"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58115" cy="175260"/>
                      <wp:effectExtent l="0" t="0" r="0" b="0"/>
                      <wp:wrapNone/>
                      <wp:docPr id="30" name="Frame29"/>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80670" cy="175260"/>
                      <wp:effectExtent l="0" t="0" r="0" b="0"/>
                      <wp:wrapNone/>
                      <wp:docPr id="31" name="Frame30"/>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19710" cy="175260"/>
                      <wp:effectExtent l="0" t="0" r="0" b="0"/>
                      <wp:wrapNone/>
                      <wp:docPr id="32"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33350" cy="175260"/>
                      <wp:effectExtent l="0" t="0" r="0" b="0"/>
                      <wp:wrapNone/>
                      <wp:docPr id="33" name="Frame32"/>
                      <a:graphic xmlns:a="http://schemas.openxmlformats.org/drawingml/2006/main">
                        <a:graphicData uri="http://schemas.microsoft.com/office/word/2010/wordprocessingShape">
                          <wps:wsp>
                            <wps:cNvSpPr txBox="1"/>
                            <wps:spPr>
                              <a:xfrm>
                                <a:off x="0" y="0"/>
                                <a:ext cx="133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561975" cy="175260"/>
                      <wp:effectExtent l="0" t="0" r="0" b="0"/>
                      <wp:wrapNone/>
                      <wp:docPr id="34" name="Frame33"/>
                      <a:graphic xmlns:a="http://schemas.openxmlformats.org/drawingml/2006/main">
                        <a:graphicData uri="http://schemas.microsoft.com/office/word/2010/wordprocessingShape">
                          <wps:wsp>
                            <wps:cNvSpPr txBox="1"/>
                            <wps:spPr>
                              <a:xfrm>
                                <a:off x="0" y="0"/>
                                <a:ext cx="561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19710" cy="175260"/>
                      <wp:effectExtent l="0" t="0" r="0" b="0"/>
                      <wp:wrapNone/>
                      <wp:docPr id="35"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13995" cy="175260"/>
                      <wp:effectExtent l="0" t="0" r="0" b="0"/>
                      <wp:wrapNone/>
                      <wp:docPr id="36" name="Frame35"/>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25475" cy="175260"/>
                      <wp:effectExtent l="0" t="0" r="0" b="0"/>
                      <wp:wrapNone/>
                      <wp:docPr id="37" name="Frame36"/>
                      <a:graphic xmlns:a="http://schemas.openxmlformats.org/drawingml/2006/main">
                        <a:graphicData uri="http://schemas.microsoft.com/office/word/2010/wordprocessingShape">
                          <wps:wsp>
                            <wps:cNvSpPr txBox="1"/>
                            <wps:spPr>
                              <a:xfrm>
                                <a:off x="0" y="0"/>
                                <a:ext cx="625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19710" cy="175260"/>
                      <wp:effectExtent l="0" t="0" r="0" b="0"/>
                      <wp:wrapNone/>
                      <wp:docPr id="38" name="Frame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42240" cy="175260"/>
                      <wp:effectExtent l="0" t="0" r="0" b="0"/>
                      <wp:wrapNone/>
                      <wp:docPr id="39" name="Frame38"/>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548640" cy="175260"/>
                      <wp:effectExtent l="0" t="0" r="0" b="0"/>
                      <wp:wrapNone/>
                      <wp:docPr id="40" name="Frame39"/>
                      <a:graphic xmlns:a="http://schemas.openxmlformats.org/drawingml/2006/main">
                        <a:graphicData uri="http://schemas.microsoft.com/office/word/2010/wordprocessingShape">
                          <wps:wsp>
                            <wps:cNvSpPr txBox="1"/>
                            <wps:spPr>
                              <a:xfrm>
                                <a:off x="0" y="0"/>
                                <a:ext cx="548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19710" cy="175260"/>
                      <wp:effectExtent l="0" t="0" r="0" b="0"/>
                      <wp:wrapNone/>
                      <wp:docPr id="41"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44780" cy="175260"/>
                      <wp:effectExtent l="0" t="0" r="0" b="0"/>
                      <wp:wrapNone/>
                      <wp:docPr id="42" name="Frame41"/>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594360" cy="175260"/>
                      <wp:effectExtent l="0" t="0" r="0" b="0"/>
                      <wp:wrapNone/>
                      <wp:docPr id="43" name="Frame42"/>
                      <a:graphic xmlns:a="http://schemas.openxmlformats.org/drawingml/2006/main">
                        <a:graphicData uri="http://schemas.microsoft.com/office/word/2010/wordprocessingShape">
                          <wps:wsp>
                            <wps:cNvSpPr txBox="1"/>
                            <wps:spPr>
                              <a:xfrm>
                                <a:off x="0" y="0"/>
                                <a:ext cx="594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53" w:type="dxa"/>
            <w:tcBorders/>
            <w:shd w:fill="FFFFFF" w:val="clear"/>
            <w:vAlign w:val="center"/>
          </w:tcPr>
          <w:p>
            <w:pPr>
              <w:pStyle w:val="TableContents"/>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w:t>
            </w:r>
          </w:p>
        </w:tc>
        <w:tc>
          <w:tcPr>
            <w:tcW w:w="916" w:type="dxa"/>
            <w:tcBorders/>
            <w:shd w:fill="FFFFFF" w:val="clear"/>
            <w:vAlign w:val="center"/>
          </w:tcPr>
          <w:p>
            <w:pPr>
              <w:pStyle w:val="TableContents"/>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w:t>
            </w:r>
          </w:p>
        </w:tc>
        <w:tc>
          <w:tcPr>
            <w:tcW w:w="249" w:type="dxa"/>
            <w:tcBorders/>
            <w:shd w:fill="FFFFFF" w:val="clear"/>
            <w:vAlign w:val="center"/>
          </w:tcPr>
          <w:p>
            <w:pPr>
              <w:pStyle w:val="TableContents"/>
              <w:bidi w:val="0"/>
              <w:spacing w:before="0" w:after="0"/>
              <w:ind w:left="0" w:right="0" w:hanging="0"/>
              <w:jc w:val="left"/>
              <w:rPr/>
            </w:pPr>
            <w:r>
              <w:rPr/>
              <w:t>​</w:t>
            </w:r>
          </w:p>
        </w:tc>
        <w:tc>
          <w:tcPr>
            <w:tcW w:w="442" w:type="dxa"/>
            <w:tcBorders/>
            <w:shd w:fill="FFFFFF" w:val="clear"/>
            <w:vAlign w:val="center"/>
          </w:tcPr>
          <w:p>
            <w:pPr>
              <w:pStyle w:val="TableContents"/>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w:t>
            </w:r>
          </w:p>
        </w:tc>
        <w:tc>
          <w:tcPr>
            <w:tcW w:w="210" w:type="dxa"/>
            <w:tcBorders/>
            <w:shd w:fill="FFFFFF" w:val="clear"/>
            <w:vAlign w:val="center"/>
          </w:tcPr>
          <w:p>
            <w:pPr>
              <w:pStyle w:val="TableContents"/>
              <w:bidi w:val="0"/>
              <w:spacing w:before="0" w:after="0"/>
              <w:ind w:left="0" w:right="0" w:hanging="0"/>
              <w:jc w:val="left"/>
              <w:rPr/>
            </w:pPr>
            <w:r>
              <w:rPr/>
              <w:t>​</w:t>
            </w:r>
          </w:p>
        </w:tc>
        <w:tc>
          <w:tcPr>
            <w:tcW w:w="885" w:type="dxa"/>
            <w:tcBorders/>
            <w:shd w:fill="FFFFFF" w:val="clear"/>
            <w:vAlign w:val="center"/>
          </w:tcPr>
          <w:p>
            <w:pPr>
              <w:pStyle w:val="TableContents"/>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w:t>
            </w:r>
          </w:p>
        </w:tc>
        <w:tc>
          <w:tcPr>
            <w:tcW w:w="337" w:type="dxa"/>
            <w:tcBorders/>
            <w:shd w:fill="FFFFFF" w:val="clear"/>
            <w:vAlign w:val="center"/>
          </w:tcPr>
          <w:p>
            <w:pPr>
              <w:pStyle w:val="TableContents"/>
              <w:bidi w:val="0"/>
              <w:spacing w:before="0" w:after="0"/>
              <w:ind w:left="0" w:right="0" w:hanging="0"/>
              <w:jc w:val="left"/>
              <w:rPr/>
            </w:pPr>
            <w:r>
              <w:rPr/>
              <w:t>​</w:t>
            </w:r>
          </w:p>
        </w:tc>
        <w:tc>
          <w:tcPr>
            <w:tcW w:w="985" w:type="dxa"/>
            <w:tcBorders/>
            <w:shd w:fill="FFFFFF" w:val="clear"/>
            <w:vAlign w:val="center"/>
          </w:tcPr>
          <w:p>
            <w:pPr>
              <w:pStyle w:val="TableContents"/>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w:t>
            </w:r>
          </w:p>
        </w:tc>
        <w:tc>
          <w:tcPr>
            <w:tcW w:w="224" w:type="dxa"/>
            <w:tcBorders/>
            <w:shd w:fill="FFFFFF" w:val="clear"/>
            <w:vAlign w:val="center"/>
          </w:tcPr>
          <w:p>
            <w:pPr>
              <w:pStyle w:val="TableContents"/>
              <w:bidi w:val="0"/>
              <w:spacing w:before="0" w:after="0"/>
              <w:ind w:left="0" w:right="0" w:hanging="0"/>
              <w:jc w:val="left"/>
              <w:rPr/>
            </w:pPr>
            <w:r>
              <w:rPr/>
              <w:t>​</w:t>
            </w:r>
          </w:p>
        </w:tc>
        <w:tc>
          <w:tcPr>
            <w:tcW w:w="864" w:type="dxa"/>
            <w:tcBorders/>
            <w:shd w:fill="FFFFFF" w:val="clear"/>
            <w:vAlign w:val="center"/>
          </w:tcPr>
          <w:p>
            <w:pPr>
              <w:pStyle w:val="TableContents"/>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w:t>
            </w:r>
          </w:p>
        </w:tc>
        <w:tc>
          <w:tcPr>
            <w:tcW w:w="228" w:type="dxa"/>
            <w:tcBorders/>
            <w:shd w:fill="FFFFFF" w:val="clear"/>
            <w:vAlign w:val="center"/>
          </w:tcPr>
          <w:p>
            <w:pPr>
              <w:pStyle w:val="TableContents"/>
              <w:bidi w:val="0"/>
              <w:spacing w:before="0" w:after="0"/>
              <w:ind w:left="0" w:right="0" w:hanging="0"/>
              <w:jc w:val="left"/>
              <w:rPr/>
            </w:pPr>
            <w:r>
              <w:rPr/>
              <w:t>​</w:t>
            </w:r>
          </w:p>
        </w:tc>
        <w:tc>
          <w:tcPr>
            <w:tcW w:w="936" w:type="dxa"/>
            <w:tcBorders/>
            <w:shd w:fill="FFFFFF" w:val="clear"/>
            <w:vAlign w:val="center"/>
          </w:tcPr>
          <w:p>
            <w:pPr>
              <w:pStyle w:val="TableContents"/>
              <w:bidi w:val="0"/>
              <w:spacing w:before="0" w:after="0"/>
              <w:ind w:left="0" w:right="0" w:hanging="0"/>
              <w:jc w:val="left"/>
              <w:rPr/>
            </w:pPr>
            <w:r>
              <w:rPr/>
              <w:t>​</w:t>
            </w:r>
          </w:p>
        </w:tc>
      </w:tr>
      <w:tr>
        <w:trPr/>
        <w:tc>
          <w:tcPr>
            <w:tcW w:w="1853" w:type="dxa"/>
            <w:tcBorders/>
            <w:shd w:fill="FFFFFF" w:val="clear"/>
            <w:vAlign w:val="center"/>
          </w:tcPr>
          <w:p>
            <w:pPr>
              <w:pStyle w:val="TableContents"/>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w:t>
            </w:r>
          </w:p>
        </w:tc>
        <w:tc>
          <w:tcPr>
            <w:tcW w:w="1953" w:type="dxa"/>
            <w:gridSpan w:val="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shd w:fill="FFFFFF" w:val="clear"/>
            <w:vAlign w:val="center"/>
          </w:tcPr>
          <w:p>
            <w:pPr>
              <w:pStyle w:val="TableContents"/>
              <w:bidi w:val="0"/>
              <w:spacing w:before="0" w:after="0"/>
              <w:ind w:left="0" w:right="0" w:hanging="0"/>
              <w:jc w:val="left"/>
              <w:rPr/>
            </w:pPr>
            <w:r>
              <w:rPr/>
              <w:t>​</w:t>
            </w:r>
          </w:p>
        </w:tc>
        <w:tc>
          <w:tcPr>
            <w:tcW w:w="210" w:type="dxa"/>
            <w:tcBorders/>
            <w:shd w:fill="FFFFFF" w:val="clear"/>
            <w:vAlign w:val="center"/>
          </w:tcPr>
          <w:p>
            <w:pPr>
              <w:pStyle w:val="TableContents"/>
              <w:bidi w:val="0"/>
              <w:spacing w:before="0" w:after="0"/>
              <w:ind w:left="0" w:right="0" w:hanging="0"/>
              <w:jc w:val="left"/>
              <w:rPr/>
            </w:pPr>
            <w:r>
              <w:rPr/>
              <w:t>​</w:t>
            </w:r>
          </w:p>
        </w:tc>
        <w:tc>
          <w:tcPr>
            <w:tcW w:w="885" w:type="dxa"/>
            <w:tcBorders/>
            <w:shd w:fill="FFFFFF" w:val="clear"/>
            <w:vAlign w:val="center"/>
          </w:tcPr>
          <w:p>
            <w:pPr>
              <w:pStyle w:val="TableContents"/>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w:t>
            </w:r>
          </w:p>
        </w:tc>
        <w:tc>
          <w:tcPr>
            <w:tcW w:w="337" w:type="dxa"/>
            <w:tcBorders/>
            <w:shd w:fill="FFFFFF" w:val="clear"/>
            <w:vAlign w:val="center"/>
          </w:tcPr>
          <w:p>
            <w:pPr>
              <w:pStyle w:val="TableContents"/>
              <w:bidi w:val="0"/>
              <w:spacing w:before="0" w:after="0"/>
              <w:ind w:left="0" w:right="0" w:hanging="0"/>
              <w:jc w:val="left"/>
              <w:rPr/>
            </w:pPr>
            <w:r>
              <w:rPr/>
              <w:t>​</w:t>
            </w:r>
          </w:p>
        </w:tc>
        <w:tc>
          <w:tcPr>
            <w:tcW w:w="985" w:type="dxa"/>
            <w:tcBorders/>
            <w:shd w:fill="FFFFFF" w:val="clear"/>
            <w:vAlign w:val="center"/>
          </w:tcPr>
          <w:p>
            <w:pPr>
              <w:pStyle w:val="TableContents"/>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w:t>
            </w:r>
          </w:p>
        </w:tc>
        <w:tc>
          <w:tcPr>
            <w:tcW w:w="224" w:type="dxa"/>
            <w:tcBorders/>
            <w:shd w:fill="FFFFFF" w:val="clear"/>
            <w:vAlign w:val="center"/>
          </w:tcPr>
          <w:p>
            <w:pPr>
              <w:pStyle w:val="TableContents"/>
              <w:bidi w:val="0"/>
              <w:spacing w:before="0" w:after="0"/>
              <w:ind w:left="0" w:right="0" w:hanging="0"/>
              <w:jc w:val="left"/>
              <w:rPr/>
            </w:pPr>
            <w:r>
              <w:rPr/>
              <w:t>​</w:t>
            </w:r>
          </w:p>
        </w:tc>
        <w:tc>
          <w:tcPr>
            <w:tcW w:w="864" w:type="dxa"/>
            <w:tcBorders/>
            <w:shd w:fill="FFFFFF" w:val="clear"/>
            <w:vAlign w:val="center"/>
          </w:tcPr>
          <w:p>
            <w:pPr>
              <w:pStyle w:val="TableContents"/>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w:t>
            </w:r>
          </w:p>
        </w:tc>
        <w:tc>
          <w:tcPr>
            <w:tcW w:w="228" w:type="dxa"/>
            <w:tcBorders/>
            <w:shd w:fill="FFFFFF" w:val="clear"/>
            <w:vAlign w:val="center"/>
          </w:tcPr>
          <w:p>
            <w:pPr>
              <w:pStyle w:val="TableContents"/>
              <w:bidi w:val="0"/>
              <w:spacing w:before="0" w:after="0"/>
              <w:ind w:left="0" w:right="0" w:hanging="0"/>
              <w:jc w:val="left"/>
              <w:rPr/>
            </w:pPr>
            <w:r>
              <w:rPr/>
              <w:t>​</w:t>
            </w:r>
          </w:p>
        </w:tc>
        <w:tc>
          <w:tcPr>
            <w:tcW w:w="936" w:type="dxa"/>
            <w:tcBorders/>
            <w:shd w:fill="FFFFFF" w:val="clear"/>
            <w:vAlign w:val="center"/>
          </w:tcPr>
          <w:p>
            <w:pPr>
              <w:pStyle w:val="TableContents"/>
              <w:bidi w:val="0"/>
              <w:spacing w:before="0" w:after="0"/>
              <w:ind w:left="0" w:right="0" w:hanging="0"/>
              <w:jc w:val="left"/>
              <w:rPr/>
            </w:pPr>
            <w:r>
              <w:rPr/>
              <w:t>​</w:t>
            </w:r>
          </w:p>
        </w:tc>
      </w:tr>
      <w:tr>
        <w:trPr/>
        <w:tc>
          <w:tcPr>
            <w:tcW w:w="1853" w:type="dxa"/>
            <w:tcBorders/>
            <w:shd w:fill="FFFFFF" w:val="clear"/>
            <w:vAlign w:val="center"/>
          </w:tcPr>
          <w:p>
            <w:pPr>
              <w:pStyle w:val="TableContents"/>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  ​ ​ ​</w:t>
            </w:r>
          </w:p>
        </w:tc>
        <w:tc>
          <w:tcPr>
            <w:tcW w:w="916"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shd w:fill="FFFFFF" w:val="clear"/>
            <w:vAlign w:val="center"/>
          </w:tcPr>
          <w:p>
            <w:pPr>
              <w:pStyle w:val="TableContents"/>
              <w:bidi w:val="0"/>
              <w:spacing w:before="0" w:after="0"/>
              <w:ind w:left="0" w:right="0" w:hanging="0"/>
              <w:jc w:val="left"/>
              <w:rPr/>
            </w:pPr>
            <w:r>
              <w:rPr/>
              <w:t>  ​ ​ ​</w:t>
            </w:r>
          </w:p>
        </w:tc>
        <w:tc>
          <w:tcPr>
            <w:tcW w:w="69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shd w:fill="FFFFFF" w:val="clear"/>
            <w:vAlign w:val="center"/>
          </w:tcPr>
          <w:p>
            <w:pPr>
              <w:pStyle w:val="TableContents"/>
              <w:bidi w:val="0"/>
              <w:spacing w:before="0" w:after="0"/>
              <w:ind w:left="0" w:right="0" w:hanging="0"/>
              <w:jc w:val="left"/>
              <w:rPr/>
            </w:pPr>
            <w:r>
              <w:rPr/>
              <w:t>  ​ ​ ​</w:t>
            </w:r>
          </w:p>
        </w:tc>
        <w:tc>
          <w:tcPr>
            <w:tcW w:w="10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 Paid-in Capital</w:t>
            </w:r>
          </w:p>
        </w:tc>
        <w:tc>
          <w:tcPr>
            <w:tcW w:w="346" w:type="dxa"/>
            <w:tcBorders/>
            <w:shd w:fill="FFFFFF" w:val="clear"/>
            <w:vAlign w:val="center"/>
          </w:tcPr>
          <w:p>
            <w:pPr>
              <w:pStyle w:val="TableContents"/>
              <w:bidi w:val="0"/>
              <w:spacing w:before="0" w:after="0"/>
              <w:ind w:left="0" w:right="0" w:hanging="0"/>
              <w:jc w:val="left"/>
              <w:rPr/>
            </w:pPr>
            <w:r>
              <w:rPr/>
              <w:t>  ​ ​ ​</w:t>
            </w:r>
          </w:p>
        </w:tc>
        <w:tc>
          <w:tcPr>
            <w:tcW w:w="132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Other Comprehensive</w:t>
              <w:br/>
              <w:t>Loss</w:t>
            </w:r>
          </w:p>
        </w:tc>
        <w:tc>
          <w:tcPr>
            <w:tcW w:w="346" w:type="dxa"/>
            <w:tcBorders/>
            <w:shd w:fill="FFFFFF" w:val="clear"/>
            <w:vAlign w:val="center"/>
          </w:tcPr>
          <w:p>
            <w:pPr>
              <w:pStyle w:val="TableContents"/>
              <w:bidi w:val="0"/>
              <w:spacing w:before="0" w:after="0"/>
              <w:ind w:left="0" w:right="0" w:hanging="0"/>
              <w:jc w:val="left"/>
              <w:rPr/>
            </w:pPr>
            <w:r>
              <w:rPr/>
              <w:t>  ​ ​ ​</w:t>
            </w:r>
          </w:p>
        </w:tc>
        <w:tc>
          <w:tcPr>
            <w:tcW w:w="10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Deficit</w:t>
            </w:r>
          </w:p>
        </w:tc>
        <w:tc>
          <w:tcPr>
            <w:tcW w:w="346" w:type="dxa"/>
            <w:tcBorders/>
            <w:shd w:fill="FFFFFF" w:val="clear"/>
            <w:vAlign w:val="center"/>
          </w:tcPr>
          <w:p>
            <w:pPr>
              <w:pStyle w:val="TableContents"/>
              <w:bidi w:val="0"/>
              <w:spacing w:before="0" w:after="0"/>
              <w:ind w:left="0" w:right="0" w:hanging="0"/>
              <w:jc w:val="left"/>
              <w:rPr/>
            </w:pPr>
            <w:r>
              <w:rPr/>
              <w:t>  ​ ​ ​</w:t>
            </w:r>
          </w:p>
        </w:tc>
        <w:tc>
          <w:tcPr>
            <w:tcW w:w="11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Total Stockholders' </w:t>
              <w:br/>
              <w:t>Equity</w:t>
            </w:r>
          </w:p>
        </w:tc>
      </w:tr>
      <w:tr>
        <w:trPr/>
        <w:tc>
          <w:tcPr>
            <w:tcW w:w="1853"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as of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54,485,518</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w:t>
            </w:r>
          </w:p>
        </w:tc>
        <w:tc>
          <w:tcPr>
            <w:tcW w:w="346" w:type="dxa"/>
            <w:tcBorders/>
            <w:shd w:fill="CCEEFF" w:val="clear"/>
            <w:vAlign w:val="center"/>
          </w:tcPr>
          <w:p>
            <w:pPr>
              <w:pStyle w:val="TableContents"/>
              <w:bidi w:val="0"/>
              <w:spacing w:before="0" w:after="0"/>
              <w:ind w:left="0" w:right="0" w:hanging="0"/>
              <w:jc w:val="left"/>
              <w:rPr/>
            </w:pPr>
            <w:r>
              <w:rPr/>
              <w:t>​</w:t>
            </w:r>
          </w:p>
        </w:tc>
        <w:tc>
          <w:tcPr>
            <w:tcW w:w="21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1,007,331</w:t>
            </w:r>
          </w:p>
        </w:tc>
        <w:tc>
          <w:tcPr>
            <w:tcW w:w="346"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8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w:t>
            </w:r>
          </w:p>
        </w:tc>
        <w:tc>
          <w:tcPr>
            <w:tcW w:w="34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(765,128)</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242,144</w:t>
            </w:r>
          </w:p>
        </w:tc>
      </w:tr>
      <w:tr>
        <w:trPr/>
        <w:tc>
          <w:tcPr>
            <w:tcW w:w="185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Exercises of common stock options</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25,767</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0" w:type="dxa"/>
            <w:tcBorders/>
            <w:vAlign w:val="center"/>
          </w:tcPr>
          <w:p>
            <w:pPr>
              <w:pStyle w:val="TableContents"/>
              <w:bidi w:val="0"/>
              <w:spacing w:before="0" w:after="0"/>
              <w:ind w:left="0" w:right="0" w:hanging="0"/>
              <w:jc w:val="left"/>
              <w:rPr/>
            </w:pPr>
            <w:r>
              <w:rPr/>
              <w:t>​</w:t>
            </w:r>
          </w:p>
        </w:tc>
        <w:tc>
          <w:tcPr>
            <w:tcW w:w="88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367</w:t>
            </w:r>
          </w:p>
        </w:tc>
        <w:tc>
          <w:tcPr>
            <w:tcW w:w="346"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86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367</w:t>
            </w:r>
          </w:p>
        </w:tc>
      </w:tr>
      <w:tr>
        <w:trPr/>
        <w:tc>
          <w:tcPr>
            <w:tcW w:w="18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0" w:type="dxa"/>
            <w:tcBorders/>
            <w:shd w:fill="CCEEFF" w:val="clear"/>
            <w:vAlign w:val="center"/>
          </w:tcPr>
          <w:p>
            <w:pPr>
              <w:pStyle w:val="TableContents"/>
              <w:bidi w:val="0"/>
              <w:spacing w:before="0" w:after="0"/>
              <w:ind w:left="0" w:right="0" w:hanging="0"/>
              <w:jc w:val="left"/>
              <w:rPr/>
            </w:pPr>
            <w:r>
              <w:rPr/>
              <w:t>​</w:t>
            </w:r>
          </w:p>
        </w:tc>
        <w:tc>
          <w:tcPr>
            <w:tcW w:w="88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9,195</w:t>
            </w:r>
          </w:p>
        </w:tc>
        <w:tc>
          <w:tcPr>
            <w:tcW w:w="346"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w:t>
            </w:r>
          </w:p>
        </w:tc>
        <w:tc>
          <w:tcPr>
            <w:tcW w:w="98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86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9,195</w:t>
            </w:r>
          </w:p>
        </w:tc>
      </w:tr>
      <w:tr>
        <w:trPr/>
        <w:tc>
          <w:tcPr>
            <w:tcW w:w="185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common stock under the employee stock purchase plan</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44,369</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0" w:type="dxa"/>
            <w:tcBorders/>
            <w:vAlign w:val="center"/>
          </w:tcPr>
          <w:p>
            <w:pPr>
              <w:pStyle w:val="TableContents"/>
              <w:bidi w:val="0"/>
              <w:spacing w:before="0" w:after="0"/>
              <w:ind w:left="0" w:right="0" w:hanging="0"/>
              <w:jc w:val="left"/>
              <w:rPr/>
            </w:pPr>
            <w:r>
              <w:rPr/>
              <w:t>​</w:t>
            </w:r>
          </w:p>
        </w:tc>
        <w:tc>
          <w:tcPr>
            <w:tcW w:w="88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592</w:t>
            </w:r>
          </w:p>
        </w:tc>
        <w:tc>
          <w:tcPr>
            <w:tcW w:w="346"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86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592</w:t>
            </w:r>
          </w:p>
        </w:tc>
      </w:tr>
      <w:tr>
        <w:trPr/>
        <w:tc>
          <w:tcPr>
            <w:tcW w:w="18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common stock from ATM offering, net of underwriting commissions and other offering costs</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2,827,723</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0" w:type="dxa"/>
            <w:tcBorders/>
            <w:shd w:fill="CCEEFF" w:val="clear"/>
            <w:vAlign w:val="center"/>
          </w:tcPr>
          <w:p>
            <w:pPr>
              <w:pStyle w:val="TableContents"/>
              <w:bidi w:val="0"/>
              <w:spacing w:before="0" w:after="0"/>
              <w:ind w:left="0" w:right="0" w:hanging="0"/>
              <w:jc w:val="left"/>
              <w:rPr/>
            </w:pPr>
            <w:r>
              <w:rPr/>
              <w:t>​</w:t>
            </w:r>
          </w:p>
        </w:tc>
        <w:tc>
          <w:tcPr>
            <w:tcW w:w="88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71,186</w:t>
            </w:r>
          </w:p>
        </w:tc>
        <w:tc>
          <w:tcPr>
            <w:tcW w:w="346"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w:t>
            </w:r>
          </w:p>
        </w:tc>
        <w:tc>
          <w:tcPr>
            <w:tcW w:w="98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86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71,186</w:t>
            </w:r>
          </w:p>
        </w:tc>
      </w:tr>
      <w:tr>
        <w:trPr/>
        <w:tc>
          <w:tcPr>
            <w:tcW w:w="185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common stock from equity offering, net of underwriting commissions and other offering costs</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5,000,000</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46" w:type="dxa"/>
            <w:tcBorders/>
            <w:vAlign w:val="center"/>
          </w:tcPr>
          <w:p>
            <w:pPr>
              <w:pStyle w:val="TableContents"/>
              <w:bidi w:val="0"/>
              <w:spacing w:before="0" w:after="0"/>
              <w:ind w:left="0" w:right="0" w:hanging="0"/>
              <w:jc w:val="left"/>
              <w:rPr/>
            </w:pPr>
            <w:r>
              <w:rPr/>
              <w:t>​</w:t>
            </w:r>
          </w:p>
        </w:tc>
        <w:tc>
          <w:tcPr>
            <w:tcW w:w="210" w:type="dxa"/>
            <w:tcBorders/>
            <w:vAlign w:val="center"/>
          </w:tcPr>
          <w:p>
            <w:pPr>
              <w:pStyle w:val="TableContents"/>
              <w:bidi w:val="0"/>
              <w:spacing w:before="0" w:after="0"/>
              <w:ind w:left="0" w:right="0" w:hanging="0"/>
              <w:jc w:val="left"/>
              <w:rPr/>
            </w:pPr>
            <w:r>
              <w:rPr/>
              <w:t>​</w:t>
            </w:r>
          </w:p>
        </w:tc>
        <w:tc>
          <w:tcPr>
            <w:tcW w:w="88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93,644</w:t>
            </w:r>
          </w:p>
        </w:tc>
        <w:tc>
          <w:tcPr>
            <w:tcW w:w="346"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86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93,645</w:t>
            </w:r>
          </w:p>
        </w:tc>
      </w:tr>
      <w:tr>
        <w:trPr/>
        <w:tc>
          <w:tcPr>
            <w:tcW w:w="18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Unrealized loss on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0" w:type="dxa"/>
            <w:tcBorders/>
            <w:shd w:fill="CCEEFF" w:val="clear"/>
            <w:vAlign w:val="center"/>
          </w:tcPr>
          <w:p>
            <w:pPr>
              <w:pStyle w:val="TableContents"/>
              <w:bidi w:val="0"/>
              <w:spacing w:before="0" w:after="0"/>
              <w:ind w:left="0" w:right="0" w:hanging="0"/>
              <w:jc w:val="left"/>
              <w:rPr/>
            </w:pPr>
            <w:r>
              <w:rPr/>
              <w:t>​</w:t>
            </w:r>
          </w:p>
        </w:tc>
        <w:tc>
          <w:tcPr>
            <w:tcW w:w="88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w:t>
            </w:r>
          </w:p>
        </w:tc>
        <w:tc>
          <w:tcPr>
            <w:tcW w:w="98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(341)</w:t>
            </w:r>
          </w:p>
        </w:tc>
        <w:tc>
          <w:tcPr>
            <w:tcW w:w="34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86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(341)</w:t>
            </w:r>
          </w:p>
        </w:tc>
      </w:tr>
      <w:tr>
        <w:trPr/>
        <w:tc>
          <w:tcPr>
            <w:tcW w:w="185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 adjustment</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0" w:type="dxa"/>
            <w:tcBorders/>
            <w:vAlign w:val="center"/>
          </w:tcPr>
          <w:p>
            <w:pPr>
              <w:pStyle w:val="TableContents"/>
              <w:bidi w:val="0"/>
              <w:spacing w:before="0" w:after="0"/>
              <w:ind w:left="0" w:right="0" w:hanging="0"/>
              <w:jc w:val="left"/>
              <w:rPr/>
            </w:pPr>
            <w:r>
              <w:rPr/>
              <w:t>​</w:t>
            </w:r>
          </w:p>
        </w:tc>
        <w:tc>
          <w:tcPr>
            <w:tcW w:w="88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86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w:t>
            </w:r>
          </w:p>
        </w:tc>
      </w:tr>
      <w:tr>
        <w:trPr/>
        <w:tc>
          <w:tcPr>
            <w:tcW w:w="18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0" w:type="dxa"/>
            <w:tcBorders/>
            <w:shd w:fill="CCEEFF" w:val="clear"/>
            <w:vAlign w:val="center"/>
          </w:tcPr>
          <w:p>
            <w:pPr>
              <w:pStyle w:val="TableContents"/>
              <w:bidi w:val="0"/>
              <w:spacing w:before="0" w:after="0"/>
              <w:ind w:left="0" w:right="0" w:hanging="0"/>
              <w:jc w:val="left"/>
              <w:rPr/>
            </w:pPr>
            <w:r>
              <w:rPr/>
              <w:t>​</w:t>
            </w:r>
          </w:p>
        </w:tc>
        <w:tc>
          <w:tcPr>
            <w:tcW w:w="8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w:t>
            </w:r>
          </w:p>
        </w:tc>
        <w:tc>
          <w:tcPr>
            <w:tcW w:w="9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8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(80,987)</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(80,987)</w:t>
            </w:r>
          </w:p>
        </w:tc>
      </w:tr>
      <w:tr>
        <w:trPr/>
        <w:tc>
          <w:tcPr>
            <w:tcW w:w="1853"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as of March 31, 2026</w:t>
            </w:r>
          </w:p>
        </w:tc>
        <w:tc>
          <w:tcPr>
            <w:tcW w:w="346" w:type="dxa"/>
            <w:tcBorders/>
            <w:vAlign w:val="center"/>
          </w:tcPr>
          <w:p>
            <w:pPr>
              <w:pStyle w:val="TableContents"/>
              <w:bidi w:val="0"/>
              <w:spacing w:before="0" w:after="0"/>
              <w:ind w:left="0" w:right="0" w:hanging="0"/>
              <w:jc w:val="left"/>
              <w:rPr/>
            </w:pPr>
            <w:r>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62,383,377</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w:t>
            </w:r>
          </w:p>
        </w:tc>
        <w:tc>
          <w:tcPr>
            <w:tcW w:w="346" w:type="dxa"/>
            <w:tcBorders/>
            <w:vAlign w:val="center"/>
          </w:tcPr>
          <w:p>
            <w:pPr>
              <w:pStyle w:val="TableContents"/>
              <w:bidi w:val="0"/>
              <w:spacing w:before="0" w:after="0"/>
              <w:ind w:left="0" w:right="0" w:hanging="0"/>
              <w:jc w:val="left"/>
              <w:rPr/>
            </w:pPr>
            <w:r>
              <w:rPr/>
              <w:t>​</w:t>
            </w:r>
          </w:p>
        </w:tc>
        <w:tc>
          <w:tcPr>
            <w:tcW w:w="21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1,182,315</w:t>
            </w:r>
          </w:p>
        </w:tc>
        <w:tc>
          <w:tcPr>
            <w:tcW w:w="346"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8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(377)</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(846,115)</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335,829</w:t>
            </w:r>
          </w:p>
        </w:tc>
      </w:tr>
      <w:tr>
        <w:trPr/>
        <w:tc>
          <w:tcPr>
            <w:tcW w:w="18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Exercises of common stock options</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77,825</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0" w:type="dxa"/>
            <w:tcBorders/>
            <w:shd w:fill="CCEEFF" w:val="clear"/>
            <w:vAlign w:val="center"/>
          </w:tcPr>
          <w:p>
            <w:pPr>
              <w:pStyle w:val="TableContents"/>
              <w:bidi w:val="0"/>
              <w:spacing w:before="0" w:after="0"/>
              <w:ind w:left="0" w:right="0" w:hanging="0"/>
              <w:jc w:val="left"/>
              <w:rPr/>
            </w:pPr>
            <w:r>
              <w:rPr/>
              <w:t>​</w:t>
            </w:r>
          </w:p>
        </w:tc>
        <w:tc>
          <w:tcPr>
            <w:tcW w:w="88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806</w:t>
            </w:r>
          </w:p>
        </w:tc>
        <w:tc>
          <w:tcPr>
            <w:tcW w:w="346"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w:t>
            </w:r>
          </w:p>
        </w:tc>
        <w:tc>
          <w:tcPr>
            <w:tcW w:w="98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86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806</w:t>
            </w:r>
          </w:p>
        </w:tc>
      </w:tr>
      <w:tr>
        <w:trPr/>
        <w:tc>
          <w:tcPr>
            <w:tcW w:w="185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Vesting of restricted stock units</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119,545</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0" w:type="dxa"/>
            <w:tcBorders/>
            <w:vAlign w:val="center"/>
          </w:tcPr>
          <w:p>
            <w:pPr>
              <w:pStyle w:val="TableContents"/>
              <w:bidi w:val="0"/>
              <w:spacing w:before="0" w:after="0"/>
              <w:ind w:left="0" w:right="0" w:hanging="0"/>
              <w:jc w:val="left"/>
              <w:rPr/>
            </w:pPr>
            <w:r>
              <w:rPr/>
              <w:t>​</w:t>
            </w:r>
          </w:p>
        </w:tc>
        <w:tc>
          <w:tcPr>
            <w:tcW w:w="88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86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pPr>
            <w:r>
              <w:rPr/>
              <w:t>—</w:t>
            </w:r>
          </w:p>
        </w:tc>
      </w:tr>
      <w:tr>
        <w:trPr/>
        <w:tc>
          <w:tcPr>
            <w:tcW w:w="18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0" w:type="dxa"/>
            <w:tcBorders/>
            <w:shd w:fill="CCEEFF" w:val="clear"/>
            <w:vAlign w:val="center"/>
          </w:tcPr>
          <w:p>
            <w:pPr>
              <w:pStyle w:val="TableContents"/>
              <w:bidi w:val="0"/>
              <w:spacing w:before="0" w:after="0"/>
              <w:ind w:left="0" w:right="0" w:hanging="0"/>
              <w:jc w:val="left"/>
              <w:rPr/>
            </w:pPr>
            <w:r>
              <w:rPr/>
              <w:t>​</w:t>
            </w:r>
          </w:p>
        </w:tc>
        <w:tc>
          <w:tcPr>
            <w:tcW w:w="88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8,619</w:t>
            </w:r>
          </w:p>
        </w:tc>
        <w:tc>
          <w:tcPr>
            <w:tcW w:w="346"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w:t>
            </w:r>
          </w:p>
        </w:tc>
        <w:tc>
          <w:tcPr>
            <w:tcW w:w="98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86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8,619</w:t>
            </w:r>
          </w:p>
        </w:tc>
      </w:tr>
      <w:tr>
        <w:trPr/>
        <w:tc>
          <w:tcPr>
            <w:tcW w:w="185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common stock from underwriters' exercise of the overallotment option of equity offering in full, net of underwriting commissions and other offering costs</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750,000</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0" w:type="dxa"/>
            <w:tcBorders/>
            <w:vAlign w:val="center"/>
          </w:tcPr>
          <w:p>
            <w:pPr>
              <w:pStyle w:val="TableContents"/>
              <w:bidi w:val="0"/>
              <w:spacing w:before="0" w:after="0"/>
              <w:ind w:left="0" w:right="0" w:hanging="0"/>
              <w:jc w:val="left"/>
              <w:rPr/>
            </w:pPr>
            <w:r>
              <w:rPr/>
              <w:t>​</w:t>
            </w:r>
          </w:p>
        </w:tc>
        <w:tc>
          <w:tcPr>
            <w:tcW w:w="88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14,063</w:t>
            </w:r>
          </w:p>
        </w:tc>
        <w:tc>
          <w:tcPr>
            <w:tcW w:w="346"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86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14,063</w:t>
            </w:r>
          </w:p>
        </w:tc>
      </w:tr>
      <w:tr>
        <w:trPr/>
        <w:tc>
          <w:tcPr>
            <w:tcW w:w="18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Unrealized loss on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0" w:type="dxa"/>
            <w:tcBorders/>
            <w:shd w:fill="CCEEFF" w:val="clear"/>
            <w:vAlign w:val="center"/>
          </w:tcPr>
          <w:p>
            <w:pPr>
              <w:pStyle w:val="TableContents"/>
              <w:bidi w:val="0"/>
              <w:spacing w:before="0" w:after="0"/>
              <w:ind w:left="0" w:right="0" w:hanging="0"/>
              <w:jc w:val="left"/>
              <w:rPr/>
            </w:pPr>
            <w:r>
              <w:rPr/>
              <w:t>​</w:t>
            </w:r>
          </w:p>
        </w:tc>
        <w:tc>
          <w:tcPr>
            <w:tcW w:w="88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w:t>
            </w:r>
          </w:p>
        </w:tc>
        <w:tc>
          <w:tcPr>
            <w:tcW w:w="98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(780)</w:t>
            </w:r>
          </w:p>
        </w:tc>
        <w:tc>
          <w:tcPr>
            <w:tcW w:w="34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86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(780)</w:t>
            </w:r>
          </w:p>
        </w:tc>
      </w:tr>
      <w:tr>
        <w:trPr/>
        <w:tc>
          <w:tcPr>
            <w:tcW w:w="185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 adjustment</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0" w:type="dxa"/>
            <w:tcBorders/>
            <w:vAlign w:val="center"/>
          </w:tcPr>
          <w:p>
            <w:pPr>
              <w:pStyle w:val="TableContents"/>
              <w:bidi w:val="0"/>
              <w:spacing w:before="0" w:after="0"/>
              <w:ind w:left="0" w:right="0" w:hanging="0"/>
              <w:jc w:val="left"/>
              <w:rPr/>
            </w:pPr>
            <w:r>
              <w:rPr/>
              <w:t>​</w:t>
            </w:r>
          </w:p>
        </w:tc>
        <w:tc>
          <w:tcPr>
            <w:tcW w:w="88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86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w:t>
            </w:r>
          </w:p>
        </w:tc>
      </w:tr>
      <w:tr>
        <w:trPr/>
        <w:tc>
          <w:tcPr>
            <w:tcW w:w="18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0" w:type="dxa"/>
            <w:tcBorders/>
            <w:shd w:fill="CCEEFF" w:val="clear"/>
            <w:vAlign w:val="center"/>
          </w:tcPr>
          <w:p>
            <w:pPr>
              <w:pStyle w:val="TableContents"/>
              <w:bidi w:val="0"/>
              <w:spacing w:before="0" w:after="0"/>
              <w:ind w:left="0" w:right="0" w:hanging="0"/>
              <w:jc w:val="left"/>
              <w:rPr/>
            </w:pPr>
            <w:r>
              <w:rPr/>
              <w:t>​</w:t>
            </w:r>
          </w:p>
        </w:tc>
        <w:tc>
          <w:tcPr>
            <w:tcW w:w="8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w:t>
            </w:r>
          </w:p>
        </w:tc>
        <w:tc>
          <w:tcPr>
            <w:tcW w:w="9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8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(111,456)</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(111,456)</w:t>
            </w:r>
          </w:p>
        </w:tc>
      </w:tr>
      <w:tr>
        <w:trPr/>
        <w:tc>
          <w:tcPr>
            <w:tcW w:w="1853"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as of June 30, 2026</w:t>
            </w:r>
          </w:p>
        </w:tc>
        <w:tc>
          <w:tcPr>
            <w:tcW w:w="346" w:type="dxa"/>
            <w:tcBorders/>
            <w:vAlign w:val="center"/>
          </w:tcPr>
          <w:p>
            <w:pPr>
              <w:pStyle w:val="TableContents"/>
              <w:bidi w:val="0"/>
              <w:spacing w:before="0" w:after="0"/>
              <w:ind w:left="0" w:right="0" w:hanging="0"/>
              <w:jc w:val="left"/>
              <w:rPr/>
            </w:pPr>
            <w:r>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63,330,747</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w:t>
            </w:r>
          </w:p>
        </w:tc>
        <w:tc>
          <w:tcPr>
            <w:tcW w:w="346" w:type="dxa"/>
            <w:tcBorders/>
            <w:vAlign w:val="center"/>
          </w:tcPr>
          <w:p>
            <w:pPr>
              <w:pStyle w:val="TableContents"/>
              <w:bidi w:val="0"/>
              <w:spacing w:before="0" w:after="0"/>
              <w:ind w:left="0" w:right="0" w:hanging="0"/>
              <w:jc w:val="left"/>
              <w:rPr/>
            </w:pPr>
            <w:r>
              <w:rPr/>
              <w:t>​</w:t>
            </w:r>
          </w:p>
        </w:tc>
        <w:tc>
          <w:tcPr>
            <w:tcW w:w="21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1,205,803</w:t>
            </w:r>
          </w:p>
        </w:tc>
        <w:tc>
          <w:tcPr>
            <w:tcW w:w="346"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8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(1,141)</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(957,571)</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247,097</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Zenas BioPharma,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data)</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65" w:name="Tc_hInKyt7gPkK6fXUPUmkrSg_15_16"/>
      <w:bookmarkStart w:id="466" w:name="Tc_Y9rfgl2E70qRxgGheV0Wjg_15_13"/>
      <w:bookmarkStart w:id="467" w:name="Tc_5ujHPCKWLE-wCaAgmpgW2A_15_10"/>
      <w:bookmarkStart w:id="468" w:name="Tc_6vj_RS7-tESpoqdvpjWMmw_15_7"/>
      <w:bookmarkStart w:id="469" w:name="Tc_Sa_q-3MQO0mfn1sFR5_j1g_15_4"/>
      <w:bookmarkStart w:id="470" w:name="Tc_4U-fmlpAi06J33FTNIWkmQ_15_0"/>
      <w:bookmarkStart w:id="471" w:name="Tc_cuKIS7Qp40Oo7WgtFRnuAQ_14_11"/>
      <w:bookmarkStart w:id="472" w:name="Tc_reqvtztc50a2DoGtasiJTg_14_8"/>
      <w:bookmarkStart w:id="473" w:name="Tc_rSRXkTGmokaD26fLK3INzQ_14_5"/>
      <w:bookmarkStart w:id="474" w:name="Tc_2wOtAjdth0q8WdhjymZLPQ_14_2"/>
      <w:bookmarkStart w:id="475" w:name="Tc_o1kIi3PjjUGJXfothuSb2A_14_0"/>
      <w:bookmarkStart w:id="476" w:name="Tc_wvGoCw6p4kaiZrAiyH-8MQ_13_14"/>
      <w:bookmarkStart w:id="477" w:name="Tc_QqO6CMsIXUSOu0my3jwCJg_13_8"/>
      <w:bookmarkStart w:id="478" w:name="Tc_WtAQ6laVk0G7HlJVYAUmIQ_13_5"/>
      <w:bookmarkStart w:id="479" w:name="Tc_laXvP5vpTUChNsYjG_Dk6Q_13_2"/>
      <w:bookmarkStart w:id="480" w:name="Tc_xtHeS5OADE6IHUFLg0atVA_13_0"/>
      <w:bookmarkStart w:id="481" w:name="Tc_w7shlLYCc0W6th0jPvFEzQ_12_14"/>
      <w:bookmarkStart w:id="482" w:name="Tc_FtN64OZN8kGDEiU8fDxfJQ_12_8"/>
      <w:bookmarkStart w:id="483" w:name="Tc_aC2eRxYAeU290n1gCN39qQ_12_5"/>
      <w:bookmarkStart w:id="484" w:name="Tc_mY5RPTHiw0OMM5Lg1kt3mg_12_2"/>
      <w:bookmarkStart w:id="485" w:name="Tc_4GaM4eqafEKcN9xAfs0bhg_12_0"/>
      <w:bookmarkStart w:id="486" w:name="Tc_pahxZaE2HkOTJ8IB3-gT7g_11_14"/>
      <w:bookmarkStart w:id="487" w:name="Tc_Btjd95PwSU6VEjIp97vuoQ_11_11"/>
      <w:bookmarkStart w:id="488" w:name="Tc_ogJ9OP1uWEuaiKXskrAeaQ_11_5"/>
      <w:bookmarkStart w:id="489" w:name="Tc_B1AHOMs0EEGYTBrcjmTqcw_11_2"/>
      <w:bookmarkStart w:id="490" w:name="Tc_Q51bs6x3eE2Btq-Ee4rJ3g_11_0"/>
      <w:bookmarkStart w:id="491" w:name="Tc_RiwhHDRNA0qVh7QRRhwhCA_10_14"/>
      <w:bookmarkStart w:id="492" w:name="Tc_s95opaSXg0W4y5OYq8QlMg_10_11"/>
      <w:bookmarkStart w:id="493" w:name="Tc_p7um4j_YPUGZGxuIeOZ2-Q_10_5"/>
      <w:bookmarkStart w:id="494" w:name="Tc_5yDiV5pAqEWJ-LzsON7uhA_10_0"/>
      <w:bookmarkStart w:id="495" w:name="Tc_kKzAzT1GIkuCEG1DHPDfUw_9_16"/>
      <w:bookmarkStart w:id="496" w:name="Tc_dAMYoosE7UiHLO8nhmO3TQ_9_13"/>
      <w:bookmarkStart w:id="497" w:name="Tc_T-2AXxl_-kas0ZrJil_f2g_9_10"/>
      <w:bookmarkStart w:id="498" w:name="Tc_XKzXpdqBvkm5e7QnG4awLQ_9_7"/>
      <w:bookmarkStart w:id="499" w:name="Tc_C_GUY9m_20KtCr7GciSYPw_9_4"/>
      <w:bookmarkStart w:id="500" w:name="Tc_svI3nRLc5USJhPd5UHp2tA_9_0"/>
      <w:bookmarkStart w:id="501" w:name="Tc_G8crJfrD0EmjG69bxuQqJA_8_11"/>
      <w:bookmarkStart w:id="502" w:name="Tc_71owLsYzZ0OZGjTTUCAwjg_8_8"/>
      <w:bookmarkStart w:id="503" w:name="Tc_1BEBEsYkzEqRSPBBKxI1dg_8_5"/>
      <w:bookmarkStart w:id="504" w:name="Tc_1hu9jbGI_k22PappZauykg_8_2"/>
      <w:bookmarkStart w:id="505" w:name="Tc_POAcJ7F8wEmqVLJ3OAHFzw_8_0"/>
      <w:bookmarkStart w:id="506" w:name="Tc_932bBrlMYkyQJUvv_Ai3Vw_7_14"/>
      <w:bookmarkStart w:id="507" w:name="Tc_i6e3KA9D_E2Tcih4-Xc0kQ_7_8"/>
      <w:bookmarkStart w:id="508" w:name="Tc_KxHShnXtp0OGZmagmsW4Yg_7_5"/>
      <w:bookmarkStart w:id="509" w:name="Tc_tVzTKoUm20WkffXAL357kA_7_2"/>
      <w:bookmarkStart w:id="510" w:name="Tc_qzvKcCfaXkq93V0BhJmGtw_7_0"/>
      <w:bookmarkStart w:id="511" w:name="Tc_Do1H10U-j0S3mHOThEjcHw_6_14"/>
      <w:bookmarkStart w:id="512" w:name="Tc_Ru8V4C0MtU2JoNMQgmYglw_6_8"/>
      <w:bookmarkStart w:id="513" w:name="Tc_wAFExqKStESXUltQ2VxkJQ_6_5"/>
      <w:bookmarkStart w:id="514" w:name="Tc_tHYJk807iUOh6w5uySsuUA_6_2"/>
      <w:bookmarkStart w:id="515" w:name="Tc_Qkq7M1Noqkyi_-jOtvYKcQ_6_0"/>
      <w:bookmarkStart w:id="516" w:name="Tc_j7n6WDHjREu5TEliSjXWzg_5_14"/>
      <w:bookmarkStart w:id="517" w:name="Tc_v5gqX-QhrUW39CA3O1N2hw_5_11"/>
      <w:bookmarkStart w:id="518" w:name="Tc_zGfp5YMSFEuT7lK_uNPyXg_5_5"/>
      <w:bookmarkStart w:id="519" w:name="Tc__PhwSi9cc0usdOllTVGn4Q_5_2"/>
      <w:bookmarkStart w:id="520" w:name="Tc_DQe7k8Yb_k6SNXl1toYRmw_5_0"/>
      <w:bookmarkStart w:id="521" w:name="Tc_LlCY2TyMn0Owhyk4pUF9Hg_4_14"/>
      <w:bookmarkStart w:id="522" w:name="Tc_ekPv3zqkxEGYEOu6W650gA_4_11"/>
      <w:bookmarkStart w:id="523" w:name="Tc_JjrlDQm7mUCav6z3949_DQ_4_5"/>
      <w:bookmarkStart w:id="524" w:name="Tc_JSilYAEpx0Gdk0ek_nb55A_4_0"/>
      <w:bookmarkStart w:id="525" w:name="Tc_NmC9EZF8mESo_P334JeO0w_3_16"/>
      <w:bookmarkStart w:id="526" w:name="Tc_xxs9UKZ0UEqhMNvELic9Hg_3_13"/>
      <w:bookmarkStart w:id="527" w:name="Tc_FxTw9de8HEWvsXlWnuYguA_3_10"/>
      <w:bookmarkStart w:id="528" w:name="Tc_X06_hT8o10idVX6XZC_eAw_3_7"/>
      <w:bookmarkStart w:id="529" w:name="Tc_L2Auq6PLb0O5JysdkliiFg_3_4"/>
      <w:bookmarkStart w:id="530" w:name="Tc_KuTEHzci8EOXKk6yNQUuKg_3_0"/>
      <w:bookmarkStart w:id="531" w:name="Tc_5ll_d_YRHUmZXL9vrSpMsA_2_16"/>
      <w:bookmarkStart w:id="532" w:name="Tc_XHs-RecAOkKPfwR8QgpEIg_2_13"/>
      <w:bookmarkStart w:id="533" w:name="Tc_xl9xMeG7O0O-eZagFy9PpQ_2_10"/>
      <w:bookmarkStart w:id="534" w:name="Tc_kw5bNI1X5UqJk9D3t3X2kw_2_7"/>
      <w:bookmarkStart w:id="535" w:name="Tc_hghTd90KZ0yENOfE_w5HkA_2_4"/>
      <w:bookmarkStart w:id="536" w:name="Tc_TtZlJLmGm0CatRyZ4KKqhQ_2_2"/>
      <w:bookmarkStart w:id="537" w:name="Tc_0W5GIQi2KkaoibHs6FW4dw_1_2"/>
      <w:bookmarkStart w:id="538" w:name="_468c5fa6_5158_45b7_9685_699c89d3714e"/>
      <w:bookmarkStart w:id="539" w:name="Tc_hInKyt7gPkK6fXUPUmkrSg_15_16"/>
      <w:bookmarkStart w:id="540" w:name="Tc_Y9rfgl2E70qRxgGheV0Wjg_15_13"/>
      <w:bookmarkStart w:id="541" w:name="Tc_5ujHPCKWLE-wCaAgmpgW2A_15_10"/>
      <w:bookmarkStart w:id="542" w:name="Tc_6vj_RS7-tESpoqdvpjWMmw_15_7"/>
      <w:bookmarkStart w:id="543" w:name="Tc_Sa_q-3MQO0mfn1sFR5_j1g_15_4"/>
      <w:bookmarkStart w:id="544" w:name="Tc_4U-fmlpAi06J33FTNIWkmQ_15_0"/>
      <w:bookmarkStart w:id="545" w:name="Tc_cuKIS7Qp40Oo7WgtFRnuAQ_14_11"/>
      <w:bookmarkStart w:id="546" w:name="Tc_reqvtztc50a2DoGtasiJTg_14_8"/>
      <w:bookmarkStart w:id="547" w:name="Tc_rSRXkTGmokaD26fLK3INzQ_14_5"/>
      <w:bookmarkStart w:id="548" w:name="Tc_2wOtAjdth0q8WdhjymZLPQ_14_2"/>
      <w:bookmarkStart w:id="549" w:name="Tc_o1kIi3PjjUGJXfothuSb2A_14_0"/>
      <w:bookmarkStart w:id="550" w:name="Tc_wvGoCw6p4kaiZrAiyH-8MQ_13_14"/>
      <w:bookmarkStart w:id="551" w:name="Tc_QqO6CMsIXUSOu0my3jwCJg_13_8"/>
      <w:bookmarkStart w:id="552" w:name="Tc_WtAQ6laVk0G7HlJVYAUmIQ_13_5"/>
      <w:bookmarkStart w:id="553" w:name="Tc_laXvP5vpTUChNsYjG_Dk6Q_13_2"/>
      <w:bookmarkStart w:id="554" w:name="Tc_xtHeS5OADE6IHUFLg0atVA_13_0"/>
      <w:bookmarkStart w:id="555" w:name="Tc_w7shlLYCc0W6th0jPvFEzQ_12_14"/>
      <w:bookmarkStart w:id="556" w:name="Tc_FtN64OZN8kGDEiU8fDxfJQ_12_8"/>
      <w:bookmarkStart w:id="557" w:name="Tc_aC2eRxYAeU290n1gCN39qQ_12_5"/>
      <w:bookmarkStart w:id="558" w:name="Tc_mY5RPTHiw0OMM5Lg1kt3mg_12_2"/>
      <w:bookmarkStart w:id="559" w:name="Tc_4GaM4eqafEKcN9xAfs0bhg_12_0"/>
      <w:bookmarkStart w:id="560" w:name="Tc_pahxZaE2HkOTJ8IB3-gT7g_11_14"/>
      <w:bookmarkStart w:id="561" w:name="Tc_Btjd95PwSU6VEjIp97vuoQ_11_11"/>
      <w:bookmarkStart w:id="562" w:name="Tc_ogJ9OP1uWEuaiKXskrAeaQ_11_5"/>
      <w:bookmarkStart w:id="563" w:name="Tc_B1AHOMs0EEGYTBrcjmTqcw_11_2"/>
      <w:bookmarkStart w:id="564" w:name="Tc_Q51bs6x3eE2Btq-Ee4rJ3g_11_0"/>
      <w:bookmarkStart w:id="565" w:name="Tc_RiwhHDRNA0qVh7QRRhwhCA_10_14"/>
      <w:bookmarkStart w:id="566" w:name="Tc_s95opaSXg0W4y5OYq8QlMg_10_11"/>
      <w:bookmarkStart w:id="567" w:name="Tc_p7um4j_YPUGZGxuIeOZ2-Q_10_5"/>
      <w:bookmarkStart w:id="568" w:name="Tc_5yDiV5pAqEWJ-LzsON7uhA_10_0"/>
      <w:bookmarkStart w:id="569" w:name="Tc_kKzAzT1GIkuCEG1DHPDfUw_9_16"/>
      <w:bookmarkStart w:id="570" w:name="Tc_dAMYoosE7UiHLO8nhmO3TQ_9_13"/>
      <w:bookmarkStart w:id="571" w:name="Tc_T-2AXxl_-kas0ZrJil_f2g_9_10"/>
      <w:bookmarkStart w:id="572" w:name="Tc_XKzXpdqBvkm5e7QnG4awLQ_9_7"/>
      <w:bookmarkStart w:id="573" w:name="Tc_C_GUY9m_20KtCr7GciSYPw_9_4"/>
      <w:bookmarkStart w:id="574" w:name="Tc_svI3nRLc5USJhPd5UHp2tA_9_0"/>
      <w:bookmarkStart w:id="575" w:name="Tc_G8crJfrD0EmjG69bxuQqJA_8_11"/>
      <w:bookmarkStart w:id="576" w:name="Tc_71owLsYzZ0OZGjTTUCAwjg_8_8"/>
      <w:bookmarkStart w:id="577" w:name="Tc_1BEBEsYkzEqRSPBBKxI1dg_8_5"/>
      <w:bookmarkStart w:id="578" w:name="Tc_1hu9jbGI_k22PappZauykg_8_2"/>
      <w:bookmarkStart w:id="579" w:name="Tc_POAcJ7F8wEmqVLJ3OAHFzw_8_0"/>
      <w:bookmarkStart w:id="580" w:name="Tc_932bBrlMYkyQJUvv_Ai3Vw_7_14"/>
      <w:bookmarkStart w:id="581" w:name="Tc_i6e3KA9D_E2Tcih4-Xc0kQ_7_8"/>
      <w:bookmarkStart w:id="582" w:name="Tc_KxHShnXtp0OGZmagmsW4Yg_7_5"/>
      <w:bookmarkStart w:id="583" w:name="Tc_tVzTKoUm20WkffXAL357kA_7_2"/>
      <w:bookmarkStart w:id="584" w:name="Tc_qzvKcCfaXkq93V0BhJmGtw_7_0"/>
      <w:bookmarkStart w:id="585" w:name="Tc_Do1H10U-j0S3mHOThEjcHw_6_14"/>
      <w:bookmarkStart w:id="586" w:name="Tc_Ru8V4C0MtU2JoNMQgmYglw_6_8"/>
      <w:bookmarkStart w:id="587" w:name="Tc_wAFExqKStESXUltQ2VxkJQ_6_5"/>
      <w:bookmarkStart w:id="588" w:name="Tc_tHYJk807iUOh6w5uySsuUA_6_2"/>
      <w:bookmarkStart w:id="589" w:name="Tc_Qkq7M1Noqkyi_-jOtvYKcQ_6_0"/>
      <w:bookmarkStart w:id="590" w:name="Tc_j7n6WDHjREu5TEliSjXWzg_5_14"/>
      <w:bookmarkStart w:id="591" w:name="Tc_v5gqX-QhrUW39CA3O1N2hw_5_11"/>
      <w:bookmarkStart w:id="592" w:name="Tc_zGfp5YMSFEuT7lK_uNPyXg_5_5"/>
      <w:bookmarkStart w:id="593" w:name="Tc__PhwSi9cc0usdOllTVGn4Q_5_2"/>
      <w:bookmarkStart w:id="594" w:name="Tc_DQe7k8Yb_k6SNXl1toYRmw_5_0"/>
      <w:bookmarkStart w:id="595" w:name="Tc_LlCY2TyMn0Owhyk4pUF9Hg_4_14"/>
      <w:bookmarkStart w:id="596" w:name="Tc_ekPv3zqkxEGYEOu6W650gA_4_11"/>
      <w:bookmarkStart w:id="597" w:name="Tc_JjrlDQm7mUCav6z3949_DQ_4_5"/>
      <w:bookmarkStart w:id="598" w:name="Tc_JSilYAEpx0Gdk0ek_nb55A_4_0"/>
      <w:bookmarkStart w:id="599" w:name="Tc_NmC9EZF8mESo_P334JeO0w_3_16"/>
      <w:bookmarkStart w:id="600" w:name="Tc_xxs9UKZ0UEqhMNvELic9Hg_3_13"/>
      <w:bookmarkStart w:id="601" w:name="Tc_FxTw9de8HEWvsXlWnuYguA_3_10"/>
      <w:bookmarkStart w:id="602" w:name="Tc_X06_hT8o10idVX6XZC_eAw_3_7"/>
      <w:bookmarkStart w:id="603" w:name="Tc_L2Auq6PLb0O5JysdkliiFg_3_4"/>
      <w:bookmarkStart w:id="604" w:name="Tc_KuTEHzci8EOXKk6yNQUuKg_3_0"/>
      <w:bookmarkStart w:id="605" w:name="Tc_5ll_d_YRHUmZXL9vrSpMsA_2_16"/>
      <w:bookmarkStart w:id="606" w:name="Tc_XHs-RecAOkKPfwR8QgpEIg_2_13"/>
      <w:bookmarkStart w:id="607" w:name="Tc_xl9xMeG7O0O-eZagFy9PpQ_2_10"/>
      <w:bookmarkStart w:id="608" w:name="Tc_kw5bNI1X5UqJk9D3t3X2kw_2_7"/>
      <w:bookmarkStart w:id="609" w:name="Tc_hghTd90KZ0yENOfE_w5HkA_2_4"/>
      <w:bookmarkStart w:id="610" w:name="Tc_TtZlJLmGm0CatRyZ4KKqhQ_2_2"/>
      <w:bookmarkStart w:id="611" w:name="Tc_0W5GIQi2KkaoibHs6FW4dw_1_2"/>
      <w:bookmarkStart w:id="612" w:name="_468c5fa6_5158_45b7_9685_699c89d3714e"/>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p>
    <w:tbl>
      <w:tblPr>
        <w:tblW w:w="10205" w:type="dxa"/>
        <w:jc w:val="left"/>
        <w:tblInd w:w="0" w:type="dxa"/>
        <w:tblLayout w:type="fixed"/>
        <w:tblCellMar>
          <w:top w:w="0" w:type="dxa"/>
          <w:left w:w="0" w:type="dxa"/>
          <w:bottom w:w="0" w:type="dxa"/>
          <w:right w:w="0" w:type="dxa"/>
        </w:tblCellMar>
      </w:tblPr>
      <w:tblGrid>
        <w:gridCol w:w="1570"/>
        <w:gridCol w:w="109"/>
        <w:gridCol w:w="916"/>
        <w:gridCol w:w="466"/>
        <w:gridCol w:w="249"/>
        <w:gridCol w:w="442"/>
        <w:gridCol w:w="226"/>
        <w:gridCol w:w="264"/>
        <w:gridCol w:w="932"/>
        <w:gridCol w:w="226"/>
        <w:gridCol w:w="589"/>
        <w:gridCol w:w="1311"/>
        <w:gridCol w:w="226"/>
        <w:gridCol w:w="246"/>
        <w:gridCol w:w="947"/>
        <w:gridCol w:w="226"/>
        <w:gridCol w:w="247"/>
        <w:gridCol w:w="1013"/>
      </w:tblGrid>
      <w:tr>
        <w:trPr/>
        <w:tc>
          <w:tcPr>
            <w:tcW w:w="15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996950" cy="175260"/>
                      <wp:effectExtent l="0" t="0" r="0" b="0"/>
                      <wp:wrapNone/>
                      <wp:docPr id="44" name="Frame43"/>
                      <a:graphic xmlns:a="http://schemas.openxmlformats.org/drawingml/2006/main">
                        <a:graphicData uri="http://schemas.microsoft.com/office/word/2010/wordprocessingShape">
                          <wps:wsp>
                            <wps:cNvSpPr txBox="1"/>
                            <wps:spPr>
                              <a:xfrm>
                                <a:off x="0" y="0"/>
                                <a:ext cx="996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9215" cy="175260"/>
                      <wp:effectExtent l="0" t="0" r="0" b="0"/>
                      <wp:wrapNone/>
                      <wp:docPr id="45" name="Frame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581660" cy="175260"/>
                      <wp:effectExtent l="0" t="0" r="0" b="0"/>
                      <wp:wrapNone/>
                      <wp:docPr id="46" name="Frame45"/>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95910" cy="175260"/>
                      <wp:effectExtent l="0" t="0" r="0" b="0"/>
                      <wp:wrapNone/>
                      <wp:docPr id="47" name="Frame46"/>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58115" cy="175260"/>
                      <wp:effectExtent l="0" t="0" r="0" b="0"/>
                      <wp:wrapNone/>
                      <wp:docPr id="48" name="Frame47"/>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80670" cy="175260"/>
                      <wp:effectExtent l="0" t="0" r="0" b="0"/>
                      <wp:wrapNone/>
                      <wp:docPr id="49" name="Frame48"/>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43510" cy="175260"/>
                      <wp:effectExtent l="0" t="0" r="0" b="0"/>
                      <wp:wrapNone/>
                      <wp:docPr id="50" name="Frame4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67640" cy="175260"/>
                      <wp:effectExtent l="0" t="0" r="0" b="0"/>
                      <wp:wrapNone/>
                      <wp:docPr id="51" name="Frame50"/>
                      <a:graphic xmlns:a="http://schemas.openxmlformats.org/drawingml/2006/main">
                        <a:graphicData uri="http://schemas.microsoft.com/office/word/2010/wordprocessingShape">
                          <wps:wsp>
                            <wps:cNvSpPr txBox="1"/>
                            <wps:spPr>
                              <a:xfrm>
                                <a:off x="0" y="0"/>
                                <a:ext cx="167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591820" cy="175260"/>
                      <wp:effectExtent l="0" t="0" r="0" b="0"/>
                      <wp:wrapNone/>
                      <wp:docPr id="52" name="Frame51"/>
                      <a:graphic xmlns:a="http://schemas.openxmlformats.org/drawingml/2006/main">
                        <a:graphicData uri="http://schemas.microsoft.com/office/word/2010/wordprocessingShape">
                          <wps:wsp>
                            <wps:cNvSpPr txBox="1"/>
                            <wps:spPr>
                              <a:xfrm>
                                <a:off x="0" y="0"/>
                                <a:ext cx="591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43510" cy="175260"/>
                      <wp:effectExtent l="0" t="0" r="0" b="0"/>
                      <wp:wrapNone/>
                      <wp:docPr id="53" name="Frame5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374015" cy="175260"/>
                      <wp:effectExtent l="0" t="0" r="0" b="0"/>
                      <wp:wrapNone/>
                      <wp:docPr id="54" name="Frame53"/>
                      <a:graphic xmlns:a="http://schemas.openxmlformats.org/drawingml/2006/main">
                        <a:graphicData uri="http://schemas.microsoft.com/office/word/2010/wordprocessingShape">
                          <wps:wsp>
                            <wps:cNvSpPr txBox="1"/>
                            <wps:spPr>
                              <a:xfrm>
                                <a:off x="0" y="0"/>
                                <a:ext cx="3740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832485" cy="175260"/>
                      <wp:effectExtent l="0" t="0" r="0" b="0"/>
                      <wp:wrapNone/>
                      <wp:docPr id="55" name="Frame54"/>
                      <a:graphic xmlns:a="http://schemas.openxmlformats.org/drawingml/2006/main">
                        <a:graphicData uri="http://schemas.microsoft.com/office/word/2010/wordprocessingShape">
                          <wps:wsp>
                            <wps:cNvSpPr txBox="1"/>
                            <wps:spPr>
                              <a:xfrm>
                                <a:off x="0" y="0"/>
                                <a:ext cx="832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43510" cy="175260"/>
                      <wp:effectExtent l="0" t="0" r="0" b="0"/>
                      <wp:wrapNone/>
                      <wp:docPr id="56" name="Frame5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56210" cy="175260"/>
                      <wp:effectExtent l="0" t="0" r="0" b="0"/>
                      <wp:wrapNone/>
                      <wp:docPr id="57" name="Frame56"/>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01345" cy="175260"/>
                      <wp:effectExtent l="0" t="0" r="0" b="0"/>
                      <wp:wrapNone/>
                      <wp:docPr id="58" name="Frame57"/>
                      <a:graphic xmlns:a="http://schemas.openxmlformats.org/drawingml/2006/main">
                        <a:graphicData uri="http://schemas.microsoft.com/office/word/2010/wordprocessingShape">
                          <wps:wsp>
                            <wps:cNvSpPr txBox="1"/>
                            <wps:spPr>
                              <a:xfrm>
                                <a:off x="0" y="0"/>
                                <a:ext cx="6013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43510" cy="175260"/>
                      <wp:effectExtent l="0" t="0" r="0" b="0"/>
                      <wp:wrapNone/>
                      <wp:docPr id="59" name="Frame5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56845" cy="175260"/>
                      <wp:effectExtent l="0" t="0" r="0" b="0"/>
                      <wp:wrapNone/>
                      <wp:docPr id="60" name="Frame59"/>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3255" cy="175260"/>
                      <wp:effectExtent l="0" t="0" r="0" b="0"/>
                      <wp:wrapNone/>
                      <wp:docPr id="61" name="Frame60"/>
                      <a:graphic xmlns:a="http://schemas.openxmlformats.org/drawingml/2006/main">
                        <a:graphicData uri="http://schemas.microsoft.com/office/word/2010/wordprocessingShape">
                          <wps:wsp>
                            <wps:cNvSpPr txBox="1"/>
                            <wps:spPr>
                              <a:xfrm>
                                <a:off x="0" y="0"/>
                                <a:ext cx="643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70" w:type="dxa"/>
            <w:tcBorders/>
            <w:shd w:fill="FFFFFF" w:val="clear"/>
            <w:vAlign w:val="center"/>
          </w:tcPr>
          <w:p>
            <w:pPr>
              <w:pStyle w:val="TableContents"/>
              <w:bidi w:val="0"/>
              <w:spacing w:before="0" w:after="1"/>
              <w:ind w:left="0" w:right="0" w:hanging="0"/>
              <w:jc w:val="center"/>
              <w:rPr/>
            </w:pPr>
            <w:r>
              <w:rPr/>
              <w:t>​</w:t>
            </w:r>
          </w:p>
        </w:tc>
        <w:tc>
          <w:tcPr>
            <w:tcW w:w="109" w:type="dxa"/>
            <w:tcBorders/>
            <w:shd w:fill="FFFFFF" w:val="clear"/>
            <w:vAlign w:val="center"/>
          </w:tcPr>
          <w:p>
            <w:pPr>
              <w:pStyle w:val="TableContents"/>
              <w:bidi w:val="0"/>
              <w:spacing w:before="0" w:after="1"/>
              <w:ind w:left="0" w:right="0" w:hanging="0"/>
              <w:jc w:val="left"/>
              <w:rPr/>
            </w:pPr>
            <w:r>
              <w:rPr/>
              <w:t>​</w:t>
            </w:r>
          </w:p>
        </w:tc>
        <w:tc>
          <w:tcPr>
            <w:tcW w:w="2073" w:type="dxa"/>
            <w:gridSpan w:val="4"/>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226" w:type="dxa"/>
            <w:tcBorders/>
            <w:shd w:fill="FFFFFF" w:val="clear"/>
            <w:vAlign w:val="center"/>
          </w:tcPr>
          <w:p>
            <w:pPr>
              <w:pStyle w:val="TableContents"/>
              <w:bidi w:val="0"/>
              <w:spacing w:before="0" w:after="1"/>
              <w:ind w:left="0" w:right="0" w:hanging="0"/>
              <w:jc w:val="center"/>
              <w:rPr/>
            </w:pPr>
            <w:r>
              <w:rPr/>
              <w:t>​</w:t>
            </w:r>
          </w:p>
        </w:tc>
        <w:tc>
          <w:tcPr>
            <w:tcW w:w="1196" w:type="dxa"/>
            <w:gridSpan w:val="2"/>
            <w:tcBorders/>
            <w:shd w:fill="FFFFFF" w:val="clear"/>
            <w:vAlign w:val="center"/>
          </w:tcPr>
          <w:p>
            <w:pPr>
              <w:pStyle w:val="TableContents"/>
              <w:bidi w:val="0"/>
              <w:spacing w:before="0" w:after="1"/>
              <w:ind w:left="0" w:right="0" w:hanging="0"/>
              <w:jc w:val="center"/>
              <w:rPr/>
            </w:pPr>
            <w:r>
              <w:rPr/>
              <w:t>​</w:t>
            </w:r>
          </w:p>
        </w:tc>
        <w:tc>
          <w:tcPr>
            <w:tcW w:w="226" w:type="dxa"/>
            <w:tcBorders/>
            <w:shd w:fill="FFFFFF" w:val="clear"/>
            <w:vAlign w:val="center"/>
          </w:tcPr>
          <w:p>
            <w:pPr>
              <w:pStyle w:val="TableContents"/>
              <w:bidi w:val="0"/>
              <w:spacing w:before="0" w:after="1"/>
              <w:ind w:left="0" w:right="0" w:hanging="0"/>
              <w:jc w:val="left"/>
              <w:rPr/>
            </w:pPr>
            <w:r>
              <w:rPr/>
              <w:t>​</w:t>
            </w:r>
          </w:p>
        </w:tc>
        <w:tc>
          <w:tcPr>
            <w:tcW w:w="1900" w:type="dxa"/>
            <w:gridSpan w:val="2"/>
            <w:tcBorders/>
            <w:shd w:fill="FFFFFF" w:val="clear"/>
            <w:vAlign w:val="center"/>
          </w:tcPr>
          <w:p>
            <w:pPr>
              <w:pStyle w:val="TableContents"/>
              <w:bidi w:val="0"/>
              <w:spacing w:before="0" w:after="1"/>
              <w:ind w:left="0" w:right="0" w:hanging="0"/>
              <w:jc w:val="center"/>
              <w:rPr/>
            </w:pPr>
            <w:r>
              <w:rPr/>
              <w:t>​</w:t>
            </w:r>
          </w:p>
        </w:tc>
        <w:tc>
          <w:tcPr>
            <w:tcW w:w="226" w:type="dxa"/>
            <w:tcBorders/>
            <w:shd w:fill="FFFFFF" w:val="clear"/>
            <w:vAlign w:val="center"/>
          </w:tcPr>
          <w:p>
            <w:pPr>
              <w:pStyle w:val="TableContents"/>
              <w:bidi w:val="0"/>
              <w:spacing w:before="0" w:after="1"/>
              <w:ind w:left="0" w:right="0" w:hanging="0"/>
              <w:jc w:val="left"/>
              <w:rPr/>
            </w:pPr>
            <w:r>
              <w:rPr/>
              <w:t>​</w:t>
            </w:r>
          </w:p>
        </w:tc>
        <w:tc>
          <w:tcPr>
            <w:tcW w:w="1193" w:type="dxa"/>
            <w:gridSpan w:val="2"/>
            <w:tcBorders/>
            <w:shd w:fill="FFFFFF" w:val="clear"/>
            <w:vAlign w:val="center"/>
          </w:tcPr>
          <w:p>
            <w:pPr>
              <w:pStyle w:val="TableContents"/>
              <w:bidi w:val="0"/>
              <w:spacing w:before="0" w:after="1"/>
              <w:ind w:left="0" w:right="0" w:hanging="0"/>
              <w:jc w:val="center"/>
              <w:rPr/>
            </w:pPr>
            <w:r>
              <w:rPr/>
              <w:t>​</w:t>
            </w:r>
          </w:p>
        </w:tc>
        <w:tc>
          <w:tcPr>
            <w:tcW w:w="226" w:type="dxa"/>
            <w:tcBorders/>
            <w:shd w:fill="FFFFFF" w:val="clear"/>
            <w:vAlign w:val="center"/>
          </w:tcPr>
          <w:p>
            <w:pPr>
              <w:pStyle w:val="TableContents"/>
              <w:bidi w:val="0"/>
              <w:spacing w:before="0" w:after="1"/>
              <w:ind w:left="0" w:right="0" w:hanging="0"/>
              <w:jc w:val="center"/>
              <w:rPr/>
            </w:pPr>
            <w:r>
              <w:rPr/>
              <w:t>​</w:t>
            </w:r>
          </w:p>
        </w:tc>
        <w:tc>
          <w:tcPr>
            <w:tcW w:w="1260" w:type="dxa"/>
            <w:gridSpan w:val="2"/>
            <w:tcBorders/>
            <w:shd w:fill="FFFFFF" w:val="clear"/>
            <w:vAlign w:val="center"/>
          </w:tcPr>
          <w:p>
            <w:pPr>
              <w:pStyle w:val="TableContents"/>
              <w:bidi w:val="0"/>
              <w:spacing w:before="0" w:after="1"/>
              <w:ind w:left="0" w:right="0" w:hanging="0"/>
              <w:jc w:val="center"/>
              <w:rPr/>
            </w:pPr>
            <w:r>
              <w:rPr/>
              <w:t>​</w:t>
            </w:r>
          </w:p>
        </w:tc>
      </w:tr>
      <w:tr>
        <w:trPr/>
        <w:tc>
          <w:tcPr>
            <w:tcW w:w="1570" w:type="dxa"/>
            <w:tcBorders/>
            <w:shd w:fill="FFFFFF" w:val="clear"/>
            <w:vAlign w:val="center"/>
          </w:tcPr>
          <w:p>
            <w:pPr>
              <w:pStyle w:val="TableContents"/>
              <w:bidi w:val="0"/>
              <w:spacing w:before="0" w:after="1"/>
              <w:ind w:left="0" w:right="0" w:hanging="0"/>
              <w:jc w:val="left"/>
              <w:rPr/>
            </w:pPr>
            <w:r>
              <w:rPr/>
              <w:t>​</w:t>
            </w:r>
          </w:p>
        </w:tc>
        <w:tc>
          <w:tcPr>
            <w:tcW w:w="109" w:type="dxa"/>
            <w:tcBorders/>
            <w:shd w:fill="FFFFFF" w:val="clear"/>
            <w:vAlign w:val="center"/>
          </w:tcPr>
          <w:p>
            <w:pPr>
              <w:pStyle w:val="TableContents"/>
              <w:bidi w:val="0"/>
              <w:spacing w:before="0" w:after="1"/>
              <w:ind w:left="0" w:right="0" w:hanging="0"/>
              <w:jc w:val="left"/>
              <w:rPr/>
            </w:pPr>
            <w:r>
              <w:rPr/>
              <w:t>​</w:t>
            </w:r>
          </w:p>
        </w:tc>
        <w:tc>
          <w:tcPr>
            <w:tcW w:w="916" w:type="dxa"/>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466" w:type="dxa"/>
            <w:tcBorders/>
            <w:shd w:fill="FFFFFF" w:val="clear"/>
            <w:vAlign w:val="center"/>
          </w:tcPr>
          <w:p>
            <w:pPr>
              <w:pStyle w:val="TableContents"/>
              <w:bidi w:val="0"/>
              <w:spacing w:before="0" w:after="1"/>
              <w:ind w:left="0" w:right="0" w:hanging="0"/>
              <w:jc w:val="left"/>
              <w:rPr/>
            </w:pPr>
            <w:r>
              <w:rPr/>
              <w:t>  ​ ​ ​ ​ ​</w:t>
            </w:r>
          </w:p>
        </w:tc>
        <w:tc>
          <w:tcPr>
            <w:tcW w:w="691"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226" w:type="dxa"/>
            <w:tcBorders/>
            <w:shd w:fill="FFFFFF" w:val="clear"/>
            <w:vAlign w:val="center"/>
          </w:tcPr>
          <w:p>
            <w:pPr>
              <w:pStyle w:val="TableContents"/>
              <w:bidi w:val="0"/>
              <w:spacing w:before="0" w:after="1"/>
              <w:ind w:left="0" w:right="0" w:hanging="0"/>
              <w:jc w:val="left"/>
              <w:rPr/>
            </w:pPr>
            <w:r>
              <w:rPr/>
              <w:t>  ​</w:t>
            </w:r>
          </w:p>
        </w:tc>
        <w:tc>
          <w:tcPr>
            <w:tcW w:w="1196"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 Paid-in Capital</w:t>
            </w:r>
          </w:p>
        </w:tc>
        <w:tc>
          <w:tcPr>
            <w:tcW w:w="226" w:type="dxa"/>
            <w:tcBorders/>
            <w:shd w:fill="FFFFFF" w:val="clear"/>
            <w:vAlign w:val="center"/>
          </w:tcPr>
          <w:p>
            <w:pPr>
              <w:pStyle w:val="TableContents"/>
              <w:bidi w:val="0"/>
              <w:spacing w:before="0" w:after="1"/>
              <w:ind w:left="0" w:right="0" w:hanging="0"/>
              <w:jc w:val="left"/>
              <w:rPr/>
            </w:pPr>
            <w:r>
              <w:rPr/>
              <w:t>  ​</w:t>
            </w:r>
          </w:p>
        </w:tc>
        <w:tc>
          <w:tcPr>
            <w:tcW w:w="1900"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 Other Comprehensive Income (Loss)</w:t>
            </w:r>
          </w:p>
        </w:tc>
        <w:tc>
          <w:tcPr>
            <w:tcW w:w="226" w:type="dxa"/>
            <w:tcBorders/>
            <w:shd w:fill="FFFFFF" w:val="clear"/>
            <w:vAlign w:val="center"/>
          </w:tcPr>
          <w:p>
            <w:pPr>
              <w:pStyle w:val="TableContents"/>
              <w:bidi w:val="0"/>
              <w:spacing w:before="0" w:after="1"/>
              <w:ind w:left="0" w:right="0" w:hanging="0"/>
              <w:jc w:val="left"/>
              <w:rPr/>
            </w:pPr>
            <w:r>
              <w:rPr/>
              <w:t>  ​</w:t>
            </w:r>
          </w:p>
        </w:tc>
        <w:tc>
          <w:tcPr>
            <w:tcW w:w="1193"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 Deficit</w:t>
            </w:r>
          </w:p>
        </w:tc>
        <w:tc>
          <w:tcPr>
            <w:tcW w:w="226" w:type="dxa"/>
            <w:tcBorders/>
            <w:shd w:fill="FFFFFF" w:val="clear"/>
            <w:vAlign w:val="center"/>
          </w:tcPr>
          <w:p>
            <w:pPr>
              <w:pStyle w:val="TableContents"/>
              <w:bidi w:val="0"/>
              <w:spacing w:before="0" w:after="1"/>
              <w:ind w:left="0" w:right="0" w:hanging="0"/>
              <w:jc w:val="left"/>
              <w:rPr/>
            </w:pPr>
            <w:r>
              <w:rPr/>
              <w:t>  ​</w:t>
            </w:r>
          </w:p>
        </w:tc>
        <w:tc>
          <w:tcPr>
            <w:tcW w:w="1260"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Total Stockholders' </w:t>
              <w:br/>
              <w:t>Equity</w:t>
            </w:r>
          </w:p>
        </w:tc>
      </w:tr>
      <w:tr>
        <w:trPr/>
        <w:tc>
          <w:tcPr>
            <w:tcW w:w="1570"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as of December 31, 2024</w:t>
            </w:r>
          </w:p>
        </w:tc>
        <w:tc>
          <w:tcPr>
            <w:tcW w:w="109"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41,793,412</w:t>
            </w:r>
          </w:p>
        </w:tc>
        <w:tc>
          <w:tcPr>
            <w:tcW w:w="466" w:type="dxa"/>
            <w:tcBorders/>
            <w:shd w:fill="CCEEFF" w:val="clear"/>
            <w:vAlign w:val="center"/>
          </w:tcPr>
          <w:p>
            <w:pPr>
              <w:pStyle w:val="TableContents"/>
              <w:bidi w:val="0"/>
              <w:spacing w:before="0" w:after="1"/>
              <w:ind w:left="0" w:right="0" w:hanging="0"/>
              <w:jc w:val="righ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w:t>
            </w:r>
          </w:p>
        </w:tc>
        <w:tc>
          <w:tcPr>
            <w:tcW w:w="226" w:type="dxa"/>
            <w:tcBorders/>
            <w:shd w:fill="CCEEFF" w:val="clear"/>
            <w:vAlign w:val="center"/>
          </w:tcPr>
          <w:p>
            <w:pPr>
              <w:pStyle w:val="TableContents"/>
              <w:bidi w:val="0"/>
              <w:spacing w:before="0" w:after="1"/>
              <w:ind w:left="0" w:right="0" w:hanging="0"/>
              <w:jc w:val="right"/>
              <w:rPr/>
            </w:pPr>
            <w:r>
              <w:rPr/>
              <w:t>​</w:t>
            </w:r>
          </w:p>
        </w:tc>
        <w:tc>
          <w:tcPr>
            <w:tcW w:w="26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3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699,651</w:t>
            </w:r>
          </w:p>
        </w:tc>
        <w:tc>
          <w:tcPr>
            <w:tcW w:w="226" w:type="dxa"/>
            <w:tcBorders/>
            <w:shd w:fill="CCEEFF" w:val="clear"/>
            <w:vAlign w:val="center"/>
          </w:tcPr>
          <w:p>
            <w:pPr>
              <w:pStyle w:val="TableContents"/>
              <w:bidi w:val="0"/>
              <w:spacing w:before="0" w:after="1"/>
              <w:ind w:left="0" w:right="0" w:hanging="0"/>
              <w:jc w:val="right"/>
              <w:rPr/>
            </w:pPr>
            <w:r>
              <w:rPr/>
              <w:t>​</w:t>
            </w:r>
          </w:p>
        </w:tc>
        <w:tc>
          <w:tcPr>
            <w:tcW w:w="58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3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194</w:t>
            </w:r>
          </w:p>
        </w:tc>
        <w:tc>
          <w:tcPr>
            <w:tcW w:w="226" w:type="dxa"/>
            <w:tcBorders/>
            <w:shd w:fill="CCEEFF" w:val="clear"/>
            <w:vAlign w:val="center"/>
          </w:tcPr>
          <w:p>
            <w:pPr>
              <w:pStyle w:val="TableContents"/>
              <w:bidi w:val="0"/>
              <w:spacing w:before="0" w:after="1"/>
              <w:ind w:left="0" w:right="0" w:hanging="0"/>
              <w:jc w:val="right"/>
              <w:rPr/>
            </w:pPr>
            <w:r>
              <w:rPr/>
              <w:t>​</w:t>
            </w:r>
          </w:p>
        </w:tc>
        <w:tc>
          <w:tcPr>
            <w:tcW w:w="2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4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(387,391)</w:t>
            </w:r>
          </w:p>
        </w:tc>
        <w:tc>
          <w:tcPr>
            <w:tcW w:w="226" w:type="dxa"/>
            <w:tcBorders/>
            <w:shd w:fill="CCEEFF" w:val="clear"/>
            <w:vAlign w:val="center"/>
          </w:tcPr>
          <w:p>
            <w:pPr>
              <w:pStyle w:val="TableContents"/>
              <w:bidi w:val="0"/>
              <w:spacing w:before="0" w:after="1"/>
              <w:ind w:left="0" w:right="0" w:hanging="0"/>
              <w:jc w:val="right"/>
              <w:rPr/>
            </w:pPr>
            <w:r>
              <w:rPr/>
              <w:t>​</w:t>
            </w:r>
          </w:p>
        </w:tc>
        <w:tc>
          <w:tcPr>
            <w:tcW w:w="24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1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312,458</w:t>
            </w:r>
          </w:p>
        </w:tc>
      </w:tr>
      <w:tr>
        <w:trPr/>
        <w:tc>
          <w:tcPr>
            <w:tcW w:w="157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Exercises of common stock options</w:t>
            </w:r>
          </w:p>
        </w:tc>
        <w:tc>
          <w:tcPr>
            <w:tcW w:w="109"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28,475</w:t>
            </w:r>
          </w:p>
        </w:tc>
        <w:tc>
          <w:tcPr>
            <w:tcW w:w="466" w:type="dxa"/>
            <w:tcBorders/>
            <w:vAlign w:val="center"/>
          </w:tcPr>
          <w:p>
            <w:pPr>
              <w:pStyle w:val="TableContents"/>
              <w:bidi w:val="0"/>
              <w:spacing w:before="0" w:after="1"/>
              <w:ind w:left="0" w:right="0" w:hanging="0"/>
              <w:jc w:val="righ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264" w:type="dxa"/>
            <w:tcBorders/>
            <w:vAlign w:val="center"/>
          </w:tcPr>
          <w:p>
            <w:pPr>
              <w:pStyle w:val="TableContents"/>
              <w:bidi w:val="0"/>
              <w:spacing w:before="0" w:after="1"/>
              <w:ind w:left="0" w:right="0" w:hanging="0"/>
              <w:jc w:val="left"/>
              <w:rPr/>
            </w:pPr>
            <w:r>
              <w:rPr/>
              <w:t>​</w:t>
            </w:r>
          </w:p>
        </w:tc>
        <w:tc>
          <w:tcPr>
            <w:tcW w:w="93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99</w:t>
            </w:r>
          </w:p>
        </w:tc>
        <w:tc>
          <w:tcPr>
            <w:tcW w:w="226" w:type="dxa"/>
            <w:tcBorders/>
            <w:vAlign w:val="center"/>
          </w:tcPr>
          <w:p>
            <w:pPr>
              <w:pStyle w:val="TableContents"/>
              <w:bidi w:val="0"/>
              <w:spacing w:before="0" w:after="1"/>
              <w:ind w:left="0" w:right="0" w:hanging="0"/>
              <w:jc w:val="right"/>
              <w:rPr/>
            </w:pPr>
            <w:r>
              <w:rPr/>
              <w:t>​</w:t>
            </w:r>
          </w:p>
        </w:tc>
        <w:tc>
          <w:tcPr>
            <w:tcW w:w="589" w:type="dxa"/>
            <w:tcBorders/>
            <w:vAlign w:val="center"/>
          </w:tcPr>
          <w:p>
            <w:pPr>
              <w:pStyle w:val="TableContents"/>
              <w:bidi w:val="0"/>
              <w:spacing w:before="0" w:after="1"/>
              <w:ind w:left="0" w:right="0" w:hanging="0"/>
              <w:jc w:val="left"/>
              <w:rPr/>
            </w:pPr>
            <w:r>
              <w:rPr/>
              <w:t>​</w:t>
            </w:r>
          </w:p>
        </w:tc>
        <w:tc>
          <w:tcPr>
            <w:tcW w:w="131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246" w:type="dxa"/>
            <w:tcBorders/>
            <w:vAlign w:val="center"/>
          </w:tcPr>
          <w:p>
            <w:pPr>
              <w:pStyle w:val="TableContents"/>
              <w:bidi w:val="0"/>
              <w:spacing w:before="0" w:after="1"/>
              <w:ind w:left="0" w:right="0" w:hanging="0"/>
              <w:jc w:val="left"/>
              <w:rPr/>
            </w:pPr>
            <w:r>
              <w:rPr/>
              <w:t>​</w:t>
            </w:r>
          </w:p>
        </w:tc>
        <w:tc>
          <w:tcPr>
            <w:tcW w:w="947"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w:t>
            </w:r>
          </w:p>
        </w:tc>
        <w:tc>
          <w:tcPr>
            <w:tcW w:w="101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99</w:t>
            </w:r>
          </w:p>
        </w:tc>
      </w:tr>
      <w:tr>
        <w:trPr/>
        <w:tc>
          <w:tcPr>
            <w:tcW w:w="157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109"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466" w:type="dxa"/>
            <w:tcBorders/>
            <w:shd w:fill="CCEEFF" w:val="clear"/>
            <w:vAlign w:val="center"/>
          </w:tcPr>
          <w:p>
            <w:pPr>
              <w:pStyle w:val="TableContents"/>
              <w:bidi w:val="0"/>
              <w:spacing w:before="0" w:after="1"/>
              <w:ind w:left="0" w:right="0" w:hanging="0"/>
              <w:jc w:val="righ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264" w:type="dxa"/>
            <w:tcBorders/>
            <w:shd w:fill="CCEEFF" w:val="clear"/>
            <w:vAlign w:val="center"/>
          </w:tcPr>
          <w:p>
            <w:pPr>
              <w:pStyle w:val="TableContents"/>
              <w:bidi w:val="0"/>
              <w:spacing w:before="0" w:after="1"/>
              <w:ind w:left="0" w:right="0" w:hanging="0"/>
              <w:jc w:val="left"/>
              <w:rPr/>
            </w:pPr>
            <w:r>
              <w:rPr/>
              <w:t>​</w:t>
            </w:r>
          </w:p>
        </w:tc>
        <w:tc>
          <w:tcPr>
            <w:tcW w:w="93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5,386</w:t>
            </w:r>
          </w:p>
        </w:tc>
        <w:tc>
          <w:tcPr>
            <w:tcW w:w="226" w:type="dxa"/>
            <w:tcBorders/>
            <w:shd w:fill="CCEEFF" w:val="clear"/>
            <w:vAlign w:val="center"/>
          </w:tcPr>
          <w:p>
            <w:pPr>
              <w:pStyle w:val="TableContents"/>
              <w:bidi w:val="0"/>
              <w:spacing w:before="0" w:after="1"/>
              <w:ind w:left="0" w:right="0" w:hanging="0"/>
              <w:jc w:val="right"/>
              <w:rPr/>
            </w:pPr>
            <w:r>
              <w:rPr/>
              <w:t>​</w:t>
            </w:r>
          </w:p>
        </w:tc>
        <w:tc>
          <w:tcPr>
            <w:tcW w:w="589" w:type="dxa"/>
            <w:tcBorders/>
            <w:shd w:fill="CCEEFF" w:val="clear"/>
            <w:vAlign w:val="center"/>
          </w:tcPr>
          <w:p>
            <w:pPr>
              <w:pStyle w:val="TableContents"/>
              <w:bidi w:val="0"/>
              <w:spacing w:before="0" w:after="1"/>
              <w:ind w:left="0" w:right="0" w:hanging="0"/>
              <w:jc w:val="left"/>
              <w:rPr/>
            </w:pPr>
            <w:r>
              <w:rPr/>
              <w:t>​</w:t>
            </w:r>
          </w:p>
        </w:tc>
        <w:tc>
          <w:tcPr>
            <w:tcW w:w="131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947"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w:t>
            </w:r>
          </w:p>
        </w:tc>
        <w:tc>
          <w:tcPr>
            <w:tcW w:w="101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5,386</w:t>
            </w:r>
          </w:p>
        </w:tc>
      </w:tr>
      <w:tr>
        <w:trPr/>
        <w:tc>
          <w:tcPr>
            <w:tcW w:w="157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Unrealized gain on investments</w:t>
            </w:r>
          </w:p>
        </w:tc>
        <w:tc>
          <w:tcPr>
            <w:tcW w:w="109"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466" w:type="dxa"/>
            <w:tcBorders/>
            <w:vAlign w:val="center"/>
          </w:tcPr>
          <w:p>
            <w:pPr>
              <w:pStyle w:val="TableContents"/>
              <w:bidi w:val="0"/>
              <w:spacing w:before="0" w:after="1"/>
              <w:ind w:left="0" w:right="0" w:hanging="0"/>
              <w:jc w:val="righ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264" w:type="dxa"/>
            <w:tcBorders/>
            <w:vAlign w:val="center"/>
          </w:tcPr>
          <w:p>
            <w:pPr>
              <w:pStyle w:val="TableContents"/>
              <w:bidi w:val="0"/>
              <w:spacing w:before="0" w:after="1"/>
              <w:ind w:left="0" w:right="0" w:hanging="0"/>
              <w:jc w:val="left"/>
              <w:rPr/>
            </w:pPr>
            <w:r>
              <w:rPr/>
              <w:t>​</w:t>
            </w:r>
          </w:p>
        </w:tc>
        <w:tc>
          <w:tcPr>
            <w:tcW w:w="932"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589" w:type="dxa"/>
            <w:tcBorders/>
            <w:vAlign w:val="center"/>
          </w:tcPr>
          <w:p>
            <w:pPr>
              <w:pStyle w:val="TableContents"/>
              <w:bidi w:val="0"/>
              <w:spacing w:before="0" w:after="1"/>
              <w:ind w:left="0" w:right="0" w:hanging="0"/>
              <w:jc w:val="left"/>
              <w:rPr/>
            </w:pPr>
            <w:r>
              <w:rPr/>
              <w:t>​</w:t>
            </w:r>
          </w:p>
        </w:tc>
        <w:tc>
          <w:tcPr>
            <w:tcW w:w="13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w:t>
            </w:r>
          </w:p>
        </w:tc>
        <w:tc>
          <w:tcPr>
            <w:tcW w:w="2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947"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w:t>
            </w:r>
          </w:p>
        </w:tc>
        <w:tc>
          <w:tcPr>
            <w:tcW w:w="101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w:t>
            </w:r>
          </w:p>
        </w:tc>
      </w:tr>
      <w:tr>
        <w:trPr/>
        <w:tc>
          <w:tcPr>
            <w:tcW w:w="157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Foreign currency translation adjustment</w:t>
            </w:r>
          </w:p>
        </w:tc>
        <w:tc>
          <w:tcPr>
            <w:tcW w:w="109"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466" w:type="dxa"/>
            <w:tcBorders/>
            <w:shd w:fill="CCEEFF" w:val="clear"/>
            <w:vAlign w:val="center"/>
          </w:tcPr>
          <w:p>
            <w:pPr>
              <w:pStyle w:val="TableContents"/>
              <w:bidi w:val="0"/>
              <w:spacing w:before="0" w:after="1"/>
              <w:ind w:left="0" w:right="0" w:hanging="0"/>
              <w:jc w:val="righ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264" w:type="dxa"/>
            <w:tcBorders/>
            <w:shd w:fill="CCEEFF" w:val="clear"/>
            <w:vAlign w:val="center"/>
          </w:tcPr>
          <w:p>
            <w:pPr>
              <w:pStyle w:val="TableContents"/>
              <w:bidi w:val="0"/>
              <w:spacing w:before="0" w:after="1"/>
              <w:ind w:left="0" w:right="0" w:hanging="0"/>
              <w:jc w:val="left"/>
              <w:rPr/>
            </w:pPr>
            <w:r>
              <w:rPr/>
              <w:t>​</w:t>
            </w:r>
          </w:p>
        </w:tc>
        <w:tc>
          <w:tcPr>
            <w:tcW w:w="932"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589" w:type="dxa"/>
            <w:tcBorders/>
            <w:shd w:fill="CCEEFF" w:val="clear"/>
            <w:vAlign w:val="center"/>
          </w:tcPr>
          <w:p>
            <w:pPr>
              <w:pStyle w:val="TableContents"/>
              <w:bidi w:val="0"/>
              <w:spacing w:before="0" w:after="1"/>
              <w:ind w:left="0" w:right="0" w:hanging="0"/>
              <w:jc w:val="left"/>
              <w:rPr/>
            </w:pPr>
            <w:r>
              <w:rPr/>
              <w:t>​</w:t>
            </w:r>
          </w:p>
        </w:tc>
        <w:tc>
          <w:tcPr>
            <w:tcW w:w="13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w:t>
            </w:r>
          </w:p>
        </w:tc>
        <w:tc>
          <w:tcPr>
            <w:tcW w:w="2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947"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w:t>
            </w:r>
          </w:p>
        </w:tc>
        <w:tc>
          <w:tcPr>
            <w:tcW w:w="101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w:t>
            </w:r>
          </w:p>
        </w:tc>
      </w:tr>
      <w:tr>
        <w:trPr/>
        <w:tc>
          <w:tcPr>
            <w:tcW w:w="157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109" w:type="dxa"/>
            <w:tcBorders/>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466" w:type="dxa"/>
            <w:tcBorders/>
            <w:vAlign w:val="center"/>
          </w:tcPr>
          <w:p>
            <w:pPr>
              <w:pStyle w:val="TableContents"/>
              <w:bidi w:val="0"/>
              <w:spacing w:before="0" w:after="1"/>
              <w:ind w:left="0" w:right="0" w:hanging="0"/>
              <w:jc w:val="righ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264" w:type="dxa"/>
            <w:tcBorders/>
            <w:vAlign w:val="center"/>
          </w:tcPr>
          <w:p>
            <w:pPr>
              <w:pStyle w:val="TableContents"/>
              <w:bidi w:val="0"/>
              <w:spacing w:before="0" w:after="1"/>
              <w:ind w:left="0" w:right="0" w:hanging="0"/>
              <w:jc w:val="left"/>
              <w:rPr/>
            </w:pPr>
            <w:r>
              <w:rPr/>
              <w:t>​</w:t>
            </w:r>
          </w:p>
        </w:tc>
        <w:tc>
          <w:tcPr>
            <w:tcW w:w="93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589" w:type="dxa"/>
            <w:tcBorders/>
            <w:vAlign w:val="center"/>
          </w:tcPr>
          <w:p>
            <w:pPr>
              <w:pStyle w:val="TableContents"/>
              <w:bidi w:val="0"/>
              <w:spacing w:before="0" w:after="1"/>
              <w:ind w:left="0" w:right="0" w:hanging="0"/>
              <w:jc w:val="left"/>
              <w:rPr/>
            </w:pPr>
            <w:r>
              <w:rPr/>
              <w:t>​</w:t>
            </w:r>
          </w:p>
        </w:tc>
        <w:tc>
          <w:tcPr>
            <w:tcW w:w="13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246" w:type="dxa"/>
            <w:tcBorders/>
            <w:vAlign w:val="center"/>
          </w:tcPr>
          <w:p>
            <w:pPr>
              <w:pStyle w:val="TableContents"/>
              <w:bidi w:val="0"/>
              <w:spacing w:before="0" w:after="1"/>
              <w:ind w:left="0" w:right="0" w:hanging="0"/>
              <w:jc w:val="left"/>
              <w:rPr/>
            </w:pPr>
            <w:r>
              <w:rPr/>
              <w:t>​</w:t>
            </w:r>
          </w:p>
        </w:tc>
        <w:tc>
          <w:tcPr>
            <w:tcW w:w="94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(33,573)</w:t>
            </w:r>
          </w:p>
        </w:tc>
        <w:tc>
          <w:tcPr>
            <w:tcW w:w="22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w:t>
            </w:r>
          </w:p>
        </w:tc>
        <w:tc>
          <w:tcPr>
            <w:tcW w:w="101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(33,573)</w:t>
            </w:r>
          </w:p>
        </w:tc>
      </w:tr>
      <w:tr>
        <w:trPr/>
        <w:tc>
          <w:tcPr>
            <w:tcW w:w="1570"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as of March 31, 2025</w:t>
            </w:r>
          </w:p>
        </w:tc>
        <w:tc>
          <w:tcPr>
            <w:tcW w:w="109" w:type="dxa"/>
            <w:tcBorders/>
            <w:shd w:fill="CCEEFF" w:val="clear"/>
            <w:vAlign w:val="center"/>
          </w:tcPr>
          <w:p>
            <w:pPr>
              <w:pStyle w:val="TableContents"/>
              <w:bidi w:val="0"/>
              <w:spacing w:before="0" w:after="1"/>
              <w:ind w:left="0" w:right="0" w:hanging="0"/>
              <w:jc w:val="left"/>
              <w:rPr/>
            </w:pPr>
            <w:r>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41,821,887</w:t>
            </w:r>
          </w:p>
        </w:tc>
        <w:tc>
          <w:tcPr>
            <w:tcW w:w="466" w:type="dxa"/>
            <w:tcBorders/>
            <w:shd w:fill="CCEEFF" w:val="clear"/>
            <w:vAlign w:val="center"/>
          </w:tcPr>
          <w:p>
            <w:pPr>
              <w:pStyle w:val="TableContents"/>
              <w:bidi w:val="0"/>
              <w:spacing w:before="0" w:after="1"/>
              <w:ind w:left="0" w:right="0" w:hanging="0"/>
              <w:jc w:val="righ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w:t>
            </w:r>
          </w:p>
        </w:tc>
        <w:tc>
          <w:tcPr>
            <w:tcW w:w="226" w:type="dxa"/>
            <w:tcBorders/>
            <w:shd w:fill="CCEEFF" w:val="clear"/>
            <w:vAlign w:val="center"/>
          </w:tcPr>
          <w:p>
            <w:pPr>
              <w:pStyle w:val="TableContents"/>
              <w:bidi w:val="0"/>
              <w:spacing w:before="0" w:after="1"/>
              <w:ind w:left="0" w:right="0" w:hanging="0"/>
              <w:jc w:val="right"/>
              <w:rPr/>
            </w:pPr>
            <w:r>
              <w:rPr/>
              <w:t>​</w:t>
            </w:r>
          </w:p>
        </w:tc>
        <w:tc>
          <w:tcPr>
            <w:tcW w:w="26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3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705,136</w:t>
            </w:r>
          </w:p>
        </w:tc>
        <w:tc>
          <w:tcPr>
            <w:tcW w:w="226" w:type="dxa"/>
            <w:tcBorders/>
            <w:shd w:fill="CCEEFF" w:val="clear"/>
            <w:vAlign w:val="center"/>
          </w:tcPr>
          <w:p>
            <w:pPr>
              <w:pStyle w:val="TableContents"/>
              <w:bidi w:val="0"/>
              <w:spacing w:before="0" w:after="1"/>
              <w:ind w:left="0" w:right="0" w:hanging="0"/>
              <w:jc w:val="right"/>
              <w:rPr/>
            </w:pPr>
            <w:r>
              <w:rPr/>
              <w:t>​</w:t>
            </w:r>
          </w:p>
        </w:tc>
        <w:tc>
          <w:tcPr>
            <w:tcW w:w="58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3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141</w:t>
            </w:r>
          </w:p>
        </w:tc>
        <w:tc>
          <w:tcPr>
            <w:tcW w:w="226" w:type="dxa"/>
            <w:tcBorders/>
            <w:shd w:fill="CCEEFF" w:val="clear"/>
            <w:vAlign w:val="center"/>
          </w:tcPr>
          <w:p>
            <w:pPr>
              <w:pStyle w:val="TableContents"/>
              <w:bidi w:val="0"/>
              <w:spacing w:before="0" w:after="1"/>
              <w:ind w:left="0" w:right="0" w:hanging="0"/>
              <w:jc w:val="right"/>
              <w:rPr/>
            </w:pPr>
            <w:r>
              <w:rPr/>
              <w:t>​</w:t>
            </w:r>
          </w:p>
        </w:tc>
        <w:tc>
          <w:tcPr>
            <w:tcW w:w="2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4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(420,964)</w:t>
            </w:r>
          </w:p>
        </w:tc>
        <w:tc>
          <w:tcPr>
            <w:tcW w:w="226" w:type="dxa"/>
            <w:tcBorders/>
            <w:shd w:fill="CCEEFF" w:val="clear"/>
            <w:vAlign w:val="center"/>
          </w:tcPr>
          <w:p>
            <w:pPr>
              <w:pStyle w:val="TableContents"/>
              <w:bidi w:val="0"/>
              <w:spacing w:before="0" w:after="1"/>
              <w:ind w:left="0" w:right="0" w:hanging="0"/>
              <w:jc w:val="right"/>
              <w:rPr/>
            </w:pPr>
            <w:r>
              <w:rPr/>
              <w:t>​</w:t>
            </w:r>
          </w:p>
        </w:tc>
        <w:tc>
          <w:tcPr>
            <w:tcW w:w="24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1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284,317</w:t>
            </w:r>
          </w:p>
        </w:tc>
      </w:tr>
      <w:tr>
        <w:trPr/>
        <w:tc>
          <w:tcPr>
            <w:tcW w:w="157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Exercises of common stock options</w:t>
            </w:r>
          </w:p>
        </w:tc>
        <w:tc>
          <w:tcPr>
            <w:tcW w:w="109"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266,810</w:t>
            </w:r>
          </w:p>
        </w:tc>
        <w:tc>
          <w:tcPr>
            <w:tcW w:w="466" w:type="dxa"/>
            <w:tcBorders/>
            <w:vAlign w:val="center"/>
          </w:tcPr>
          <w:p>
            <w:pPr>
              <w:pStyle w:val="TableContents"/>
              <w:bidi w:val="0"/>
              <w:spacing w:before="0" w:after="1"/>
              <w:ind w:left="0" w:right="0" w:hanging="0"/>
              <w:jc w:val="righ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264" w:type="dxa"/>
            <w:tcBorders/>
            <w:vAlign w:val="center"/>
          </w:tcPr>
          <w:p>
            <w:pPr>
              <w:pStyle w:val="TableContents"/>
              <w:bidi w:val="0"/>
              <w:spacing w:before="0" w:after="1"/>
              <w:ind w:left="0" w:right="0" w:hanging="0"/>
              <w:jc w:val="left"/>
              <w:rPr/>
            </w:pPr>
            <w:r>
              <w:rPr/>
              <w:t>​</w:t>
            </w:r>
          </w:p>
        </w:tc>
        <w:tc>
          <w:tcPr>
            <w:tcW w:w="93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1,722</w:t>
            </w:r>
          </w:p>
        </w:tc>
        <w:tc>
          <w:tcPr>
            <w:tcW w:w="226" w:type="dxa"/>
            <w:tcBorders/>
            <w:vAlign w:val="center"/>
          </w:tcPr>
          <w:p>
            <w:pPr>
              <w:pStyle w:val="TableContents"/>
              <w:bidi w:val="0"/>
              <w:spacing w:before="0" w:after="1"/>
              <w:ind w:left="0" w:right="0" w:hanging="0"/>
              <w:jc w:val="right"/>
              <w:rPr/>
            </w:pPr>
            <w:r>
              <w:rPr/>
              <w:t>​</w:t>
            </w:r>
          </w:p>
        </w:tc>
        <w:tc>
          <w:tcPr>
            <w:tcW w:w="589" w:type="dxa"/>
            <w:tcBorders/>
            <w:vAlign w:val="center"/>
          </w:tcPr>
          <w:p>
            <w:pPr>
              <w:pStyle w:val="TableContents"/>
              <w:bidi w:val="0"/>
              <w:spacing w:before="0" w:after="1"/>
              <w:ind w:left="0" w:right="0" w:hanging="0"/>
              <w:jc w:val="left"/>
              <w:rPr/>
            </w:pPr>
            <w:r>
              <w:rPr/>
              <w:t>​</w:t>
            </w:r>
          </w:p>
        </w:tc>
        <w:tc>
          <w:tcPr>
            <w:tcW w:w="131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246" w:type="dxa"/>
            <w:tcBorders/>
            <w:vAlign w:val="center"/>
          </w:tcPr>
          <w:p>
            <w:pPr>
              <w:pStyle w:val="TableContents"/>
              <w:bidi w:val="0"/>
              <w:spacing w:before="0" w:after="1"/>
              <w:ind w:left="0" w:right="0" w:hanging="0"/>
              <w:jc w:val="left"/>
              <w:rPr/>
            </w:pPr>
            <w:r>
              <w:rPr/>
              <w:t>​</w:t>
            </w:r>
          </w:p>
        </w:tc>
        <w:tc>
          <w:tcPr>
            <w:tcW w:w="947"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247" w:type="dxa"/>
            <w:tcBorders/>
            <w:vAlign w:val="center"/>
          </w:tcPr>
          <w:p>
            <w:pPr>
              <w:pStyle w:val="TableContents"/>
              <w:bidi w:val="0"/>
              <w:spacing w:before="0" w:after="1"/>
              <w:ind w:left="0" w:right="0" w:hanging="0"/>
              <w:jc w:val="left"/>
              <w:rPr/>
            </w:pPr>
            <w:r>
              <w:rPr/>
              <w:t>​</w:t>
            </w:r>
          </w:p>
        </w:tc>
        <w:tc>
          <w:tcPr>
            <w:tcW w:w="101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1,722</w:t>
            </w:r>
          </w:p>
        </w:tc>
      </w:tr>
      <w:tr>
        <w:trPr/>
        <w:tc>
          <w:tcPr>
            <w:tcW w:w="157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109"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466" w:type="dxa"/>
            <w:tcBorders/>
            <w:shd w:fill="CCEEFF" w:val="clear"/>
            <w:vAlign w:val="center"/>
          </w:tcPr>
          <w:p>
            <w:pPr>
              <w:pStyle w:val="TableContents"/>
              <w:bidi w:val="0"/>
              <w:spacing w:before="0" w:after="1"/>
              <w:ind w:left="0" w:right="0" w:hanging="0"/>
              <w:jc w:val="righ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264" w:type="dxa"/>
            <w:tcBorders/>
            <w:shd w:fill="CCEEFF" w:val="clear"/>
            <w:vAlign w:val="center"/>
          </w:tcPr>
          <w:p>
            <w:pPr>
              <w:pStyle w:val="TableContents"/>
              <w:bidi w:val="0"/>
              <w:spacing w:before="0" w:after="1"/>
              <w:ind w:left="0" w:right="0" w:hanging="0"/>
              <w:jc w:val="left"/>
              <w:rPr/>
            </w:pPr>
            <w:r>
              <w:rPr/>
              <w:t>​</w:t>
            </w:r>
          </w:p>
        </w:tc>
        <w:tc>
          <w:tcPr>
            <w:tcW w:w="93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6,045</w:t>
            </w:r>
          </w:p>
        </w:tc>
        <w:tc>
          <w:tcPr>
            <w:tcW w:w="226" w:type="dxa"/>
            <w:tcBorders/>
            <w:shd w:fill="CCEEFF" w:val="clear"/>
            <w:vAlign w:val="center"/>
          </w:tcPr>
          <w:p>
            <w:pPr>
              <w:pStyle w:val="TableContents"/>
              <w:bidi w:val="0"/>
              <w:spacing w:before="0" w:after="1"/>
              <w:ind w:left="0" w:right="0" w:hanging="0"/>
              <w:jc w:val="right"/>
              <w:rPr/>
            </w:pPr>
            <w:r>
              <w:rPr/>
              <w:t>​</w:t>
            </w:r>
          </w:p>
        </w:tc>
        <w:tc>
          <w:tcPr>
            <w:tcW w:w="589" w:type="dxa"/>
            <w:tcBorders/>
            <w:shd w:fill="CCEEFF" w:val="clear"/>
            <w:vAlign w:val="center"/>
          </w:tcPr>
          <w:p>
            <w:pPr>
              <w:pStyle w:val="TableContents"/>
              <w:bidi w:val="0"/>
              <w:spacing w:before="0" w:after="1"/>
              <w:ind w:left="0" w:right="0" w:hanging="0"/>
              <w:jc w:val="left"/>
              <w:rPr/>
            </w:pPr>
            <w:r>
              <w:rPr/>
              <w:t>​</w:t>
            </w:r>
          </w:p>
        </w:tc>
        <w:tc>
          <w:tcPr>
            <w:tcW w:w="131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947"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w:t>
            </w:r>
          </w:p>
        </w:tc>
        <w:tc>
          <w:tcPr>
            <w:tcW w:w="101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6,045</w:t>
            </w:r>
          </w:p>
        </w:tc>
      </w:tr>
      <w:tr>
        <w:trPr/>
        <w:tc>
          <w:tcPr>
            <w:tcW w:w="157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Unrealized gain on investments</w:t>
            </w:r>
          </w:p>
        </w:tc>
        <w:tc>
          <w:tcPr>
            <w:tcW w:w="109"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466" w:type="dxa"/>
            <w:tcBorders/>
            <w:vAlign w:val="center"/>
          </w:tcPr>
          <w:p>
            <w:pPr>
              <w:pStyle w:val="TableContents"/>
              <w:bidi w:val="0"/>
              <w:spacing w:before="0" w:after="1"/>
              <w:ind w:left="0" w:right="0" w:hanging="0"/>
              <w:jc w:val="righ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264" w:type="dxa"/>
            <w:tcBorders/>
            <w:vAlign w:val="center"/>
          </w:tcPr>
          <w:p>
            <w:pPr>
              <w:pStyle w:val="TableContents"/>
              <w:bidi w:val="0"/>
              <w:spacing w:before="0" w:after="1"/>
              <w:ind w:left="0" w:right="0" w:hanging="0"/>
              <w:jc w:val="left"/>
              <w:rPr/>
            </w:pPr>
            <w:r>
              <w:rPr/>
              <w:t>​</w:t>
            </w:r>
          </w:p>
        </w:tc>
        <w:tc>
          <w:tcPr>
            <w:tcW w:w="932"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589" w:type="dxa"/>
            <w:tcBorders/>
            <w:vAlign w:val="center"/>
          </w:tcPr>
          <w:p>
            <w:pPr>
              <w:pStyle w:val="TableContents"/>
              <w:bidi w:val="0"/>
              <w:spacing w:before="0" w:after="1"/>
              <w:ind w:left="0" w:right="0" w:hanging="0"/>
              <w:jc w:val="left"/>
              <w:rPr/>
            </w:pPr>
            <w:r>
              <w:rPr/>
              <w:t>​</w:t>
            </w:r>
          </w:p>
        </w:tc>
        <w:tc>
          <w:tcPr>
            <w:tcW w:w="13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w:t>
            </w:r>
          </w:p>
        </w:tc>
        <w:tc>
          <w:tcPr>
            <w:tcW w:w="226" w:type="dxa"/>
            <w:tcBorders/>
            <w:vAlign w:val="center"/>
          </w:tcPr>
          <w:p>
            <w:pPr>
              <w:pStyle w:val="TableContents"/>
              <w:bidi w:val="0"/>
              <w:spacing w:before="0" w:after="1"/>
              <w:ind w:left="0" w:right="0" w:hanging="0"/>
              <w:jc w:val="right"/>
              <w:rPr/>
            </w:pPr>
            <w:r>
              <w:rPr/>
              <w:t>​</w:t>
            </w:r>
          </w:p>
        </w:tc>
        <w:tc>
          <w:tcPr>
            <w:tcW w:w="246" w:type="dxa"/>
            <w:tcBorders/>
            <w:vAlign w:val="center"/>
          </w:tcPr>
          <w:p>
            <w:pPr>
              <w:pStyle w:val="TableContents"/>
              <w:bidi w:val="0"/>
              <w:spacing w:before="0" w:after="1"/>
              <w:ind w:left="0" w:right="0" w:hanging="0"/>
              <w:jc w:val="left"/>
              <w:rPr/>
            </w:pPr>
            <w:r>
              <w:rPr/>
              <w:t>​</w:t>
            </w:r>
          </w:p>
        </w:tc>
        <w:tc>
          <w:tcPr>
            <w:tcW w:w="947"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w:t>
            </w:r>
          </w:p>
        </w:tc>
        <w:tc>
          <w:tcPr>
            <w:tcW w:w="101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w:t>
            </w:r>
          </w:p>
        </w:tc>
      </w:tr>
      <w:tr>
        <w:trPr/>
        <w:tc>
          <w:tcPr>
            <w:tcW w:w="157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Foreign currency translation adjustment</w:t>
            </w:r>
          </w:p>
        </w:tc>
        <w:tc>
          <w:tcPr>
            <w:tcW w:w="109"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466" w:type="dxa"/>
            <w:tcBorders/>
            <w:shd w:fill="CCEEFF" w:val="clear"/>
            <w:vAlign w:val="center"/>
          </w:tcPr>
          <w:p>
            <w:pPr>
              <w:pStyle w:val="TableContents"/>
              <w:bidi w:val="0"/>
              <w:spacing w:before="0" w:after="1"/>
              <w:ind w:left="0" w:right="0" w:hanging="0"/>
              <w:jc w:val="righ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264" w:type="dxa"/>
            <w:tcBorders/>
            <w:shd w:fill="CCEEFF" w:val="clear"/>
            <w:vAlign w:val="center"/>
          </w:tcPr>
          <w:p>
            <w:pPr>
              <w:pStyle w:val="TableContents"/>
              <w:bidi w:val="0"/>
              <w:spacing w:before="0" w:after="1"/>
              <w:ind w:left="0" w:right="0" w:hanging="0"/>
              <w:jc w:val="left"/>
              <w:rPr/>
            </w:pPr>
            <w:r>
              <w:rPr/>
              <w:t>​</w:t>
            </w:r>
          </w:p>
        </w:tc>
        <w:tc>
          <w:tcPr>
            <w:tcW w:w="932"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589" w:type="dxa"/>
            <w:tcBorders/>
            <w:shd w:fill="CCEEFF" w:val="clear"/>
            <w:vAlign w:val="center"/>
          </w:tcPr>
          <w:p>
            <w:pPr>
              <w:pStyle w:val="TableContents"/>
              <w:bidi w:val="0"/>
              <w:spacing w:before="0" w:after="1"/>
              <w:ind w:left="0" w:right="0" w:hanging="0"/>
              <w:jc w:val="left"/>
              <w:rPr/>
            </w:pPr>
            <w:r>
              <w:rPr/>
              <w:t>​</w:t>
            </w:r>
          </w:p>
        </w:tc>
        <w:tc>
          <w:tcPr>
            <w:tcW w:w="13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(265)</w:t>
            </w:r>
          </w:p>
        </w:tc>
        <w:tc>
          <w:tcPr>
            <w:tcW w:w="226" w:type="dxa"/>
            <w:tcBorders/>
            <w:shd w:fill="CCEEFF" w:val="clear"/>
            <w:vAlign w:val="center"/>
          </w:tcPr>
          <w:p>
            <w:pPr>
              <w:pStyle w:val="TableContents"/>
              <w:bidi w:val="0"/>
              <w:spacing w:before="0" w:after="1"/>
              <w:ind w:left="0" w:right="0" w:hanging="0"/>
              <w:jc w:val="righ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947"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w:t>
            </w:r>
          </w:p>
        </w:tc>
        <w:tc>
          <w:tcPr>
            <w:tcW w:w="101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(265)</w:t>
            </w:r>
          </w:p>
        </w:tc>
      </w:tr>
      <w:tr>
        <w:trPr/>
        <w:tc>
          <w:tcPr>
            <w:tcW w:w="157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109" w:type="dxa"/>
            <w:tcBorders/>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466" w:type="dxa"/>
            <w:tcBorders/>
            <w:vAlign w:val="center"/>
          </w:tcPr>
          <w:p>
            <w:pPr>
              <w:pStyle w:val="TableContents"/>
              <w:bidi w:val="0"/>
              <w:spacing w:before="0" w:after="1"/>
              <w:ind w:left="0" w:right="0" w:hanging="0"/>
              <w:jc w:val="righ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264" w:type="dxa"/>
            <w:tcBorders/>
            <w:vAlign w:val="center"/>
          </w:tcPr>
          <w:p>
            <w:pPr>
              <w:pStyle w:val="TableContents"/>
              <w:bidi w:val="0"/>
              <w:spacing w:before="0" w:after="1"/>
              <w:ind w:left="0" w:right="0" w:hanging="0"/>
              <w:jc w:val="left"/>
              <w:rPr/>
            </w:pPr>
            <w:r>
              <w:rPr/>
              <w:t>​</w:t>
            </w:r>
          </w:p>
        </w:tc>
        <w:tc>
          <w:tcPr>
            <w:tcW w:w="93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589" w:type="dxa"/>
            <w:tcBorders/>
            <w:vAlign w:val="center"/>
          </w:tcPr>
          <w:p>
            <w:pPr>
              <w:pStyle w:val="TableContents"/>
              <w:bidi w:val="0"/>
              <w:spacing w:before="0" w:after="1"/>
              <w:ind w:left="0" w:right="0" w:hanging="0"/>
              <w:jc w:val="left"/>
              <w:rPr/>
            </w:pPr>
            <w:r>
              <w:rPr/>
              <w:t>​</w:t>
            </w:r>
          </w:p>
        </w:tc>
        <w:tc>
          <w:tcPr>
            <w:tcW w:w="13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246" w:type="dxa"/>
            <w:tcBorders/>
            <w:vAlign w:val="center"/>
          </w:tcPr>
          <w:p>
            <w:pPr>
              <w:pStyle w:val="TableContents"/>
              <w:bidi w:val="0"/>
              <w:spacing w:before="0" w:after="1"/>
              <w:ind w:left="0" w:right="0" w:hanging="0"/>
              <w:jc w:val="left"/>
              <w:rPr/>
            </w:pPr>
            <w:r>
              <w:rPr/>
              <w:t>​</w:t>
            </w:r>
          </w:p>
        </w:tc>
        <w:tc>
          <w:tcPr>
            <w:tcW w:w="94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(52,223)</w:t>
            </w:r>
          </w:p>
        </w:tc>
        <w:tc>
          <w:tcPr>
            <w:tcW w:w="22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w:t>
            </w:r>
          </w:p>
        </w:tc>
        <w:tc>
          <w:tcPr>
            <w:tcW w:w="101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(52,223)</w:t>
            </w:r>
          </w:p>
        </w:tc>
      </w:tr>
      <w:tr>
        <w:trPr/>
        <w:tc>
          <w:tcPr>
            <w:tcW w:w="1570"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as of June 30, 2025</w:t>
            </w:r>
          </w:p>
        </w:tc>
        <w:tc>
          <w:tcPr>
            <w:tcW w:w="109" w:type="dxa"/>
            <w:tcBorders/>
            <w:shd w:fill="CCEEFF" w:val="clear"/>
            <w:vAlign w:val="center"/>
          </w:tcPr>
          <w:p>
            <w:pPr>
              <w:pStyle w:val="TableContents"/>
              <w:bidi w:val="0"/>
              <w:spacing w:before="0" w:after="1"/>
              <w:ind w:left="0" w:right="0" w:hanging="0"/>
              <w:jc w:val="left"/>
              <w:rPr/>
            </w:pPr>
            <w:r>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42,088,697</w:t>
            </w:r>
          </w:p>
        </w:tc>
        <w:tc>
          <w:tcPr>
            <w:tcW w:w="466" w:type="dxa"/>
            <w:tcBorders/>
            <w:shd w:fill="CCEEFF" w:val="clear"/>
            <w:vAlign w:val="center"/>
          </w:tcPr>
          <w:p>
            <w:pPr>
              <w:pStyle w:val="TableContents"/>
              <w:bidi w:val="0"/>
              <w:spacing w:before="0" w:after="1"/>
              <w:ind w:left="0" w:right="0" w:hanging="0"/>
              <w:jc w:val="righ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w:t>
            </w:r>
          </w:p>
        </w:tc>
        <w:tc>
          <w:tcPr>
            <w:tcW w:w="226" w:type="dxa"/>
            <w:tcBorders/>
            <w:shd w:fill="CCEEFF" w:val="clear"/>
            <w:vAlign w:val="center"/>
          </w:tcPr>
          <w:p>
            <w:pPr>
              <w:pStyle w:val="TableContents"/>
              <w:bidi w:val="0"/>
              <w:spacing w:before="0" w:after="1"/>
              <w:ind w:left="0" w:right="0" w:hanging="0"/>
              <w:jc w:val="right"/>
              <w:rPr/>
            </w:pPr>
            <w:r>
              <w:rPr/>
              <w:t>​</w:t>
            </w:r>
          </w:p>
        </w:tc>
        <w:tc>
          <w:tcPr>
            <w:tcW w:w="26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3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712,903</w:t>
            </w:r>
          </w:p>
        </w:tc>
        <w:tc>
          <w:tcPr>
            <w:tcW w:w="226" w:type="dxa"/>
            <w:tcBorders/>
            <w:shd w:fill="CCEEFF" w:val="clear"/>
            <w:vAlign w:val="center"/>
          </w:tcPr>
          <w:p>
            <w:pPr>
              <w:pStyle w:val="TableContents"/>
              <w:bidi w:val="0"/>
              <w:spacing w:before="0" w:after="1"/>
              <w:ind w:left="0" w:right="0" w:hanging="0"/>
              <w:jc w:val="right"/>
              <w:rPr/>
            </w:pPr>
            <w:r>
              <w:rPr/>
              <w:t>​</w:t>
            </w:r>
          </w:p>
        </w:tc>
        <w:tc>
          <w:tcPr>
            <w:tcW w:w="58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3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(94)</w:t>
            </w:r>
          </w:p>
        </w:tc>
        <w:tc>
          <w:tcPr>
            <w:tcW w:w="226" w:type="dxa"/>
            <w:tcBorders/>
            <w:shd w:fill="CCEEFF" w:val="clear"/>
            <w:vAlign w:val="center"/>
          </w:tcPr>
          <w:p>
            <w:pPr>
              <w:pStyle w:val="TableContents"/>
              <w:bidi w:val="0"/>
              <w:spacing w:before="0" w:after="1"/>
              <w:ind w:left="0" w:right="0" w:hanging="0"/>
              <w:jc w:val="right"/>
              <w:rPr/>
            </w:pPr>
            <w:r>
              <w:rPr/>
              <w:t>​</w:t>
            </w:r>
          </w:p>
        </w:tc>
        <w:tc>
          <w:tcPr>
            <w:tcW w:w="2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4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(473,187)</w:t>
            </w:r>
          </w:p>
        </w:tc>
        <w:tc>
          <w:tcPr>
            <w:tcW w:w="226" w:type="dxa"/>
            <w:tcBorders/>
            <w:shd w:fill="CCEEFF" w:val="clear"/>
            <w:vAlign w:val="center"/>
          </w:tcPr>
          <w:p>
            <w:pPr>
              <w:pStyle w:val="TableContents"/>
              <w:bidi w:val="0"/>
              <w:spacing w:before="0" w:after="1"/>
              <w:ind w:left="0" w:right="0" w:hanging="0"/>
              <w:jc w:val="right"/>
              <w:rPr/>
            </w:pPr>
            <w:r>
              <w:rPr/>
              <w:t>​</w:t>
            </w:r>
          </w:p>
        </w:tc>
        <w:tc>
          <w:tcPr>
            <w:tcW w:w="24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13"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239,626</w:t>
            </w:r>
          </w:p>
        </w:tc>
      </w:tr>
    </w:tbl>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613" w:name="_4ee5d7e7_e5f5_4626_8488_afc97b741d2d"/>
      <w:bookmarkEnd w:id="613"/>
      <w:r>
        <w:rPr>
          <w:rFonts w:ascii="Times New Roman;Times;serif" w:hAnsi="Times New Roman;Times;serif"/>
          <w:b/>
          <w:sz w:val="20"/>
        </w:rPr>
        <w:t>Zenas BioPharma, Inc.</w:t>
      </w:r>
    </w:p>
    <w:p>
      <w:pPr>
        <w:pStyle w:val="TextBody"/>
        <w:bidi w:val="0"/>
        <w:spacing w:before="0" w:after="0"/>
        <w:ind w:left="0" w:right="0" w:hanging="0"/>
        <w:jc w:val="center"/>
        <w:rPr>
          <w:rFonts w:ascii="Times New Roman;Times;serif" w:hAnsi="Times New Roman;Times;serif"/>
          <w:b/>
          <w:sz w:val="20"/>
        </w:rPr>
      </w:pPr>
      <w:bookmarkStart w:id="614" w:name="StatementsofCashFlows_498922"/>
      <w:bookmarkEnd w:id="614"/>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Normal"/>
        <w:bidi w:val="0"/>
        <w:spacing w:before="0" w:after="0"/>
        <w:jc w:val="left"/>
        <w:rPr>
          <w:sz w:val="4"/>
          <w:szCs w:val="4"/>
        </w:rPr>
      </w:pPr>
      <w:r>
        <w:rPr>
          <w:sz w:val="4"/>
          <w:szCs w:val="4"/>
        </w:rPr>
      </w:r>
      <w:bookmarkStart w:id="615" w:name="Tc_S3oXKto76kmalYlKefNaZQ_44_6"/>
      <w:bookmarkStart w:id="616" w:name="Tc_GH8VUYlbMUG7kkv-qiPQpg_44_5"/>
      <w:bookmarkStart w:id="617" w:name="Tc_TfJZygkuxUuqFS9DmTzfhA_44_2"/>
      <w:bookmarkStart w:id="618" w:name="Tc_VN_ewCkJBUq0_DFWrx_dNQ_44_0"/>
      <w:bookmarkStart w:id="619" w:name="Tc_DEcPPeyOA0GhHiI4nDYFkQ_43_5"/>
      <w:bookmarkStart w:id="620" w:name="Tc_n_Su3myTOkKn8eqW8-WS6A_43_3"/>
      <w:bookmarkStart w:id="621" w:name="Tc_chAmqVLWfEueZOrH-8OlQg_43_2"/>
      <w:bookmarkStart w:id="622" w:name="Tc_MAnYotAz6kurZWkf4fJiHw_43_0"/>
      <w:bookmarkStart w:id="623" w:name="Tc_MzL3tS4W7keJ6dxwzvBWzw_42_0"/>
      <w:bookmarkStart w:id="624" w:name="Tc_DvxLywIjUEaL1iZWGuHz1w_40_5"/>
      <w:bookmarkStart w:id="625" w:name="Tc_-u2hOh4ENUSJMt_ph_YhXA_40_2"/>
      <w:bookmarkStart w:id="626" w:name="Tc_lOkg9aERBEW4F3UXSGoafw_40_0"/>
      <w:bookmarkStart w:id="627" w:name="Tc_JWDFcyckYkSNEDG6O0hjHw_39_0"/>
      <w:bookmarkStart w:id="628" w:name="Tc_ZXEDfuegaUOx6Xyh0vrEHg_38_0"/>
      <w:bookmarkStart w:id="629" w:name="Tc_j-WIPSZB90e7b0PnD-k4jQ_37_0"/>
      <w:bookmarkStart w:id="630" w:name="Tc_F-IMMghVNECpksP5LT_i2w_36_0"/>
      <w:bookmarkStart w:id="631" w:name="Tc_8vWBFM9-00OWU_cCJeNeFQ_35_6"/>
      <w:bookmarkStart w:id="632" w:name="Tc_YgIgP50Ag02Ahk-MA62ZvQ_35_0"/>
      <w:bookmarkStart w:id="633" w:name="Tc_qnSiN4OLnUGcSzc5Jxt46A_34_6"/>
      <w:bookmarkStart w:id="634" w:name="Tc_4R7FLVxKsUKAWckcg7ttjg_34_0"/>
      <w:bookmarkStart w:id="635" w:name="Tc_PqBw5Ax-YE6RT_ped87L_Q_33_6"/>
      <w:bookmarkStart w:id="636" w:name="Tc_1i4EYlDp8kq5haPqL8NYGA_33_0"/>
      <w:bookmarkStart w:id="637" w:name="Tc_dG3KpCtX4U6k8u_7hCIG0g_32_6"/>
      <w:bookmarkStart w:id="638" w:name="Tc_W8jy3Wk5VkCosNh5nwVPOw_32_0"/>
      <w:bookmarkStart w:id="639" w:name="Tc_dWlwMSom30mURWiEUYGLsg_31_6"/>
      <w:bookmarkStart w:id="640" w:name="Tc_QUWUrZWQUEuRePzoLXaUHQ_31_0"/>
      <w:bookmarkStart w:id="641" w:name="Tc_kX0kWbh4tE2cPW9kJRNGUA_30_0"/>
      <w:bookmarkStart w:id="642" w:name="Tc_wWBTFIwtjEufy5BG6TTELQ_29_6"/>
      <w:bookmarkStart w:id="643" w:name="Tc_TRGSjQz8z0ydRiNQHRto-g_29_0"/>
      <w:bookmarkStart w:id="644" w:name="Tc_9PdZcBTmnkCcjPgHk00MvQ_28_6"/>
      <w:bookmarkStart w:id="645" w:name="Tc_dfe_IyhTMUiCpjTqPBT-5Q_28_0"/>
      <w:bookmarkStart w:id="646" w:name="Tc_FedAXbSP9ESu1Cg1U3Ed5A_27_0"/>
      <w:bookmarkStart w:id="647" w:name="Tc_za5YkKFsAkWbwwljo2ZcKQ_26_0"/>
      <w:bookmarkStart w:id="648" w:name="Tc_tNqycErgiU2dDZWqwKozXA_25_6"/>
      <w:bookmarkStart w:id="649" w:name="Tc_qPk79aIjbU-tfKYkRocyJg_25_0"/>
      <w:bookmarkStart w:id="650" w:name="Tc_zkZCSBPUk0-adx3zhntHwg_24_0"/>
      <w:bookmarkStart w:id="651" w:name="Tc_-UGZIdHBpEGXZ_67rD0DuA_23_0"/>
      <w:bookmarkStart w:id="652" w:name="Tc_kfius9kNP0y0cWbQ6BY6wg_22_0"/>
      <w:bookmarkStart w:id="653" w:name="Tc_2uxVkCFl2EyO4wqSKcul7w_21_0"/>
      <w:bookmarkStart w:id="654" w:name="Tc_PZ3UP965R0qvGsfg0tnqUw_20_0"/>
      <w:bookmarkStart w:id="655" w:name="Tc_FylivvEWE0W_RMTs0SVy6Q_19_0"/>
      <w:bookmarkStart w:id="656" w:name="Tc_ramFnPc-HkSZtha3oG-Cyw_18_0"/>
      <w:bookmarkStart w:id="657" w:name="Tc_6YVwqgLbkkmX43wFkpk_uQ_17_0"/>
      <w:bookmarkStart w:id="658" w:name="Tc_Fgpf7hFPu0apPSKrr-A8sw_16_0"/>
      <w:bookmarkStart w:id="659" w:name="Tc_4SUd2fhK40WzqSTLHMyqcA_15_0"/>
      <w:bookmarkStart w:id="660" w:name="Tc_jDsoqV963UuFLER5l5u7VQ_14_0"/>
      <w:bookmarkStart w:id="661" w:name="Tc_KIWl6j75rkiDZ432GwPq6w_13_0"/>
      <w:bookmarkStart w:id="662" w:name="Tc_S9Eik2sOSUaHtIqlAsgGDQ_12_6"/>
      <w:bookmarkStart w:id="663" w:name="Tc_Hdkl3GVZ6kKfXkCn9zpFSQ_12_0"/>
      <w:bookmarkStart w:id="664" w:name="Tc__ufAsqPTOkit8WfiP7NlRw_11_6"/>
      <w:bookmarkStart w:id="665" w:name="Tc_X6ioCOvnEk6pGA7BYxfEuQ_11_0"/>
      <w:bookmarkStart w:id="666" w:name="Tc_Ym6RQmtQ-0-BMz23ehjxew_10_6"/>
      <w:bookmarkStart w:id="667" w:name="Tc_IC0-IvFKIEaPHBXnU5dLYA_10_0"/>
      <w:bookmarkStart w:id="668" w:name="Tc_N8AG_IFp0kCWwh6G2dpndw_9_0"/>
      <w:bookmarkStart w:id="669" w:name="Tc_105iOHv8BUWST7IXFzs_6A_8_3"/>
      <w:bookmarkStart w:id="670" w:name="Tc_rO3HjavKOUWT7DWVVO9RZw_8_0"/>
      <w:bookmarkStart w:id="671" w:name="Tc_gi0ckZgEzUWslwlwz95XdQ_7_0"/>
      <w:bookmarkStart w:id="672" w:name="Tc_gtXveJtzI0WStJB9nBql8w_6_6"/>
      <w:bookmarkStart w:id="673" w:name="Tc_OLfq-33spUWdQXMV7HJE7A_6_0"/>
      <w:bookmarkStart w:id="674" w:name="Tc_B4lQUu06IkqUnf6uL6JyNQ_5_0"/>
      <w:bookmarkStart w:id="675" w:name="Tc_UVH0YhN1_k-YdcLjHQHllg_4_5"/>
      <w:bookmarkStart w:id="676" w:name="Tc_HFoYhsLcQ02CawbNOFjF0A_4_2"/>
      <w:bookmarkStart w:id="677" w:name="Tc_wsGCCEG2vkiLNKFfrP2oEQ_4_0"/>
      <w:bookmarkStart w:id="678" w:name="Tc_Wx47_--oEEKp8MdeB4orVg_3_0"/>
      <w:bookmarkStart w:id="679" w:name="Tc_Q7nkUqOKRUWW2Bm_M8yM5A_2_6"/>
      <w:bookmarkStart w:id="680" w:name="Tc_-Uw7xX0NeE6ZwPD03UKdGg_2_3"/>
      <w:bookmarkStart w:id="681" w:name="Tc_qc1Dq2_40USYfNT5IAe49Q_1_3"/>
      <w:bookmarkStart w:id="682" w:name="_d48b4ba9_fd84_4a34_be7d_4e25c2d6ed0e"/>
      <w:bookmarkStart w:id="683" w:name="Tc_S3oXKto76kmalYlKefNaZQ_44_6"/>
      <w:bookmarkStart w:id="684" w:name="Tc_GH8VUYlbMUG7kkv-qiPQpg_44_5"/>
      <w:bookmarkStart w:id="685" w:name="Tc_TfJZygkuxUuqFS9DmTzfhA_44_2"/>
      <w:bookmarkStart w:id="686" w:name="Tc_VN_ewCkJBUq0_DFWrx_dNQ_44_0"/>
      <w:bookmarkStart w:id="687" w:name="Tc_DEcPPeyOA0GhHiI4nDYFkQ_43_5"/>
      <w:bookmarkStart w:id="688" w:name="Tc_n_Su3myTOkKn8eqW8-WS6A_43_3"/>
      <w:bookmarkStart w:id="689" w:name="Tc_chAmqVLWfEueZOrH-8OlQg_43_2"/>
      <w:bookmarkStart w:id="690" w:name="Tc_MAnYotAz6kurZWkf4fJiHw_43_0"/>
      <w:bookmarkStart w:id="691" w:name="Tc_MzL3tS4W7keJ6dxwzvBWzw_42_0"/>
      <w:bookmarkStart w:id="692" w:name="Tc_DvxLywIjUEaL1iZWGuHz1w_40_5"/>
      <w:bookmarkStart w:id="693" w:name="Tc_-u2hOh4ENUSJMt_ph_YhXA_40_2"/>
      <w:bookmarkStart w:id="694" w:name="Tc_lOkg9aERBEW4F3UXSGoafw_40_0"/>
      <w:bookmarkStart w:id="695" w:name="Tc_JWDFcyckYkSNEDG6O0hjHw_39_0"/>
      <w:bookmarkStart w:id="696" w:name="Tc_ZXEDfuegaUOx6Xyh0vrEHg_38_0"/>
      <w:bookmarkStart w:id="697" w:name="Tc_j-WIPSZB90e7b0PnD-k4jQ_37_0"/>
      <w:bookmarkStart w:id="698" w:name="Tc_F-IMMghVNECpksP5LT_i2w_36_0"/>
      <w:bookmarkStart w:id="699" w:name="Tc_8vWBFM9-00OWU_cCJeNeFQ_35_6"/>
      <w:bookmarkStart w:id="700" w:name="Tc_YgIgP50Ag02Ahk-MA62ZvQ_35_0"/>
      <w:bookmarkStart w:id="701" w:name="Tc_qnSiN4OLnUGcSzc5Jxt46A_34_6"/>
      <w:bookmarkStart w:id="702" w:name="Tc_4R7FLVxKsUKAWckcg7ttjg_34_0"/>
      <w:bookmarkStart w:id="703" w:name="Tc_PqBw5Ax-YE6RT_ped87L_Q_33_6"/>
      <w:bookmarkStart w:id="704" w:name="Tc_1i4EYlDp8kq5haPqL8NYGA_33_0"/>
      <w:bookmarkStart w:id="705" w:name="Tc_dG3KpCtX4U6k8u_7hCIG0g_32_6"/>
      <w:bookmarkStart w:id="706" w:name="Tc_W8jy3Wk5VkCosNh5nwVPOw_32_0"/>
      <w:bookmarkStart w:id="707" w:name="Tc_dWlwMSom30mURWiEUYGLsg_31_6"/>
      <w:bookmarkStart w:id="708" w:name="Tc_QUWUrZWQUEuRePzoLXaUHQ_31_0"/>
      <w:bookmarkStart w:id="709" w:name="Tc_kX0kWbh4tE2cPW9kJRNGUA_30_0"/>
      <w:bookmarkStart w:id="710" w:name="Tc_wWBTFIwtjEufy5BG6TTELQ_29_6"/>
      <w:bookmarkStart w:id="711" w:name="Tc_TRGSjQz8z0ydRiNQHRto-g_29_0"/>
      <w:bookmarkStart w:id="712" w:name="Tc_9PdZcBTmnkCcjPgHk00MvQ_28_6"/>
      <w:bookmarkStart w:id="713" w:name="Tc_dfe_IyhTMUiCpjTqPBT-5Q_28_0"/>
      <w:bookmarkStart w:id="714" w:name="Tc_FedAXbSP9ESu1Cg1U3Ed5A_27_0"/>
      <w:bookmarkStart w:id="715" w:name="Tc_za5YkKFsAkWbwwljo2ZcKQ_26_0"/>
      <w:bookmarkStart w:id="716" w:name="Tc_tNqycErgiU2dDZWqwKozXA_25_6"/>
      <w:bookmarkStart w:id="717" w:name="Tc_qPk79aIjbU-tfKYkRocyJg_25_0"/>
      <w:bookmarkStart w:id="718" w:name="Tc_zkZCSBPUk0-adx3zhntHwg_24_0"/>
      <w:bookmarkStart w:id="719" w:name="Tc_-UGZIdHBpEGXZ_67rD0DuA_23_0"/>
      <w:bookmarkStart w:id="720" w:name="Tc_kfius9kNP0y0cWbQ6BY6wg_22_0"/>
      <w:bookmarkStart w:id="721" w:name="Tc_2uxVkCFl2EyO4wqSKcul7w_21_0"/>
      <w:bookmarkStart w:id="722" w:name="Tc_PZ3UP965R0qvGsfg0tnqUw_20_0"/>
      <w:bookmarkStart w:id="723" w:name="Tc_FylivvEWE0W_RMTs0SVy6Q_19_0"/>
      <w:bookmarkStart w:id="724" w:name="Tc_ramFnPc-HkSZtha3oG-Cyw_18_0"/>
      <w:bookmarkStart w:id="725" w:name="Tc_6YVwqgLbkkmX43wFkpk_uQ_17_0"/>
      <w:bookmarkStart w:id="726" w:name="Tc_Fgpf7hFPu0apPSKrr-A8sw_16_0"/>
      <w:bookmarkStart w:id="727" w:name="Tc_4SUd2fhK40WzqSTLHMyqcA_15_0"/>
      <w:bookmarkStart w:id="728" w:name="Tc_jDsoqV963UuFLER5l5u7VQ_14_0"/>
      <w:bookmarkStart w:id="729" w:name="Tc_KIWl6j75rkiDZ432GwPq6w_13_0"/>
      <w:bookmarkStart w:id="730" w:name="Tc_S9Eik2sOSUaHtIqlAsgGDQ_12_6"/>
      <w:bookmarkStart w:id="731" w:name="Tc_Hdkl3GVZ6kKfXkCn9zpFSQ_12_0"/>
      <w:bookmarkStart w:id="732" w:name="Tc__ufAsqPTOkit8WfiP7NlRw_11_6"/>
      <w:bookmarkStart w:id="733" w:name="Tc_X6ioCOvnEk6pGA7BYxfEuQ_11_0"/>
      <w:bookmarkStart w:id="734" w:name="Tc_Ym6RQmtQ-0-BMz23ehjxew_10_6"/>
      <w:bookmarkStart w:id="735" w:name="Tc_IC0-IvFKIEaPHBXnU5dLYA_10_0"/>
      <w:bookmarkStart w:id="736" w:name="Tc_N8AG_IFp0kCWwh6G2dpndw_9_0"/>
      <w:bookmarkStart w:id="737" w:name="Tc_105iOHv8BUWST7IXFzs_6A_8_3"/>
      <w:bookmarkStart w:id="738" w:name="Tc_rO3HjavKOUWT7DWVVO9RZw_8_0"/>
      <w:bookmarkStart w:id="739" w:name="Tc_gi0ckZgEzUWslwlwz95XdQ_7_0"/>
      <w:bookmarkStart w:id="740" w:name="Tc_gtXveJtzI0WStJB9nBql8w_6_6"/>
      <w:bookmarkStart w:id="741" w:name="Tc_OLfq-33spUWdQXMV7HJE7A_6_0"/>
      <w:bookmarkStart w:id="742" w:name="Tc_B4lQUu06IkqUnf6uL6JyNQ_5_0"/>
      <w:bookmarkStart w:id="743" w:name="Tc_UVH0YhN1_k-YdcLjHQHllg_4_5"/>
      <w:bookmarkStart w:id="744" w:name="Tc_HFoYhsLcQ02CawbNOFjF0A_4_2"/>
      <w:bookmarkStart w:id="745" w:name="Tc_wsGCCEG2vkiLNKFfrP2oEQ_4_0"/>
      <w:bookmarkStart w:id="746" w:name="Tc_Wx47_--oEEKp8MdeB4orVg_3_0"/>
      <w:bookmarkStart w:id="747" w:name="Tc_Q7nkUqOKRUWW2Bm_M8yM5A_2_6"/>
      <w:bookmarkStart w:id="748" w:name="Tc_-Uw7xX0NeE6ZwPD03UKdGg_2_3"/>
      <w:bookmarkStart w:id="749" w:name="Tc_qc1Dq2_40USYfNT5IAe49Q_1_3"/>
      <w:bookmarkStart w:id="750" w:name="_d48b4ba9_fd84_4a34_be7d_4e25c2d6ed0e"/>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p>
    <w:tbl>
      <w:tblPr>
        <w:tblW w:w="10205" w:type="dxa"/>
        <w:jc w:val="left"/>
        <w:tblInd w:w="0" w:type="dxa"/>
        <w:tblLayout w:type="fixed"/>
        <w:tblCellMar>
          <w:top w:w="0" w:type="dxa"/>
          <w:left w:w="0" w:type="dxa"/>
          <w:bottom w:w="0" w:type="dxa"/>
          <w:right w:w="0" w:type="dxa"/>
        </w:tblCellMar>
      </w:tblPr>
      <w:tblGrid>
        <w:gridCol w:w="7515"/>
        <w:gridCol w:w="346"/>
        <w:gridCol w:w="196"/>
        <w:gridCol w:w="780"/>
        <w:gridCol w:w="346"/>
        <w:gridCol w:w="196"/>
        <w:gridCol w:w="826"/>
      </w:tblGrid>
      <w:tr>
        <w:trPr/>
        <w:tc>
          <w:tcPr>
            <w:tcW w:w="75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4772025" cy="175260"/>
                      <wp:effectExtent l="0" t="0" r="0" b="0"/>
                      <wp:wrapNone/>
                      <wp:docPr id="62" name="Frame61"/>
                      <a:graphic xmlns:a="http://schemas.openxmlformats.org/drawingml/2006/main">
                        <a:graphicData uri="http://schemas.microsoft.com/office/word/2010/wordprocessingShape">
                          <wps:wsp>
                            <wps:cNvSpPr txBox="1"/>
                            <wps:spPr>
                              <a:xfrm>
                                <a:off x="0" y="0"/>
                                <a:ext cx="47720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19710" cy="175260"/>
                      <wp:effectExtent l="0" t="0" r="0" b="0"/>
                      <wp:wrapNone/>
                      <wp:docPr id="63" name="Frame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24460" cy="175260"/>
                      <wp:effectExtent l="0" t="0" r="0" b="0"/>
                      <wp:wrapNone/>
                      <wp:docPr id="64" name="Frame6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495300" cy="175260"/>
                      <wp:effectExtent l="0" t="0" r="0" b="0"/>
                      <wp:wrapNone/>
                      <wp:docPr id="65" name="Frame64"/>
                      <a:graphic xmlns:a="http://schemas.openxmlformats.org/drawingml/2006/main">
                        <a:graphicData uri="http://schemas.microsoft.com/office/word/2010/wordprocessingShape">
                          <wps:wsp>
                            <wps:cNvSpPr txBox="1"/>
                            <wps:spPr>
                              <a:xfrm>
                                <a:off x="0" y="0"/>
                                <a:ext cx="4953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19710" cy="175260"/>
                      <wp:effectExtent l="0" t="0" r="0" b="0"/>
                      <wp:wrapNone/>
                      <wp:docPr id="66" name="Frame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24460" cy="175260"/>
                      <wp:effectExtent l="0" t="0" r="0" b="0"/>
                      <wp:wrapNone/>
                      <wp:docPr id="67" name="Frame6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524510" cy="175260"/>
                      <wp:effectExtent l="0" t="0" r="0" b="0"/>
                      <wp:wrapNone/>
                      <wp:docPr id="68" name="Frame6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515" w:type="dxa"/>
            <w:tcBorders/>
            <w:shd w:fill="FFFFFF" w:val="clear"/>
            <w:vAlign w:val="center"/>
          </w:tcPr>
          <w:p>
            <w:pPr>
              <w:pStyle w:val="TableContents"/>
              <w:bidi w:val="0"/>
              <w:spacing w:before="0" w:after="1"/>
              <w:ind w:left="0" w:right="0" w:hanging="0"/>
              <w:jc w:val="left"/>
              <w:rPr/>
            </w:pPr>
            <w:r>
              <w:rPr/>
              <w:t>​</w:t>
            </w:r>
          </w:p>
        </w:tc>
        <w:tc>
          <w:tcPr>
            <w:tcW w:w="346" w:type="dxa"/>
            <w:tcBorders/>
            <w:shd w:fill="FFFFFF" w:val="clear"/>
            <w:vAlign w:val="center"/>
          </w:tcPr>
          <w:p>
            <w:pPr>
              <w:pStyle w:val="TableContents"/>
              <w:bidi w:val="0"/>
              <w:spacing w:before="0" w:after="1"/>
              <w:ind w:left="0" w:right="0" w:hanging="0"/>
              <w:jc w:val="left"/>
              <w:rPr/>
            </w:pPr>
            <w:r>
              <w:rPr/>
              <w:t>​</w:t>
            </w:r>
          </w:p>
        </w:tc>
        <w:tc>
          <w:tcPr>
            <w:tcW w:w="196" w:type="dxa"/>
            <w:tcBorders/>
            <w:shd w:fill="FFFFFF" w:val="clear"/>
            <w:vAlign w:val="center"/>
          </w:tcPr>
          <w:p>
            <w:pPr>
              <w:pStyle w:val="TableContents"/>
              <w:bidi w:val="0"/>
              <w:spacing w:before="0" w:after="1"/>
              <w:ind w:left="0" w:right="0" w:hanging="0"/>
              <w:jc w:val="left"/>
              <w:rPr/>
            </w:pPr>
            <w:r>
              <w:rPr/>
              <w:t>​</w:t>
            </w:r>
          </w:p>
        </w:tc>
        <w:tc>
          <w:tcPr>
            <w:tcW w:w="2148" w:type="dxa"/>
            <w:gridSpan w:val="4"/>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r>
      <w:tr>
        <w:trPr/>
        <w:tc>
          <w:tcPr>
            <w:tcW w:w="7515" w:type="dxa"/>
            <w:tcBorders/>
            <w:shd w:fill="FFFFFF" w:val="clear"/>
            <w:vAlign w:val="center"/>
          </w:tcPr>
          <w:p>
            <w:pPr>
              <w:pStyle w:val="TableContents"/>
              <w:bidi w:val="0"/>
              <w:spacing w:before="0" w:after="1"/>
              <w:ind w:left="0" w:right="0" w:hanging="0"/>
              <w:jc w:val="left"/>
              <w:rPr/>
            </w:pPr>
            <w:r>
              <w:rPr/>
              <w:t>​</w:t>
            </w:r>
          </w:p>
        </w:tc>
        <w:tc>
          <w:tcPr>
            <w:tcW w:w="346" w:type="dxa"/>
            <w:tcBorders/>
            <w:shd w:fill="FFFFFF" w:val="clear"/>
            <w:vAlign w:val="center"/>
          </w:tcPr>
          <w:p>
            <w:pPr>
              <w:pStyle w:val="TableContents"/>
              <w:bidi w:val="0"/>
              <w:spacing w:before="0" w:after="1"/>
              <w:ind w:left="0" w:right="0" w:hanging="0"/>
              <w:jc w:val="left"/>
              <w:rPr/>
            </w:pPr>
            <w:r>
              <w:rPr/>
              <w:t>  ​ ​ ​</w:t>
            </w:r>
          </w:p>
        </w:tc>
        <w:tc>
          <w:tcPr>
            <w:tcW w:w="196" w:type="dxa"/>
            <w:tcBorders/>
            <w:shd w:fill="FFFFFF" w:val="clear"/>
            <w:vAlign w:val="center"/>
          </w:tcPr>
          <w:p>
            <w:pPr>
              <w:pStyle w:val="TableContents"/>
              <w:bidi w:val="0"/>
              <w:spacing w:before="0" w:after="1"/>
              <w:ind w:left="0" w:right="0" w:hanging="0"/>
              <w:jc w:val="left"/>
              <w:rPr/>
            </w:pPr>
            <w:r>
              <w:rPr/>
              <w:t>​</w:t>
            </w:r>
          </w:p>
        </w:tc>
        <w:tc>
          <w:tcPr>
            <w:tcW w:w="780" w:type="dxa"/>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shd w:fill="FFFFFF" w:val="clear"/>
            <w:vAlign w:val="center"/>
          </w:tcPr>
          <w:p>
            <w:pPr>
              <w:pStyle w:val="TableContents"/>
              <w:bidi w:val="0"/>
              <w:spacing w:before="0" w:after="1"/>
              <w:ind w:left="0" w:right="0" w:hanging="0"/>
              <w:jc w:val="left"/>
              <w:rPr/>
            </w:pPr>
            <w:r>
              <w:rPr/>
              <w:t>  ​ ​ ​</w:t>
            </w:r>
          </w:p>
        </w:tc>
        <w:tc>
          <w:tcPr>
            <w:tcW w:w="196" w:type="dxa"/>
            <w:tcBorders/>
            <w:shd w:fill="FFFFFF" w:val="cle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515"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Cash flows from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r>
      <w:tr>
        <w:trPr/>
        <w:tc>
          <w:tcPr>
            <w:tcW w:w="751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loss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8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(192,443)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(85,796)</w:t>
            </w:r>
          </w:p>
        </w:tc>
      </w:tr>
      <w:tr>
        <w:trPr/>
        <w:tc>
          <w:tcPr>
            <w:tcW w:w="751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Adjustments to reconcile net loss to net cash used in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r>
      <w:tr>
        <w:trPr/>
        <w:tc>
          <w:tcPr>
            <w:tcW w:w="751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Acquired in-process research and development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30,000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r>
      <w:tr>
        <w:trPr/>
        <w:tc>
          <w:tcPr>
            <w:tcW w:w="751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Depreciation expense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w:t>
            </w:r>
          </w:p>
        </w:tc>
      </w:tr>
      <w:tr>
        <w:trPr/>
        <w:tc>
          <w:tcPr>
            <w:tcW w:w="751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Loss on disposal of property and equipment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107</w:t>
            </w:r>
          </w:p>
        </w:tc>
      </w:tr>
      <w:tr>
        <w:trPr/>
        <w:tc>
          <w:tcPr>
            <w:tcW w:w="751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amortization of premiums and accretion of discounts on investments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(1,397)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(1,317)</w:t>
            </w:r>
          </w:p>
        </w:tc>
      </w:tr>
      <w:tr>
        <w:trPr/>
        <w:tc>
          <w:tcPr>
            <w:tcW w:w="751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Non-cash interest expense on royalty obligation</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13,100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r>
      <w:tr>
        <w:trPr/>
        <w:tc>
          <w:tcPr>
            <w:tcW w:w="751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Non-cash interest expense on senior secured term loan</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2,088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r>
      <w:tr>
        <w:trPr/>
        <w:tc>
          <w:tcPr>
            <w:tcW w:w="751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Non-cash interest expense on convertible senior notes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r>
      <w:tr>
        <w:trPr/>
        <w:tc>
          <w:tcPr>
            <w:tcW w:w="751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17,814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11,431</w:t>
            </w:r>
          </w:p>
        </w:tc>
      </w:tr>
      <w:tr>
        <w:trPr/>
        <w:tc>
          <w:tcPr>
            <w:tcW w:w="751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Non-cash lease expense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446</w:t>
            </w:r>
          </w:p>
        </w:tc>
      </w:tr>
      <w:tr>
        <w:trPr/>
        <w:tc>
          <w:tcPr>
            <w:tcW w:w="751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Changes in operating assets and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r>
      <w:tr>
        <w:trPr/>
        <w:tc>
          <w:tcPr>
            <w:tcW w:w="751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Prepaid expenses and other assets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(5,373)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802</w:t>
            </w:r>
          </w:p>
        </w:tc>
      </w:tr>
      <w:tr>
        <w:trPr/>
        <w:tc>
          <w:tcPr>
            <w:tcW w:w="751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(9,205)</w:t>
            </w:r>
          </w:p>
        </w:tc>
      </w:tr>
      <w:tr>
        <w:trPr/>
        <w:tc>
          <w:tcPr>
            <w:tcW w:w="751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Accrued expenses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2,975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5,149</w:t>
            </w:r>
          </w:p>
        </w:tc>
      </w:tr>
      <w:tr>
        <w:trPr/>
        <w:tc>
          <w:tcPr>
            <w:tcW w:w="751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(446)</w:t>
            </w:r>
          </w:p>
        </w:tc>
      </w:tr>
      <w:tr>
        <w:trPr/>
        <w:tc>
          <w:tcPr>
            <w:tcW w:w="751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cash used in operating activities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(132,433)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(78,794)</w:t>
            </w:r>
          </w:p>
        </w:tc>
      </w:tr>
      <w:tr>
        <w:trPr/>
        <w:tc>
          <w:tcPr>
            <w:tcW w:w="7515"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Cash flows from investing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r>
      <w:tr>
        <w:trPr/>
        <w:tc>
          <w:tcPr>
            <w:tcW w:w="751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Purchases of property and equipment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w:t>
            </w:r>
          </w:p>
        </w:tc>
      </w:tr>
      <w:tr>
        <w:trPr/>
        <w:tc>
          <w:tcPr>
            <w:tcW w:w="751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Purchases of investments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(408,330)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(225,667)</w:t>
            </w:r>
          </w:p>
        </w:tc>
      </w:tr>
      <w:tr>
        <w:trPr/>
        <w:tc>
          <w:tcPr>
            <w:tcW w:w="751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Proceeds from sales and maturities of investments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182,239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27,120</w:t>
            </w:r>
          </w:p>
        </w:tc>
      </w:tr>
      <w:tr>
        <w:trPr/>
        <w:tc>
          <w:tcPr>
            <w:tcW w:w="751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Payments of milestones achieved pursuant to license agreements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(30,000)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751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cash used in investing activities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(256,093)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(198,565)</w:t>
            </w:r>
          </w:p>
        </w:tc>
      </w:tr>
      <w:tr>
        <w:trPr/>
        <w:tc>
          <w:tcPr>
            <w:tcW w:w="7515"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Cash flows from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r>
      <w:tr>
        <w:trPr/>
        <w:tc>
          <w:tcPr>
            <w:tcW w:w="751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Payments of other offering costs for the ATM offering and equity offering</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r>
      <w:tr>
        <w:trPr/>
        <w:tc>
          <w:tcPr>
            <w:tcW w:w="751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Payments of debt issuance costs for the senior secured term loan and convertible senior notes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(1,934)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r>
      <w:tr>
        <w:trPr/>
        <w:tc>
          <w:tcPr>
            <w:tcW w:w="751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Proceeds from exercise of stock options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1,173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1,821</w:t>
            </w:r>
          </w:p>
        </w:tc>
      </w:tr>
      <w:tr>
        <w:trPr/>
        <w:tc>
          <w:tcPr>
            <w:tcW w:w="751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Proceeds from issuance of common stock under employee stock purchase plan</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r>
      <w:tr>
        <w:trPr/>
        <w:tc>
          <w:tcPr>
            <w:tcW w:w="751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Proceeds from issuance of common stock under ATM offering, net of commissions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71,532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r>
      <w:tr>
        <w:trPr/>
        <w:tc>
          <w:tcPr>
            <w:tcW w:w="751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Proceeds from issuance of common stock in connection with an equity offering, inclusive of underwriters' exercise of the overallotment option in full, net of underwriting discounts and commissions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108,100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r>
      <w:tr>
        <w:trPr/>
        <w:tc>
          <w:tcPr>
            <w:tcW w:w="751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Proceeds from senior secured term loan, net of discount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73,500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r>
      <w:tr>
        <w:trPr/>
        <w:tc>
          <w:tcPr>
            <w:tcW w:w="751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Proceeds from the issuance of convertible senior notes, inclusive of underwriters' exercise of the overallotment option in full, net of commissions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223,100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751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cash provided by financing activities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 xml:space="preserve">475,536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 xml:space="preserve">1,821 </w:t>
            </w:r>
          </w:p>
        </w:tc>
      </w:tr>
      <w:tr>
        <w:trPr/>
        <w:tc>
          <w:tcPr>
            <w:tcW w:w="751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Effect of exchange rate changes on 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(1,074)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(288)</w:t>
            </w:r>
          </w:p>
        </w:tc>
      </w:tr>
      <w:tr>
        <w:trPr/>
        <w:tc>
          <w:tcPr>
            <w:tcW w:w="7515"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Net increase (decrease) in cash and cash equivalents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85,936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(275,826)</w:t>
            </w:r>
          </w:p>
        </w:tc>
      </w:tr>
      <w:tr>
        <w:trPr/>
        <w:tc>
          <w:tcPr>
            <w:tcW w:w="751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and cash equivalents at beginning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 xml:space="preserve">110,641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319,832</w:t>
            </w:r>
          </w:p>
        </w:tc>
      </w:tr>
      <w:tr>
        <w:trPr/>
        <w:tc>
          <w:tcPr>
            <w:tcW w:w="751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and cash equivalents at end of period</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8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196,577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44,006</w:t>
            </w:r>
          </w:p>
        </w:tc>
      </w:tr>
      <w:tr>
        <w:trPr/>
        <w:tc>
          <w:tcPr>
            <w:tcW w:w="751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r>
      <w:tr>
        <w:trPr/>
        <w:tc>
          <w:tcPr>
            <w:tcW w:w="7515"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Supplemental disclosure of non-cash investing and financing activities: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r>
      <w:tr>
        <w:trPr/>
        <w:tc>
          <w:tcPr>
            <w:tcW w:w="751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Right-of-use assets obtained under operating lease arrangements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8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445</w:t>
            </w:r>
          </w:p>
        </w:tc>
      </w:tr>
      <w:tr>
        <w:trPr/>
        <w:tc>
          <w:tcPr>
            <w:tcW w:w="751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offering costs and debt issuance costs in accounts payable and accrued expenses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8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751" w:name="_18491b3f_e9a4_45bb_ad93_4f8ca024210c"/>
      <w:bookmarkEnd w:id="751"/>
      <w:r>
        <w:rPr>
          <w:rFonts w:ascii="Times New Roman;Times;serif" w:hAnsi="Times New Roman;Times;serif"/>
          <w:b/>
          <w:sz w:val="20"/>
        </w:rPr>
        <w:t>Zenas BioPharma, Inc.</w:t>
      </w:r>
    </w:p>
    <w:p>
      <w:pPr>
        <w:pStyle w:val="TextBody"/>
        <w:bidi w:val="0"/>
        <w:spacing w:before="0" w:after="0"/>
        <w:ind w:left="0" w:right="0" w:hanging="0"/>
        <w:jc w:val="center"/>
        <w:rPr>
          <w:rFonts w:ascii="Times New Roman;Times;serif" w:hAnsi="Times New Roman;Times;serif"/>
          <w:b/>
          <w:sz w:val="20"/>
        </w:rPr>
      </w:pPr>
      <w:bookmarkStart w:id="752" w:name="NotestoCondensedConsolidatedFinancial_80"/>
      <w:bookmarkEnd w:id="752"/>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w:t>
      </w:r>
      <w:r>
        <w:rPr>
          <w:rFonts w:ascii="Times New Roman;Times;serif" w:hAnsi="Times New Roman;Times;serif"/>
          <w:b/>
          <w:sz w:val="20"/>
        </w:rPr>
        <w:t>Nature of Business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Organization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Zenas BioPharma, Inc. (“Zenas” or the “Company”) was incorporated in November 2019 as Zenas BioPharma (Cayman) Limited, an exempted company incorporated in the Cayman Islands with limited liability and commenced operations in 2020. On August 2, 2023, the Company (then known as Zenas BioPharma (Cayman) Limited) de-registered from the Cayman Islands and registered by way of continuation in the State of Delaware. Zenas is a clinical-stage global biopharmaceutical company committed to being a leader in the development and commercialization of transformative immunology-based therapies for patients in need. The Company’s goal is to build an immunology and inflammation (“I&amp;I”) focused biopharmaceutical company. The Company has in-licensed and is developing several product candidates for the treatment of various auto-immune and rare diseases. The Company is headquartered in Waltham, Massachusetts and operates in one segment, which is the business of acquiring and developing immune-based therapies for potential commercialization.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Company’s condensed consolidated financial statements include the accounts of its wholly owned subsidiaries which include Zenas BioPharma (HK) Limited (“Zenas HK”), Zenas BioPharma (USA) LLC, Shanghai Zenas Biotechnology Co. Limited, Zenas BioPharma Securities Corp., Zenas BioPharma GmbH (Switzerland), Zenas BioPharma B.V. and Zenas BioPharma GmbH (Germany).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Liquidity and Capital Resources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Since its inception, the Company has devoted its efforts principally to research and development and raising capital. The Company is subject to risks and uncertainties common to clinical stage companies in the biopharmaceutical industry, including, but not limited to, completing preclinical studies and clinical trials, obtaining regulatory approval for product candidates, market acceptance of products, development by competitors of new technological innovations, dependence on key personnel, the ability to attract and retain qualified employees, reliance on third-party organizations, protection of proprietary technology, compliance with government regulations, and the ability to raise additional capital to fund operations.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Company’s capital to date has been generated primarily with proceeds received through the sale and issuance of preferred stock, convertible senior notes, the sale of common stock from its initial public offering (“IPO”), private and public equity offerings (please see </w:t>
      </w:r>
      <w:r>
        <w:rPr>
          <w:rFonts w:ascii="Times New Roman;Times;serif" w:hAnsi="Times New Roman;Times;serif"/>
          <w:i/>
          <w:sz w:val="20"/>
        </w:rPr>
        <w:t>Note 10, Common Stock</w:t>
      </w:r>
      <w:r>
        <w:rPr>
          <w:rFonts w:ascii="Times New Roman;Times;serif" w:hAnsi="Times New Roman;Times;serif"/>
          <w:sz w:val="20"/>
        </w:rPr>
        <w:t xml:space="preserve">, to these unaudited condensed consolidated financial statements), as well as from payments received under the Company’s license, collaboration and royalty purchase agreements (please see </w:t>
      </w:r>
      <w:r>
        <w:rPr>
          <w:rFonts w:ascii="Times New Roman;Times;serif" w:hAnsi="Times New Roman;Times;serif"/>
          <w:i/>
          <w:sz w:val="20"/>
        </w:rPr>
        <w:t>Note 7, License and Collaboration Revenue and Note 9, Royalty Obligation</w:t>
      </w:r>
      <w:r>
        <w:rPr>
          <w:rFonts w:ascii="Times New Roman;Times;serif" w:hAnsi="Times New Roman;Times;serif"/>
          <w:sz w:val="20"/>
        </w:rPr>
        <w:t xml:space="preserve">, to these unaudited condensed consolidated financial statements) and the senior secured term loan with Pharmakon Advisors, LP (“Pharmakon”) (please see </w:t>
      </w:r>
      <w:r>
        <w:rPr>
          <w:rFonts w:ascii="Times New Roman;Times;serif" w:hAnsi="Times New Roman;Times;serif"/>
          <w:i/>
          <w:sz w:val="20"/>
        </w:rPr>
        <w:t>Note 6, Long-Term Obligations</w:t>
      </w:r>
      <w:r>
        <w:rPr>
          <w:rFonts w:ascii="Times New Roman;Times;serif" w:hAnsi="Times New Roman;Times;serif"/>
          <w:sz w:val="20"/>
        </w:rPr>
        <w:t xml:space="preserve">, to these unaudited condensed consolidated financial statements).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not generated any revenue from product sales since inception, and its product candidates currently under development will require significant additional research and development efforts and regulatory approval prior to commercialization.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incurred operating losses and negative cash flows since its inception, including net losses of $111.5 million and $52.2 million for the three months ended June 30, 2026 and 2025, respectively, and $192.4 million and $85.8 million for the six months ended June 30, 2026 and 2025, respectively. As of June 30, 2026, the Company had an accumulated deficit of $957.6 million. Management expects operating losses and negative operating cash flows to continue for the foreseeable future.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753" w:name="Narr_lkYY4oy_5kOtXVG1Ve_Idg"/>
      <w:bookmarkEnd w:id="753"/>
      <w:r>
        <w:rPr>
          <w:rFonts w:ascii="Times New Roman;Times;serif" w:hAnsi="Times New Roman;Times;serif"/>
          <w:sz w:val="20"/>
        </w:rPr>
        <w:t>The Company expects that its existing cash, cash equivalents and investments of $673.9 million as of June 30, 2026, will be sufficient to fund its operating and capital expenditures for at least twelve months from the date of the issuance of these unaudited condensed consolidated financial statements.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Summary of Significant Accounting Policies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Company’s significant accounting policies are disclosed in </w:t>
      </w:r>
      <w:r>
        <w:rPr>
          <w:rFonts w:ascii="Times New Roman;Times;serif" w:hAnsi="Times New Roman;Times;serif"/>
          <w:i/>
          <w:sz w:val="20"/>
        </w:rPr>
        <w:t>Note 2, Summary of Significant Accounting Policies,</w:t>
      </w:r>
      <w:r>
        <w:rPr>
          <w:rFonts w:ascii="Times New Roman;Times;serif" w:hAnsi="Times New Roman;Times;serif"/>
          <w:sz w:val="20"/>
        </w:rPr>
        <w:t xml:space="preserve"> in the audited consolidated financial statements for the year ended December 31, 2025, and notes thereto, included in the Company’s Annual Report on Form 10-K that was filed with the SEC on March 16, 2026. Since the date of those financial statements, other than disclosed herein, there have been no material changes to the Company’s significant accounting policies.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Basis of Presentation and Consolidation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accompanying condensed consolidated financial statements include the operations of the Company and its wholly-owned subsidiaries. All intercompany accounts, transactions, and balances have been eliminated in consolidation. The accompanying condensed consolidated financial statements have been prepared in accordance with U.S. generally accepted accounting principles (“GAAP”) and pursuant to the rules and regulations of the Securities and Exchange Commission (“SEC”). Any reference in these notes to applicable guidance is meant to refer to the authoritative GAAP as found in the Accounting Standards Codification (“ASC”) and Accounting Standards Update (“ASU”) of the Financial Accounting Standards Board (“FASB”).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Unaudited Interim Financial Information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accompanying unaudited condensed consolidated financial statements have been prepared on the same basis as the annual audited financial statements and in the opinion of management, reflect all adjustments, which include only normal recurring adjustments, necessary for the fair statement of the Company’s financial position as of June 30, 2026, and the results of operations and its cash flows for the three and six months ended June 30, 2026 and 2025. The financial data and other information disclosed in these notes related to the three and six months ended June 30, 2026 and 2025 are not necessarily indicative of the results to be expected for the year ending December 31, 2026, any other interim periods, or any future year or period. These interim financial statements should be read in conjunction with the audited financial statements as of and for the year ended December 31, 2025, and the notes thereto, which are included in the Company’s Annual Report on Form 10-K as filed with the SEC, on March 16, 2026.</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preparation of financial statements in conformity with GAAP requires management to make certain estimates and assumptions that affect the reported amounts of assets, liabilities, expenses, and related disclosures. The Company bases its estimates on historical experience, known trends and other market-specific factors or other relevant factors that it believes to be reasonable under the circumstances. The Company evaluates its estimates and assumptions on an ongoing basis using such factors and adjusts those estimates and assumptions as facts and circumstances dictate. Actual results may differ from those estimates or assumptions. Significant estimates in these unaudited condensed consolidated financial statements include estimates made in connection with accrued research and development expenses, stock-based compensation, valuations of embedded features within its senior secured term loan and the liability related to the sale of future royalties including the estimation of future payments and the related non-cash interest expense.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Estimates and assumptions about future events and their effects cannot be determined with certainty and therefore require the exercise of judgement. As of the date of the issuance of these unaudited condensed consolidated financial statements, the Company is not aware of any specific event or circumstance that would require the Company to update its estimates, assumptions and judgements or revise the carrying value of its assets or liabilities. These estimates may change as new events occur and additional information is obtained and are recognized in the financial statements as soon as they become known. Actual results could differ from those estimates and any such differences may be material to the Company’s financial statements.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Embedded Derivative Financial Instruments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evaluates its financial instruments, including its convertible senior notes and senior secured term loan to determine if such instruments are derivatives or contain features that qualify as embedded derivatives in accordance with </w:t>
      </w:r>
      <w:r>
        <w:rPr>
          <w:rFonts w:ascii="Times New Roman;Times;serif" w:hAnsi="Times New Roman;Times;serif"/>
          <w:i/>
          <w:sz w:val="20"/>
        </w:rPr>
        <w:t>ASC 815 “Derivatives and Hedging.”</w:t>
      </w:r>
      <w:r>
        <w:rPr>
          <w:rFonts w:ascii="Times New Roman;Times;serif" w:hAnsi="Times New Roman;Times;serif"/>
          <w:sz w:val="20"/>
        </w:rPr>
        <w:t xml:space="preserve"> ASC 815 generally provides three criteria that, if met, require companies to bifurcate embedded features from their host instruments and account for them as free-standing derivative financial instruments. The three criteria include circumstances in which (a) the economic characteristics and risks of the embedded derivative instrument are not clearly and closely related to the economic characteristics and risks of the host contract, (b) the hybrid instrument that embodies both the embedded derivative instrument and the host contract is not remeasured at fair value under otherwise applicable generally accepted accounting principles with changes in fair value reported in earnings as they occur, and (c) a separate instrument with the same terms as the embedded derivative would be considered a derivative instrument.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liability accounting is required, the Company’s derivative instruments are recorded at fair value with an offsetting amount recorded as a debt discount, which offsets the carrying amount of the debt. The derivative is revalued at the end of each reporting period and any change in fair value is recorded as a gain or loss in the statement of operations. The debt discount is amortized through interest expense over the life of the debt using the straight-line method.</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Convertible Instruments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When the Company issues debt with a conversion feature, in accordance with </w:t>
      </w:r>
      <w:r>
        <w:rPr>
          <w:rFonts w:ascii="Times New Roman;Times;serif" w:hAnsi="Times New Roman;Times;serif"/>
          <w:i/>
          <w:sz w:val="20"/>
        </w:rPr>
        <w:t>ASC 815, “Derivatives and Hedging”</w:t>
      </w:r>
      <w:r>
        <w:rPr>
          <w:rFonts w:ascii="Times New Roman;Times;serif" w:hAnsi="Times New Roman;Times;serif"/>
          <w:sz w:val="20"/>
        </w:rPr>
        <w:t xml:space="preserve"> it must first assess whether the conversion feature meets the requirements to be treated as a derivative. An embedded equity-linked component that meets the definition of a derivative does not have to be separated from the host instrument if the component qualifies for the scope exception for certain contracts involving an issuer’s own equity. The scope exception applies if the contract is both (a) indexed to its own stock; and (b) classified in stockholders’ equity in its balance sheet.</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Debt and Debt Issuance Costs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Debt issuance costs and expenses paid by the Company to its lenders are presented on the unaudited condensed consolidated balance sheet as a direct deduction from the related liability. Debt issuance costs represent costs that are paid directly to third parties and directly attributable to the issuance of a debt or equity instrument, which includes lender fees, legal expenses and other direct costs. These costs are amortized as a non-cash component of interest expense using the effective interest method over the term of the debt. Costs and discounts are presented as a reduction of the related debt in the accompanying balance sheet if related to the issuance of debt or presented as a reduction of additional paid in capital if related to the issuance of an equity instrument.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Recently Adopted Accounting Standards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September of 2025, the FASB issued ASU </w:t>
      </w:r>
      <w:r>
        <w:rPr>
          <w:rFonts w:ascii="Times New Roman;Times;serif" w:hAnsi="Times New Roman;Times;serif"/>
          <w:i/>
          <w:sz w:val="20"/>
        </w:rPr>
        <w:t>2025-07: Derivates and Hedging (ASC 815) and Revenue from Contracts with Customers (ASC 606).</w:t>
      </w:r>
      <w:r>
        <w:rPr>
          <w:rFonts w:ascii="Times New Roman;Times;serif" w:hAnsi="Times New Roman;Times;serif"/>
          <w:sz w:val="20"/>
        </w:rPr>
        <w:t xml:space="preserve"> This ASU expands the scope exceptions in the derivative guidance to exclude certain non-exchange-trade contracts with underlyings based on the operations or activities of one of the parties to the contract, including the occurrence or nonoccurrence of an event specific to those operations or activities. The ASU also clarifies that share-based noncash consideration received from a customer in exchange for goods or services should be accounted for as noncash consideration under </w:t>
      </w:r>
      <w:r>
        <w:rPr>
          <w:rFonts w:ascii="Times New Roman;Times;serif" w:hAnsi="Times New Roman;Times;serif"/>
          <w:i/>
          <w:sz w:val="20"/>
        </w:rPr>
        <w:t>ASC 606</w:t>
      </w:r>
      <w:r>
        <w:rPr>
          <w:rFonts w:ascii="Times New Roman;Times;serif" w:hAnsi="Times New Roman;Times;serif"/>
          <w:sz w:val="20"/>
        </w:rPr>
        <w:t xml:space="preserve"> unless and until the entity’s rights to receive or retain such consideration becomes unconditional. The Company early adopted the ASU at the beginning of fiscal year 2026, using the prospective method. The adoption of this new accounting standard was applied to the evaluation of the senior secured term loan that was executed during the first quarter.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Recent Accounting Pronouncements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November 2024, the FASB issued 2024-03, </w:t>
      </w:r>
      <w:r>
        <w:rPr>
          <w:rFonts w:ascii="Times New Roman;Times;serif" w:hAnsi="Times New Roman;Times;serif"/>
          <w:i/>
          <w:sz w:val="20"/>
        </w:rPr>
        <w:t>Income Statement—Reporting Comprehensive Income—Expense Disaggregation Disclosures (Subtopic 220-40): Disaggregation of Income Statement Expenses (“ASU 2024-03”)</w:t>
      </w:r>
      <w:r>
        <w:rPr>
          <w:rFonts w:ascii="Times New Roman;Times;serif" w:hAnsi="Times New Roman;Times;serif"/>
          <w:sz w:val="20"/>
        </w:rPr>
        <w:t xml:space="preserve">, which requires entities to disclose additional information about specific expense categories in the notes to the financial statements. ASU 2024-03 is effective for annual periods beginning after December 15, 2026 and for interim periods within fiscal years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beginning after December 15, 2027, with early adoption permitted. ASU 2024-03 may be applied retrospectively or prospectively to the financial statements. The Company is currently evaluating the impact of ASU 2024-03 on its unaudited condensed consolidated financial statements and related disclosures.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From time to time, new accounting pronouncements are issued by the FASB or other standard setting bodies that the Company adopts as of the specified effective date. Unless otherwise discussed, the Company does not believe that the adoption of recently issued standards have or may have a material impact on its unaudited condensed consolidated financial statements or disclosures.</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754" w:name="Tc_ToBQpaOXSUGM2vutKh6QXg_13_12"/>
      <w:bookmarkStart w:id="755" w:name="Tc_eMV8lozlJ0yN5CxsxXSizg_13_11"/>
      <w:bookmarkStart w:id="756" w:name="Tc_pGv-ga6xRUSBSbLikl2PrA_13_8"/>
      <w:bookmarkStart w:id="757" w:name="Tc_NWRcYcOFUEakzVUj2P_zmA_13_5"/>
      <w:bookmarkStart w:id="758" w:name="Tc_LUiLGIKBGU6m24MUJL8FOQ_13_2"/>
      <w:bookmarkStart w:id="759" w:name="Tc_vinr_pW_MUu7DFwbWELcGw_13_0"/>
      <w:bookmarkStart w:id="760" w:name="Tc_15H1Rvm_HU678UGeUT0zYw_12_12"/>
      <w:bookmarkStart w:id="761" w:name="Tc_cyO8K5gomku0SHYxM7Cy-g_12_9"/>
      <w:bookmarkStart w:id="762" w:name="Tc_h-sabS4cqkqDMENuSDVQmQ_12_0"/>
      <w:bookmarkStart w:id="763" w:name="Tc_MakQijzIJkiWSfk0nkZCuQ_11_12"/>
      <w:bookmarkStart w:id="764" w:name="Tc_Hb5QNnmT3USab5Fnh_HKrw_11_6"/>
      <w:bookmarkStart w:id="765" w:name="Tc_xEHDtmFjJECt5QQn-QmWBw_11_0"/>
      <w:bookmarkStart w:id="766" w:name="Tc_CsA5nhe1EECuiLCfFhwkig_10_0"/>
      <w:bookmarkStart w:id="767" w:name="Tc_dXCl3FdmfkC84RYnR_wPOg_9_12"/>
      <w:bookmarkStart w:id="768" w:name="Tc_gbHLYJZMfU-UouiH9KRyRg_9_9"/>
      <w:bookmarkStart w:id="769" w:name="Tc_41lU3pjddUKs_W2CEsY95A_9_0"/>
      <w:bookmarkStart w:id="770" w:name="Tc_VU_kVKn--0efO2sUPzyYow_8_12"/>
      <w:bookmarkStart w:id="771" w:name="Tc_Yb6q6zLQxUCBmR6PQIsORw_8_6"/>
      <w:bookmarkStart w:id="772" w:name="Tc_xLgy4_OWlUCve4HGOB0o_A_8_0"/>
      <w:bookmarkStart w:id="773" w:name="Tc_UQaAe9lElkK8xsMJ8wTGUw_7_12"/>
      <w:bookmarkStart w:id="774" w:name="Tc_r7DDseW9zUOuCGdjWPP-lw_7_6"/>
      <w:bookmarkStart w:id="775" w:name="Tc_FvDblklhxUOkDVcBvNlxHw_7_0"/>
      <w:bookmarkStart w:id="776" w:name="Tc_AT-EFOP3qEukfixep1TqKQ_6_0"/>
      <w:bookmarkStart w:id="777" w:name="Tc_Pogj16hP-kO_NOHtDJSymA_5_12"/>
      <w:bookmarkStart w:id="778" w:name="Tc_Kgrm3WEsoEyk67ecKlyCQw_5_9"/>
      <w:bookmarkStart w:id="779" w:name="Tc__vKVNqB5hECRc0xQoDDclg_5_0"/>
      <w:bookmarkStart w:id="780" w:name="Tc_DQ4bIHpV0EW2pWAXp84bvA_4_12"/>
      <w:bookmarkStart w:id="781" w:name="Tc_v1Xp27JK0U-7KRShmV9cmQ_4_11"/>
      <w:bookmarkStart w:id="782" w:name="Tc_P0qDmjCSAkehGlFKQU3UzA_4_9"/>
      <w:bookmarkStart w:id="783" w:name="Tc_pVqxN9saHUGw6nvfgqVyWA_4_8"/>
      <w:bookmarkStart w:id="784" w:name="Tc_lvUB1uoI4k6pzuiWwnFi_Q_4_5"/>
      <w:bookmarkStart w:id="785" w:name="Tc_-MaxySvNiUemLEo_0CE4SA_4_2"/>
      <w:bookmarkStart w:id="786" w:name="Tc_pFGdyDHTME-D3OhNGuV3Uw_4_0"/>
      <w:bookmarkStart w:id="787" w:name="Tc_orenwDjg1UCYPiWLAlbRrQ_3_0"/>
      <w:bookmarkStart w:id="788" w:name="Tc_QazZD2unF0alOBdVImdzFw_2_12"/>
      <w:bookmarkStart w:id="789" w:name="Tc_I0HFIxYNZ0e8CyhJoRgIlg_2_9"/>
      <w:bookmarkStart w:id="790" w:name="Tc_6VkPQ21auUKcI7d8HsFI0g_2_6"/>
      <w:bookmarkStart w:id="791" w:name="Tc_cqkhyBAU0EOtERAbTytjFg_2_3"/>
      <w:bookmarkStart w:id="792" w:name="Tc_ZnLdGa3Pa0eMDVaBrN0Rhw_2_0"/>
      <w:bookmarkStart w:id="793" w:name="Tc_qSXa3TATs0GYZrU31pPcTQ_1_3"/>
      <w:bookmarkStart w:id="794" w:name="_3f2827b2_4b1c_4fe7_b086_c75b6a31b20f"/>
      <w:bookmarkStart w:id="795" w:name="Tc_6VTnKLgM4kqI2QFSnwhXvw_13_12"/>
      <w:bookmarkStart w:id="796" w:name="Tc_v_X6YEfr3ki-sfWctlTnHA_13_11"/>
      <w:bookmarkStart w:id="797" w:name="Tc_7O0Fy_hSjE-t0KHBsV01og_13_8"/>
      <w:bookmarkStart w:id="798" w:name="Tc_wP-BGi8UlEOE-GPilBbexg_13_5"/>
      <w:bookmarkStart w:id="799" w:name="Tc_vUl09JemG0KT7Dz0XXS4Iw_13_2"/>
      <w:bookmarkStart w:id="800" w:name="Tc_z2ff3a53SkatN1kFf9TSeg_13_0"/>
      <w:bookmarkStart w:id="801" w:name="Tc_7C-XXjZ8KEG_xb89liqWRA_12_12"/>
      <w:bookmarkStart w:id="802" w:name="Tc_HglcUwSI7UCSUQZtFujGgg_12_9"/>
      <w:bookmarkStart w:id="803" w:name="Tc_TRpZ3CciOEaZd2Yvx7F4NA_12_0"/>
      <w:bookmarkStart w:id="804" w:name="Tc_RZoY5PXK_Ua6iaiWk-hpqQ_11_12"/>
      <w:bookmarkStart w:id="805" w:name="Tc_Cier3_vDekWUMZbMu3nhUA_11_6"/>
      <w:bookmarkStart w:id="806" w:name="Tc_HH1a72HTLU6RnrVB45Tpnw_11_0"/>
      <w:bookmarkStart w:id="807" w:name="Tc_SZmzhmhbTkmFXV49NQq-JQ_10_0"/>
      <w:bookmarkStart w:id="808" w:name="Tc_sJmvqNS33EOlb_ouxx0Qog_9_12"/>
      <w:bookmarkStart w:id="809" w:name="Tc_il3RL4oqNk-0uXxBXEJBjg_9_9"/>
      <w:bookmarkStart w:id="810" w:name="Tc_McTAEZKhm0-hu0tioDUsOw_9_0"/>
      <w:bookmarkStart w:id="811" w:name="Tc_aXu2sNv5REGMpc_0ommHwA_8_12"/>
      <w:bookmarkStart w:id="812" w:name="Tc_SnfLsXB8gEWJ8vDEzzbiDw_8_6"/>
      <w:bookmarkStart w:id="813" w:name="Tc_PtIA8ZnJSEm3qEl6oiB5nA_8_0"/>
      <w:bookmarkStart w:id="814" w:name="Tc_w5HP_mOqoE-cq03F-h30kQ_7_12"/>
      <w:bookmarkStart w:id="815" w:name="Tc_bP9ODTj4D0GuFZj9l21Jdg_7_6"/>
      <w:bookmarkStart w:id="816" w:name="Tc_5zXph5Q3FUKe5t6mrpnoSw_7_0"/>
      <w:bookmarkStart w:id="817" w:name="Tc_oob7gdjvpkO_iJ8T694E7A_6_0"/>
      <w:bookmarkStart w:id="818" w:name="Tc_T4QQYM0UAkCPlOV6ikAKhg_5_12"/>
      <w:bookmarkStart w:id="819" w:name="Tc_UWAkUcXsrESzo2vb-FfCPw_5_9"/>
      <w:bookmarkStart w:id="820" w:name="Tc_rBeq1W5tm0yj2grjVaEJGw_5_0"/>
      <w:bookmarkStart w:id="821" w:name="Tc_HkE8ylI32k6eCPemmz1QHg_4_12"/>
      <w:bookmarkStart w:id="822" w:name="Tc_OEWzO2ONyUqQwaHm410DRA_4_11"/>
      <w:bookmarkStart w:id="823" w:name="Tc_KhmV5GtvDU-fKF8NXXumUQ_4_9"/>
      <w:bookmarkStart w:id="824" w:name="Tc_Lre5zDKJbEqTB3om7Sm4Cw_4_8"/>
      <w:bookmarkStart w:id="825" w:name="Tc_gxmf9ZarE0qsYxs5ctu6lg_4_5"/>
      <w:bookmarkStart w:id="826" w:name="Tc_V3mhuH2Q80Wgq97G_Sjy-w_4_2"/>
      <w:bookmarkStart w:id="827" w:name="Tc_mmZ2ls3Qx0WQAqcOZuCaXg_4_0"/>
      <w:bookmarkStart w:id="828" w:name="Tc_PoGGL_Bp9kSf-tJ1OcEDQw_3_0"/>
      <w:bookmarkStart w:id="829" w:name="Tc_PvEl0yadr0egKHwnbH0__g_2_12"/>
      <w:bookmarkStart w:id="830" w:name="Tc_dbWLnljw_kGNeLjshV6dlw_2_9"/>
      <w:bookmarkStart w:id="831" w:name="Tc_P-iEdls4ZE-ZpFPZnvxNcg_2_6"/>
      <w:bookmarkStart w:id="832" w:name="Tc_QX4akl-UWUKSttLJznxj-A_2_3"/>
      <w:bookmarkStart w:id="833" w:name="Tc_cRAKab6TrUyRhepxbBX8Hw_2_0"/>
      <w:bookmarkStart w:id="834" w:name="Tc_oBHGCNcNLEqiMszYjffGXg_1_3"/>
      <w:bookmarkStart w:id="835" w:name="_207f9119_ede9_4d9c_832a_5050d92d4937"/>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r>
        <w:rPr>
          <w:rFonts w:ascii="Times New Roman;Times;serif" w:hAnsi="Times New Roman;Times;serif"/>
          <w:b/>
          <w:i w:val="false"/>
          <w:caps w:val="false"/>
          <w:smallCaps w:val="false"/>
          <w:sz w:val="20"/>
        </w:rPr>
        <w:t>3.</w:t>
      </w:r>
      <w:r>
        <w:rPr>
          <w:rFonts w:ascii="Times New Roman;Times;serif" w:hAnsi="Times New Roman;Times;serif"/>
          <w:b/>
          <w:sz w:val="20"/>
        </w:rPr>
        <w:t>Fair Value Measurements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presents information about the Company’s financial assets that are regularly measured and carried at fair value and indicate the level within the fair value hierarchy of the valuation techniques the Company utilized to determine such fair value (in thousands):</w:t>
      </w:r>
    </w:p>
    <w:tbl>
      <w:tblPr>
        <w:tblW w:w="10205" w:type="dxa"/>
        <w:jc w:val="left"/>
        <w:tblInd w:w="0" w:type="dxa"/>
        <w:tblLayout w:type="fixed"/>
        <w:tblCellMar>
          <w:top w:w="0" w:type="dxa"/>
          <w:left w:w="0" w:type="dxa"/>
          <w:bottom w:w="0" w:type="dxa"/>
          <w:right w:w="0" w:type="dxa"/>
        </w:tblCellMar>
      </w:tblPr>
      <w:tblGrid>
        <w:gridCol w:w="1622"/>
        <w:gridCol w:w="346"/>
        <w:gridCol w:w="211"/>
        <w:gridCol w:w="1271"/>
        <w:gridCol w:w="109"/>
        <w:gridCol w:w="211"/>
        <w:gridCol w:w="1642"/>
        <w:gridCol w:w="109"/>
        <w:gridCol w:w="346"/>
        <w:gridCol w:w="1918"/>
        <w:gridCol w:w="109"/>
        <w:gridCol w:w="346"/>
        <w:gridCol w:w="1965"/>
      </w:tblGrid>
      <w:tr>
        <w:trPr/>
        <w:tc>
          <w:tcPr>
            <w:tcW w:w="16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029970" cy="175260"/>
                      <wp:effectExtent l="0" t="0" r="0" b="0"/>
                      <wp:wrapNone/>
                      <wp:docPr id="69" name="Frame68"/>
                      <a:graphic xmlns:a="http://schemas.openxmlformats.org/drawingml/2006/main">
                        <a:graphicData uri="http://schemas.microsoft.com/office/word/2010/wordprocessingShape">
                          <wps:wsp>
                            <wps:cNvSpPr txBox="1"/>
                            <wps:spPr>
                              <a:xfrm>
                                <a:off x="0" y="0"/>
                                <a:ext cx="1029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807085" cy="175260"/>
                      <wp:effectExtent l="0" t="0" r="0" b="0"/>
                      <wp:wrapNone/>
                      <wp:docPr id="70" name="Frame69"/>
                      <a:graphic xmlns:a="http://schemas.openxmlformats.org/drawingml/2006/main">
                        <a:graphicData uri="http://schemas.microsoft.com/office/word/2010/wordprocessingShape">
                          <wps:wsp>
                            <wps:cNvSpPr txBox="1"/>
                            <wps:spPr>
                              <a:xfrm>
                                <a:off x="0" y="0"/>
                                <a:ext cx="807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6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042670" cy="175260"/>
                      <wp:effectExtent l="0" t="0" r="0" b="0"/>
                      <wp:wrapNone/>
                      <wp:docPr id="71" name="Frame70"/>
                      <a:graphic xmlns:a="http://schemas.openxmlformats.org/drawingml/2006/main">
                        <a:graphicData uri="http://schemas.microsoft.com/office/word/2010/wordprocessingShape">
                          <wps:wsp>
                            <wps:cNvSpPr txBox="1"/>
                            <wps:spPr>
                              <a:xfrm>
                                <a:off x="0" y="0"/>
                                <a:ext cx="1042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9215" cy="175260"/>
                      <wp:effectExtent l="0" t="0" r="0" b="0"/>
                      <wp:wrapNone/>
                      <wp:docPr id="72" name="Frame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1"/>
              <w:ind w:left="0" w:right="0" w:hanging="0"/>
              <w:jc w:val="left"/>
              <w:rPr/>
            </w:pPr>
            <w:r>
              <w:rPr/>
              <w:t>​</w:t>
            </w:r>
          </w:p>
        </w:tc>
        <w:tc>
          <w:tcPr>
            <w:tcW w:w="19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217930" cy="175260"/>
                      <wp:effectExtent l="0" t="0" r="0" b="0"/>
                      <wp:wrapNone/>
                      <wp:docPr id="73" name="Frame72"/>
                      <a:graphic xmlns:a="http://schemas.openxmlformats.org/drawingml/2006/main">
                        <a:graphicData uri="http://schemas.microsoft.com/office/word/2010/wordprocessingShape">
                          <wps:wsp>
                            <wps:cNvSpPr txBox="1"/>
                            <wps:spPr>
                              <a:xfrm>
                                <a:off x="0" y="0"/>
                                <a:ext cx="1217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9215" cy="175260"/>
                      <wp:effectExtent l="0" t="0" r="0" b="0"/>
                      <wp:wrapNone/>
                      <wp:docPr id="74" name="Frame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1"/>
              <w:ind w:left="0" w:right="0" w:hanging="0"/>
              <w:jc w:val="left"/>
              <w:rPr/>
            </w:pPr>
            <w:r>
              <w:rPr/>
              <w:t>​</w:t>
            </w:r>
          </w:p>
        </w:tc>
        <w:tc>
          <w:tcPr>
            <w:tcW w:w="19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247775" cy="175260"/>
                      <wp:effectExtent l="0" t="0" r="0" b="0"/>
                      <wp:wrapNone/>
                      <wp:docPr id="75" name="Frame74"/>
                      <a:graphic xmlns:a="http://schemas.openxmlformats.org/drawingml/2006/main">
                        <a:graphicData uri="http://schemas.microsoft.com/office/word/2010/wordprocessingShape">
                          <wps:wsp>
                            <wps:cNvSpPr txBox="1"/>
                            <wps:spPr>
                              <a:xfrm>
                                <a:off x="0" y="0"/>
                                <a:ext cx="1247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2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26" w:type="dxa"/>
            <w:gridSpan w:val="10"/>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As of June 30, 2026</w:t>
            </w:r>
          </w:p>
        </w:tc>
      </w:tr>
      <w:tr>
        <w:trPr/>
        <w:tc>
          <w:tcPr>
            <w:tcW w:w="1622"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Description</w:t>
            </w:r>
          </w:p>
        </w:tc>
        <w:tc>
          <w:tcPr>
            <w:tcW w:w="346" w:type="dxa"/>
            <w:tcBorders/>
            <w:vAlign w:val="center"/>
          </w:tcPr>
          <w:p>
            <w:pPr>
              <w:pStyle w:val="TableContents"/>
              <w:bidi w:val="0"/>
              <w:spacing w:before="0" w:after="1"/>
              <w:ind w:left="0" w:right="0" w:hanging="0"/>
              <w:jc w:val="center"/>
              <w:rPr/>
            </w:pPr>
            <w:r>
              <w:rPr/>
              <w:t>  ​ ​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2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Total Carrying Value</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64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Quoted Prices in Active Market </w:t>
              <w:br/>
              <w:t>(Level 1)</w:t>
            </w:r>
          </w:p>
        </w:tc>
        <w:tc>
          <w:tcPr>
            <w:tcW w:w="10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91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Significant Other Observable Inputs</w:t>
              <w:br/>
              <w:t>(Level 2)</w:t>
            </w:r>
          </w:p>
        </w:tc>
        <w:tc>
          <w:tcPr>
            <w:tcW w:w="10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96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Significant Other Observable Inputs</w:t>
              <w:br/>
              <w:t>(Level 3)</w:t>
            </w:r>
          </w:p>
        </w:tc>
      </w:tr>
      <w:tr>
        <w:trPr/>
        <w:tc>
          <w:tcPr>
            <w:tcW w:w="16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Assets: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7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1642"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1918"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5" w:type="dxa"/>
            <w:tcBorders/>
            <w:shd w:fill="CCEEFF" w:val="clear"/>
            <w:vAlign w:val="center"/>
          </w:tcPr>
          <w:p>
            <w:pPr>
              <w:pStyle w:val="TableContents"/>
              <w:bidi w:val="0"/>
              <w:spacing w:before="0" w:after="1"/>
              <w:ind w:left="0" w:right="0" w:hanging="0"/>
              <w:jc w:val="left"/>
              <w:rPr/>
            </w:pPr>
            <w:r>
              <w:rPr/>
              <w:t>​</w:t>
            </w:r>
          </w:p>
        </w:tc>
      </w:tr>
      <w:tr>
        <w:trPr/>
        <w:tc>
          <w:tcPr>
            <w:tcW w:w="162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115,202</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6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115,202</w:t>
            </w:r>
          </w:p>
        </w:tc>
        <w:tc>
          <w:tcPr>
            <w:tcW w:w="1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91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965" w:type="dxa"/>
            <w:tcBorders/>
            <w:vAlign w:val="center"/>
          </w:tcPr>
          <w:p>
            <w:pPr>
              <w:pStyle w:val="TableContents"/>
              <w:bidi w:val="0"/>
              <w:spacing w:before="0" w:after="1"/>
              <w:ind w:left="0" w:right="0" w:hanging="0"/>
              <w:jc w:val="right"/>
              <w:rPr/>
            </w:pPr>
            <w:r>
              <w:rPr/>
              <w:t>—</w:t>
            </w:r>
          </w:p>
        </w:tc>
      </w:tr>
      <w:tr>
        <w:trPr/>
        <w:tc>
          <w:tcPr>
            <w:tcW w:w="16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81,375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6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81,375</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18"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5" w:type="dxa"/>
            <w:tcBorders/>
            <w:shd w:fill="CCEEFF" w:val="clear"/>
            <w:vAlign w:val="center"/>
          </w:tcPr>
          <w:p>
            <w:pPr>
              <w:pStyle w:val="TableContents"/>
              <w:bidi w:val="0"/>
              <w:spacing w:before="0" w:after="1"/>
              <w:ind w:left="0" w:right="0" w:hanging="0"/>
              <w:jc w:val="right"/>
              <w:rPr/>
            </w:pPr>
            <w:r>
              <w:rPr/>
              <w:t>—</w:t>
            </w:r>
          </w:p>
        </w:tc>
      </w:tr>
      <w:tr>
        <w:trPr/>
        <w:tc>
          <w:tcPr>
            <w:tcW w:w="162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7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642"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1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5" w:type="dxa"/>
            <w:tcBorders/>
            <w:vAlign w:val="center"/>
          </w:tcPr>
          <w:p>
            <w:pPr>
              <w:pStyle w:val="TableContents"/>
              <w:bidi w:val="0"/>
              <w:spacing w:before="0" w:after="1"/>
              <w:ind w:left="0" w:right="0" w:hanging="0"/>
              <w:jc w:val="right"/>
              <w:rPr/>
            </w:pPr>
            <w:r>
              <w:rPr/>
              <w:t>​</w:t>
            </w:r>
          </w:p>
        </w:tc>
      </w:tr>
      <w:tr>
        <w:trPr/>
        <w:tc>
          <w:tcPr>
            <w:tcW w:w="16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24,217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642"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24,217</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5" w:type="dxa"/>
            <w:tcBorders/>
            <w:shd w:fill="CCEEFF" w:val="clear"/>
            <w:vAlign w:val="center"/>
          </w:tcPr>
          <w:p>
            <w:pPr>
              <w:pStyle w:val="TableContents"/>
              <w:bidi w:val="0"/>
              <w:spacing w:before="0" w:after="1"/>
              <w:ind w:left="0" w:right="0" w:hanging="0"/>
              <w:jc w:val="right"/>
              <w:rPr/>
            </w:pPr>
            <w:r>
              <w:rPr/>
              <w:t>—</w:t>
            </w:r>
          </w:p>
        </w:tc>
      </w:tr>
      <w:tr>
        <w:trPr/>
        <w:tc>
          <w:tcPr>
            <w:tcW w:w="162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debt securities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78,902</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642"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78,902</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5" w:type="dxa"/>
            <w:tcBorders/>
            <w:vAlign w:val="center"/>
          </w:tcPr>
          <w:p>
            <w:pPr>
              <w:pStyle w:val="TableContents"/>
              <w:bidi w:val="0"/>
              <w:spacing w:before="0" w:after="1"/>
              <w:ind w:left="0" w:right="0" w:hanging="0"/>
              <w:jc w:val="right"/>
              <w:rPr/>
            </w:pPr>
            <w:r>
              <w:rPr/>
              <w:t>—</w:t>
            </w:r>
          </w:p>
        </w:tc>
      </w:tr>
      <w:tr>
        <w:trPr/>
        <w:tc>
          <w:tcPr>
            <w:tcW w:w="16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Government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343,430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6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343,430</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18"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5" w:type="dxa"/>
            <w:tcBorders/>
            <w:shd w:fill="CCEEFF" w:val="clear"/>
            <w:vAlign w:val="center"/>
          </w:tcPr>
          <w:p>
            <w:pPr>
              <w:pStyle w:val="TableContents"/>
              <w:bidi w:val="0"/>
              <w:spacing w:before="0" w:after="1"/>
              <w:ind w:left="0" w:right="0" w:hanging="0"/>
              <w:jc w:val="right"/>
              <w:rPr/>
            </w:pPr>
            <w:r>
              <w:rPr/>
              <w:t>—</w:t>
            </w:r>
          </w:p>
        </w:tc>
      </w:tr>
      <w:tr>
        <w:trPr/>
        <w:tc>
          <w:tcPr>
            <w:tcW w:w="162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Long-term investments: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7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642"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1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5" w:type="dxa"/>
            <w:tcBorders/>
            <w:vAlign w:val="center"/>
          </w:tcPr>
          <w:p>
            <w:pPr>
              <w:pStyle w:val="TableContents"/>
              <w:bidi w:val="0"/>
              <w:spacing w:before="0" w:after="1"/>
              <w:ind w:left="0" w:right="0" w:hanging="0"/>
              <w:jc w:val="right"/>
              <w:rPr/>
            </w:pPr>
            <w:r>
              <w:rPr/>
              <w:t>​</w:t>
            </w:r>
          </w:p>
        </w:tc>
      </w:tr>
      <w:tr>
        <w:trPr/>
        <w:tc>
          <w:tcPr>
            <w:tcW w:w="16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debt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16,648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642"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16,648</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5" w:type="dxa"/>
            <w:tcBorders/>
            <w:shd w:fill="CCEEFF" w:val="clear"/>
            <w:vAlign w:val="center"/>
          </w:tcPr>
          <w:p>
            <w:pPr>
              <w:pStyle w:val="TableContents"/>
              <w:bidi w:val="0"/>
              <w:spacing w:before="0" w:after="1"/>
              <w:ind w:left="0" w:right="0" w:hanging="0"/>
              <w:jc w:val="right"/>
              <w:rPr/>
            </w:pPr>
            <w:r>
              <w:rPr/>
              <w:t>—</w:t>
            </w:r>
          </w:p>
        </w:tc>
      </w:tr>
      <w:tr>
        <w:trPr/>
        <w:tc>
          <w:tcPr>
            <w:tcW w:w="162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Government securities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14,115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6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14,115</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1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16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673,889</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6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554,122</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91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119,767</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965"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622"/>
        <w:gridCol w:w="346"/>
        <w:gridCol w:w="211"/>
        <w:gridCol w:w="1271"/>
        <w:gridCol w:w="109"/>
        <w:gridCol w:w="211"/>
        <w:gridCol w:w="1642"/>
        <w:gridCol w:w="109"/>
        <w:gridCol w:w="346"/>
        <w:gridCol w:w="1918"/>
        <w:gridCol w:w="109"/>
        <w:gridCol w:w="346"/>
        <w:gridCol w:w="1965"/>
      </w:tblGrid>
      <w:tr>
        <w:trPr/>
        <w:tc>
          <w:tcPr>
            <w:tcW w:w="16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029970" cy="175260"/>
                      <wp:effectExtent l="0" t="0" r="0" b="0"/>
                      <wp:wrapNone/>
                      <wp:docPr id="76" name="Frame75"/>
                      <a:graphic xmlns:a="http://schemas.openxmlformats.org/drawingml/2006/main">
                        <a:graphicData uri="http://schemas.microsoft.com/office/word/2010/wordprocessingShape">
                          <wps:wsp>
                            <wps:cNvSpPr txBox="1"/>
                            <wps:spPr>
                              <a:xfrm>
                                <a:off x="0" y="0"/>
                                <a:ext cx="1029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807085" cy="175260"/>
                      <wp:effectExtent l="0" t="0" r="0" b="0"/>
                      <wp:wrapNone/>
                      <wp:docPr id="77" name="Frame76"/>
                      <a:graphic xmlns:a="http://schemas.openxmlformats.org/drawingml/2006/main">
                        <a:graphicData uri="http://schemas.microsoft.com/office/word/2010/wordprocessingShape">
                          <wps:wsp>
                            <wps:cNvSpPr txBox="1"/>
                            <wps:spPr>
                              <a:xfrm>
                                <a:off x="0" y="0"/>
                                <a:ext cx="807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6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042670" cy="175260"/>
                      <wp:effectExtent l="0" t="0" r="0" b="0"/>
                      <wp:wrapNone/>
                      <wp:docPr id="78" name="Frame77"/>
                      <a:graphic xmlns:a="http://schemas.openxmlformats.org/drawingml/2006/main">
                        <a:graphicData uri="http://schemas.microsoft.com/office/word/2010/wordprocessingShape">
                          <wps:wsp>
                            <wps:cNvSpPr txBox="1"/>
                            <wps:spPr>
                              <a:xfrm>
                                <a:off x="0" y="0"/>
                                <a:ext cx="1042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9215" cy="175260"/>
                      <wp:effectExtent l="0" t="0" r="0" b="0"/>
                      <wp:wrapNone/>
                      <wp:docPr id="79" name="Frame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19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217930" cy="175260"/>
                      <wp:effectExtent l="0" t="0" r="0" b="0"/>
                      <wp:wrapNone/>
                      <wp:docPr id="80" name="Frame79"/>
                      <a:graphic xmlns:a="http://schemas.openxmlformats.org/drawingml/2006/main">
                        <a:graphicData uri="http://schemas.microsoft.com/office/word/2010/wordprocessingShape">
                          <wps:wsp>
                            <wps:cNvSpPr txBox="1"/>
                            <wps:spPr>
                              <a:xfrm>
                                <a:off x="0" y="0"/>
                                <a:ext cx="1217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9215" cy="175260"/>
                      <wp:effectExtent l="0" t="0" r="0" b="0"/>
                      <wp:wrapNone/>
                      <wp:docPr id="81" name="Frame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19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247775" cy="175260"/>
                      <wp:effectExtent l="0" t="0" r="0" b="0"/>
                      <wp:wrapNone/>
                      <wp:docPr id="82" name="Frame81"/>
                      <a:graphic xmlns:a="http://schemas.openxmlformats.org/drawingml/2006/main">
                        <a:graphicData uri="http://schemas.microsoft.com/office/word/2010/wordprocessingShape">
                          <wps:wsp>
                            <wps:cNvSpPr txBox="1"/>
                            <wps:spPr>
                              <a:xfrm>
                                <a:off x="0" y="0"/>
                                <a:ext cx="1247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2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026"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As of December 31, 2025</w:t>
            </w:r>
          </w:p>
        </w:tc>
      </w:tr>
      <w:tr>
        <w:trPr/>
        <w:tc>
          <w:tcPr>
            <w:tcW w:w="162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Description</w:t>
            </w:r>
          </w:p>
        </w:tc>
        <w:tc>
          <w:tcPr>
            <w:tcW w:w="346" w:type="dxa"/>
            <w:tcBorders/>
            <w:vAlign w:val="center"/>
          </w:tcPr>
          <w:p>
            <w:pPr>
              <w:pStyle w:val="TableContents"/>
              <w:bidi w:val="0"/>
              <w:spacing w:before="0" w:after="0"/>
              <w:ind w:left="0" w:right="0" w:hanging="0"/>
              <w:jc w:val="center"/>
              <w:rPr/>
            </w:pPr>
            <w:r>
              <w:rPr/>
              <w:t>  ​ ​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2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Total Carrying Value</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64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Quoted Prices in Active Market </w:t>
              <w:br/>
              <w:t>(Level 1)</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91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Significant Other Observable Inputs</w:t>
              <w:br/>
              <w:t>(Level 2)</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96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Significant Other Observable Inputs</w:t>
              <w:br/>
              <w:t>(Level 3)</w:t>
            </w:r>
          </w:p>
        </w:tc>
      </w:tr>
      <w:tr>
        <w:trPr/>
        <w:tc>
          <w:tcPr>
            <w:tcW w:w="16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Assets: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64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91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5" w:type="dxa"/>
            <w:tcBorders/>
            <w:shd w:fill="CCEEFF" w:val="clear"/>
            <w:vAlign w:val="center"/>
          </w:tcPr>
          <w:p>
            <w:pPr>
              <w:pStyle w:val="TableContents"/>
              <w:bidi w:val="0"/>
              <w:spacing w:before="0" w:after="0"/>
              <w:ind w:left="0" w:right="0" w:hanging="0"/>
              <w:jc w:val="left"/>
              <w:rPr/>
            </w:pPr>
            <w:r>
              <w:rPr/>
              <w:t>​</w:t>
            </w:r>
          </w:p>
        </w:tc>
      </w:tr>
      <w:tr>
        <w:trPr/>
        <w:tc>
          <w:tcPr>
            <w:tcW w:w="16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13,038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13,038</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91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965" w:type="dxa"/>
            <w:tcBorders/>
            <w:vAlign w:val="center"/>
          </w:tcPr>
          <w:p>
            <w:pPr>
              <w:pStyle w:val="TableContents"/>
              <w:bidi w:val="0"/>
              <w:spacing w:before="0" w:after="0"/>
              <w:ind w:left="0" w:right="0" w:hanging="0"/>
              <w:jc w:val="right"/>
              <w:rPr/>
            </w:pPr>
            <w:r>
              <w:rPr/>
              <w:t>—</w:t>
            </w:r>
          </w:p>
        </w:tc>
      </w:tr>
      <w:tr>
        <w:trPr/>
        <w:tc>
          <w:tcPr>
            <w:tcW w:w="16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97,603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6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97,603</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1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5" w:type="dxa"/>
            <w:tcBorders/>
            <w:shd w:fill="CCEEFF" w:val="clear"/>
            <w:vAlign w:val="center"/>
          </w:tcPr>
          <w:p>
            <w:pPr>
              <w:pStyle w:val="TableContents"/>
              <w:bidi w:val="0"/>
              <w:spacing w:before="0" w:after="0"/>
              <w:ind w:left="0" w:right="0" w:hanging="0"/>
              <w:jc w:val="right"/>
              <w:rPr/>
            </w:pPr>
            <w:r>
              <w:rPr/>
              <w:t>—</w:t>
            </w:r>
          </w:p>
        </w:tc>
      </w:tr>
      <w:tr>
        <w:trPr/>
        <w:tc>
          <w:tcPr>
            <w:tcW w:w="16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64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1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5" w:type="dxa"/>
            <w:tcBorders/>
            <w:vAlign w:val="center"/>
          </w:tcPr>
          <w:p>
            <w:pPr>
              <w:pStyle w:val="TableContents"/>
              <w:bidi w:val="0"/>
              <w:spacing w:before="0" w:after="0"/>
              <w:ind w:left="0" w:right="0" w:hanging="0"/>
              <w:jc w:val="right"/>
              <w:rPr/>
            </w:pPr>
            <w:r>
              <w:rPr/>
              <w:t>​</w:t>
            </w:r>
          </w:p>
        </w:tc>
      </w:tr>
      <w:tr>
        <w:trPr/>
        <w:tc>
          <w:tcPr>
            <w:tcW w:w="16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64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5,959</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5" w:type="dxa"/>
            <w:tcBorders/>
            <w:shd w:fill="CCEEFF" w:val="clear"/>
            <w:vAlign w:val="center"/>
          </w:tcPr>
          <w:p>
            <w:pPr>
              <w:pStyle w:val="TableContents"/>
              <w:bidi w:val="0"/>
              <w:spacing w:before="0" w:after="0"/>
              <w:ind w:left="0" w:right="0" w:hanging="0"/>
              <w:jc w:val="right"/>
              <w:rPr/>
            </w:pPr>
            <w:r>
              <w:rPr/>
              <w:t>—</w:t>
            </w:r>
          </w:p>
        </w:tc>
      </w:tr>
      <w:tr>
        <w:trPr/>
        <w:tc>
          <w:tcPr>
            <w:tcW w:w="16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debt securities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44,299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64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44,299</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5" w:type="dxa"/>
            <w:tcBorders/>
            <w:vAlign w:val="center"/>
          </w:tcPr>
          <w:p>
            <w:pPr>
              <w:pStyle w:val="TableContents"/>
              <w:bidi w:val="0"/>
              <w:spacing w:before="0" w:after="0"/>
              <w:ind w:left="0" w:right="0" w:hanging="0"/>
              <w:jc w:val="right"/>
              <w:rPr/>
            </w:pPr>
            <w:r>
              <w:rPr/>
              <w:t>—</w:t>
            </w:r>
          </w:p>
        </w:tc>
      </w:tr>
      <w:tr>
        <w:trPr/>
        <w:tc>
          <w:tcPr>
            <w:tcW w:w="16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Government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182,293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6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182,293</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1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5" w:type="dxa"/>
            <w:tcBorders/>
            <w:shd w:fill="CCEEFF" w:val="clear"/>
            <w:vAlign w:val="center"/>
          </w:tcPr>
          <w:p>
            <w:pPr>
              <w:pStyle w:val="TableContents"/>
              <w:bidi w:val="0"/>
              <w:spacing w:before="0" w:after="0"/>
              <w:ind w:left="0" w:right="0" w:hanging="0"/>
              <w:jc w:val="right"/>
              <w:rPr/>
            </w:pPr>
            <w:r>
              <w:rPr/>
              <w:t>—</w:t>
            </w:r>
          </w:p>
        </w:tc>
      </w:tr>
      <w:tr>
        <w:trPr/>
        <w:tc>
          <w:tcPr>
            <w:tcW w:w="16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investments: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64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1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5" w:type="dxa"/>
            <w:tcBorders/>
            <w:vAlign w:val="center"/>
          </w:tcPr>
          <w:p>
            <w:pPr>
              <w:pStyle w:val="TableContents"/>
              <w:bidi w:val="0"/>
              <w:spacing w:before="0" w:after="0"/>
              <w:ind w:left="0" w:right="0" w:hanging="0"/>
              <w:jc w:val="right"/>
              <w:rPr/>
            </w:pPr>
            <w:r>
              <w:rPr/>
              <w:t>​</w:t>
            </w:r>
          </w:p>
        </w:tc>
      </w:tr>
      <w:tr>
        <w:trPr/>
        <w:tc>
          <w:tcPr>
            <w:tcW w:w="16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debt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64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1,467</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5" w:type="dxa"/>
            <w:tcBorders/>
            <w:shd w:fill="CCEEFF" w:val="clear"/>
            <w:vAlign w:val="center"/>
          </w:tcPr>
          <w:p>
            <w:pPr>
              <w:pStyle w:val="TableContents"/>
              <w:bidi w:val="0"/>
              <w:spacing w:before="0" w:after="0"/>
              <w:ind w:left="0" w:right="0" w:hanging="0"/>
              <w:jc w:val="right"/>
              <w:rPr/>
            </w:pPr>
            <w:r>
              <w:rPr/>
              <w:t>—</w:t>
            </w:r>
          </w:p>
        </w:tc>
      </w:tr>
      <w:tr>
        <w:trPr/>
        <w:tc>
          <w:tcPr>
            <w:tcW w:w="16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Government securities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15,805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6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15,805</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1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6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360,464</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308,739</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9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51,725</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96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836" w:name="Tc_4w-7LA9wZUG7F1wY7OBLcQ_6_10"/>
      <w:bookmarkStart w:id="837" w:name="Tc_aWzDGsgXAUWWgs9GWYLAGA_6_7"/>
      <w:bookmarkStart w:id="838" w:name="Tc_4JL2fDJh8kCvXVew0f313w_6_4"/>
      <w:bookmarkStart w:id="839" w:name="Tc_gEnxAl89OU6-Yg5kWrVYug_6_1"/>
      <w:bookmarkStart w:id="840" w:name="Tc_RNTJ57kQ_U-AHjVCeqcpHg_6_0"/>
      <w:bookmarkStart w:id="841" w:name="Tc_tGFIkXA9iEK4XP1tdKC2Bw_5_0"/>
      <w:bookmarkStart w:id="842" w:name="Tc_9fywiaOuLk-u1A4XIpnPrA_4_0"/>
      <w:bookmarkStart w:id="843" w:name="Tc_QKkpwQmWZUSGMbohg_khHg_3_10"/>
      <w:bookmarkStart w:id="844" w:name="Tc_TdiPqk-L-EiSpC-ILbD08Q_3_8"/>
      <w:bookmarkStart w:id="845" w:name="Tc__IIcML3xOk22azi7hIe9lw_3_7"/>
      <w:bookmarkStart w:id="846" w:name="Tc_AWQaC5YkSEW6e82AmNziGw_3_4"/>
      <w:bookmarkStart w:id="847" w:name="Tc_tp1jyVLvnUm7jvqP897JCw_3_1"/>
      <w:bookmarkStart w:id="848" w:name="Tc_ex2l6QVJhEiaHsZzv64kuA_3_0"/>
      <w:bookmarkStart w:id="849" w:name="Tc_GqOQUjAILkC8kgkEVIU9rQ_2_11"/>
      <w:bookmarkStart w:id="850" w:name="Tc_9YdLTFjqYkqenNVG342SiQ_2_8"/>
      <w:bookmarkStart w:id="851" w:name="Tc_Zq-1Hzmb-USoweu5UZe6Lg_2_5"/>
      <w:bookmarkStart w:id="852" w:name="Tc_odS0gHFghUyCWBMUa20eow_2_2"/>
      <w:bookmarkStart w:id="853" w:name="Tc_beIkMQNp9EC17R45spKBjg_1_1"/>
      <w:bookmarkStart w:id="854" w:name="_afe02018_e184_4eba_929b_062a4f406ada"/>
      <w:bookmarkStart w:id="855" w:name="Tc_uvoqLlg_g0ukqoPsrq7ZuQ_6_10"/>
      <w:bookmarkStart w:id="856" w:name="Tc_jrtdDCTrdUWiqEs1P5VCQA_6_7"/>
      <w:bookmarkStart w:id="857" w:name="Tc_XRoYRSD_QkuzeZDvv9uzpA_6_4"/>
      <w:bookmarkStart w:id="858" w:name="Tc_q8xy0UaHDkOJ2tX161F5nw_6_1"/>
      <w:bookmarkStart w:id="859" w:name="Tc_jtNyz7GatUKhruEDHSp7pA_6_0"/>
      <w:bookmarkStart w:id="860" w:name="Tc_boOwr0FWqEa39tNqt8Tjbg_5_0"/>
      <w:bookmarkStart w:id="861" w:name="Tc_m4D8x50HekOOdKfQYTX-Ug_4_0"/>
      <w:bookmarkStart w:id="862" w:name="Tc_kyFui42hJEmu30UAc0OSJA_3_10"/>
      <w:bookmarkStart w:id="863" w:name="Tc_9Kj8ZcikBUWgk7dqjQZSkA_3_7"/>
      <w:bookmarkStart w:id="864" w:name="Tc_U0TZp21Wc0-NmOwxrfeMFw_3_5"/>
      <w:bookmarkStart w:id="865" w:name="Tc_u3n1ECY18UeBnmvy-09S1g_3_4"/>
      <w:bookmarkStart w:id="866" w:name="Tc_ASuxkKYrT0eNn-9_z3iWSw_3_1"/>
      <w:bookmarkStart w:id="867" w:name="Tc_RMxy6jmTqkyKgrQjyDbCdQ_3_0"/>
      <w:bookmarkStart w:id="868" w:name="Tc_V7sCNcMN1Umb5tce53RIKw_2_11"/>
      <w:bookmarkStart w:id="869" w:name="Tc_MV8J47RQgUiOr9v6PHBZDQ_2_8"/>
      <w:bookmarkStart w:id="870" w:name="Tc_bwTp26EcnEOwIN2UPxDzRg_2_5"/>
      <w:bookmarkStart w:id="871" w:name="Tc_GA0GIpmuyUG6vu_NwfIZoQ_2_2"/>
      <w:bookmarkStart w:id="872" w:name="Tc_jaDl7v4syU6E9O7DLR2BQw_1_1"/>
      <w:bookmarkStart w:id="873" w:name="_49c01e5f_6335_424c_a37a_790c47fbdc67"/>
      <w:bookmarkStart w:id="874" w:name="_b29f53c9_eccf_409d_9f06_1de29cc5c515_3"/>
      <w:bookmarkStart w:id="875" w:name="_b29f53c9_eccf_409d_9f06_1de29cc5c515_2"/>
      <w:bookmarkStart w:id="876" w:name="_b29f53c9_eccf_409d_9f06_1de29cc5c515"/>
      <w:bookmarkStart w:id="877" w:name="_e948fdaa_2322_4660_95d4_d78da09dbff1_3"/>
      <w:bookmarkStart w:id="878" w:name="_e948fdaa_2322_4660_95d4_d78da09dbff1_2"/>
      <w:bookmarkStart w:id="879" w:name="_e948fdaa_2322_4660_95d4_d78da09dbff1"/>
      <w:bookmarkStart w:id="880" w:name="_d59af788_788e_4cdb_bd32_5057d66d68ef_3"/>
      <w:bookmarkStart w:id="881" w:name="_d59af788_788e_4cdb_bd32_5057d66d68ef_2"/>
      <w:bookmarkStart w:id="882" w:name="_d59af788_788e_4cdb_bd32_5057d66d68ef"/>
      <w:bookmarkStart w:id="883" w:name="_40a581cc_0806_48a7_a704_5c464eda5b88_3"/>
      <w:bookmarkStart w:id="884" w:name="_40a581cc_0806_48a7_a704_5c464eda5b88_2"/>
      <w:bookmarkStart w:id="885" w:name="_40a581cc_0806_48a7_a704_5c464eda5b88"/>
      <w:bookmarkStart w:id="886" w:name="_e0c58b8a_0482_438d_89e0_732e6f35ba44_3"/>
      <w:bookmarkStart w:id="887" w:name="_e0c58b8a_0482_438d_89e0_732e6f35ba44_2"/>
      <w:bookmarkStart w:id="888" w:name="_e0c58b8a_0482_438d_89e0_732e6f35ba44"/>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r>
        <w:rPr>
          <w:rFonts w:ascii="Times New Roman;Times;serif" w:hAnsi="Times New Roman;Times;serif"/>
          <w:sz w:val="20"/>
        </w:rPr>
        <w:t xml:space="preserve">For information on the fair value of the Company’s long-term liabilities, see </w:t>
      </w:r>
      <w:r>
        <w:rPr>
          <w:rFonts w:ascii="Times New Roman;Times;serif" w:hAnsi="Times New Roman;Times;serif"/>
          <w:i/>
          <w:sz w:val="20"/>
        </w:rPr>
        <w:t xml:space="preserve">Note 6, Long-Term Obligations </w:t>
      </w:r>
      <w:r>
        <w:rPr>
          <w:rFonts w:ascii="Times New Roman;Times;serif" w:hAnsi="Times New Roman;Times;serif"/>
          <w:sz w:val="20"/>
        </w:rPr>
        <w:t xml:space="preserve">and </w:t>
      </w:r>
      <w:r>
        <w:rPr>
          <w:rFonts w:ascii="Times New Roman;Times;serif" w:hAnsi="Times New Roman;Times;serif"/>
          <w:i/>
          <w:sz w:val="20"/>
        </w:rPr>
        <w:t xml:space="preserve">Note 9, Royalty Obligation, </w:t>
      </w:r>
      <w:r>
        <w:rPr>
          <w:rFonts w:ascii="Times New Roman;Times;serif" w:hAnsi="Times New Roman;Times;serif"/>
          <w:sz w:val="20"/>
        </w:rPr>
        <w:t>to these unaudited condensed consolidated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There have been no material impairments of the Company’s assets measured and carried at fair value as of June 30, 2026 and December 31, 2025. In addition, there have been no changes in valuation techniques as of June 30, 2026 and December 31, 2025. The fair value of Level 1 instruments classified as money market funds and government securities are valued using quoted market prices in active markets. The fair value of Level 2 instruments classified as short-term investments was determined using other than quoted prices in active markets, which are either directly or indirectly observable as of the reporting date and fair value is determined using models or other valuation methodologies.  During the six months ended June 30, 2026 and year ended December 31, 2025, there were no transfers between levels.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short and long-term investments are classified as available-for-sale securities. As of June 30, 2026, the remaining contractual maturities of the available-for-sale securities were 1 to 16 months, and the balance in the Company’s accumulated other comprehensive income was comprised of activity related to the Company’s available-for-sale securities. There were no realized gains or losses recognized on the sale or maturity of available-for-sale securities during the three and six months ended June 30, 2026 and 2025. As a result, the Company did not reclassify any amounts out of accumulated other comprehensive income for the same period. The Company had a limited number of available-for-sale securities in insignificant loss positions as of June 30, 2026, which the Company does not intend to sell and has concluded it will not be required to sell before recovery of amortized cost for the investment maturity.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the available-for-sale securities (in thousands):</w:t>
      </w:r>
    </w:p>
    <w:tbl>
      <w:tblPr>
        <w:tblW w:w="9501" w:type="dxa"/>
        <w:jc w:val="left"/>
        <w:tblInd w:w="0" w:type="dxa"/>
        <w:tblLayout w:type="fixed"/>
        <w:tblCellMar>
          <w:top w:w="0" w:type="dxa"/>
          <w:left w:w="0" w:type="dxa"/>
          <w:bottom w:w="0" w:type="dxa"/>
          <w:right w:w="0" w:type="dxa"/>
        </w:tblCellMar>
      </w:tblPr>
      <w:tblGrid>
        <w:gridCol w:w="2146"/>
        <w:gridCol w:w="211"/>
        <w:gridCol w:w="1321"/>
        <w:gridCol w:w="109"/>
        <w:gridCol w:w="211"/>
        <w:gridCol w:w="1921"/>
        <w:gridCol w:w="109"/>
        <w:gridCol w:w="211"/>
        <w:gridCol w:w="1981"/>
        <w:gridCol w:w="109"/>
        <w:gridCol w:w="211"/>
        <w:gridCol w:w="961"/>
      </w:tblGrid>
      <w:tr>
        <w:trPr/>
        <w:tc>
          <w:tcPr>
            <w:tcW w:w="2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838835" cy="175260"/>
                      <wp:effectExtent l="0" t="0" r="0" b="0"/>
                      <wp:wrapNone/>
                      <wp:docPr id="83" name="Frame82"/>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9215" cy="175260"/>
                      <wp:effectExtent l="0" t="0" r="0" b="0"/>
                      <wp:wrapNone/>
                      <wp:docPr id="84" name="Frame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33985" cy="175260"/>
                      <wp:effectExtent l="0" t="0" r="0" b="0"/>
                      <wp:wrapNone/>
                      <wp:docPr id="85" name="Frame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219835" cy="175260"/>
                      <wp:effectExtent l="0" t="0" r="0" b="0"/>
                      <wp:wrapNone/>
                      <wp:docPr id="86" name="Frame85"/>
                      <a:graphic xmlns:a="http://schemas.openxmlformats.org/drawingml/2006/main">
                        <a:graphicData uri="http://schemas.microsoft.com/office/word/2010/wordprocessingShape">
                          <wps:wsp>
                            <wps:cNvSpPr txBox="1"/>
                            <wps:spPr>
                              <a:xfrm>
                                <a:off x="0" y="0"/>
                                <a:ext cx="1219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9215" cy="175260"/>
                      <wp:effectExtent l="0" t="0" r="0" b="0"/>
                      <wp:wrapNone/>
                      <wp:docPr id="87" name="Frame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33985" cy="175260"/>
                      <wp:effectExtent l="0" t="0" r="0" b="0"/>
                      <wp:wrapNone/>
                      <wp:docPr id="88" name="Frame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257935" cy="175260"/>
                      <wp:effectExtent l="0" t="0" r="0" b="0"/>
                      <wp:wrapNone/>
                      <wp:docPr id="89" name="Frame88"/>
                      <a:graphic xmlns:a="http://schemas.openxmlformats.org/drawingml/2006/main">
                        <a:graphicData uri="http://schemas.microsoft.com/office/word/2010/wordprocessingShape">
                          <wps:wsp>
                            <wps:cNvSpPr txBox="1"/>
                            <wps:spPr>
                              <a:xfrm>
                                <a:off x="0" y="0"/>
                                <a:ext cx="1257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9215" cy="175260"/>
                      <wp:effectExtent l="0" t="0" r="0" b="0"/>
                      <wp:wrapNone/>
                      <wp:docPr id="90" name="Frame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33985" cy="175260"/>
                      <wp:effectExtent l="0" t="0" r="0" b="0"/>
                      <wp:wrapNone/>
                      <wp:docPr id="91" name="Frame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10235" cy="175260"/>
                      <wp:effectExtent l="0" t="0" r="0" b="0"/>
                      <wp:wrapNone/>
                      <wp:docPr id="92" name="Frame91"/>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46" w:type="dxa"/>
            <w:tcBorders/>
            <w:vAlign w:val="center"/>
          </w:tcPr>
          <w:p>
            <w:pPr>
              <w:pStyle w:val="TableContents"/>
              <w:bidi w:val="0"/>
              <w:spacing w:before="0" w:after="1"/>
              <w:ind w:left="0" w:right="0" w:hanging="0"/>
              <w:jc w:val="left"/>
              <w:rPr/>
            </w:pPr>
            <w:r>
              <w:rPr/>
              <w:t>​</w:t>
            </w:r>
          </w:p>
        </w:tc>
        <w:tc>
          <w:tcPr>
            <w:tcW w:w="7355"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As of June 30, 2026</w:t>
            </w:r>
          </w:p>
        </w:tc>
      </w:tr>
      <w:tr>
        <w:trPr/>
        <w:tc>
          <w:tcPr>
            <w:tcW w:w="2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3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Amortized Cost</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9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Gross Unrealized Gains</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9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Gross Unrealized Losses</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Fair Value</w:t>
            </w:r>
          </w:p>
        </w:tc>
      </w:tr>
      <w:tr>
        <w:trPr/>
        <w:tc>
          <w:tcPr>
            <w:tcW w:w="21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24,236</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92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9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24,217</w:t>
            </w:r>
          </w:p>
        </w:tc>
      </w:tr>
      <w:tr>
        <w:trPr/>
        <w:tc>
          <w:tcPr>
            <w:tcW w:w="21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debt securities</w:t>
            </w:r>
          </w:p>
        </w:tc>
        <w:tc>
          <w:tcPr>
            <w:tcW w:w="211" w:type="dxa"/>
            <w:tcBorders/>
            <w:vAlign w:val="center"/>
          </w:tcPr>
          <w:p>
            <w:pPr>
              <w:pStyle w:val="TableContents"/>
              <w:bidi w:val="0"/>
              <w:spacing w:before="0" w:after="1"/>
              <w:ind w:left="0" w:right="0" w:hanging="0"/>
              <w:jc w:val="left"/>
              <w:rPr/>
            </w:pPr>
            <w:r>
              <w:rPr/>
              <w:t>​</w:t>
            </w:r>
          </w:p>
        </w:tc>
        <w:tc>
          <w:tcPr>
            <w:tcW w:w="13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95,670</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9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9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95,550</w:t>
            </w:r>
          </w:p>
        </w:tc>
      </w:tr>
      <w:tr>
        <w:trPr/>
        <w:tc>
          <w:tcPr>
            <w:tcW w:w="21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Government securities</w:t>
            </w:r>
          </w:p>
        </w:tc>
        <w:tc>
          <w:tcPr>
            <w:tcW w:w="211" w:type="dxa"/>
            <w:tcBorders/>
            <w:shd w:fill="CCEEFF" w:val="clear"/>
            <w:vAlign w:val="center"/>
          </w:tcPr>
          <w:p>
            <w:pPr>
              <w:pStyle w:val="TableContents"/>
              <w:bidi w:val="0"/>
              <w:spacing w:before="0" w:after="1"/>
              <w:ind w:left="0" w:right="0" w:hanging="0"/>
              <w:jc w:val="left"/>
              <w:rPr/>
            </w:pPr>
            <w:r>
              <w:rPr/>
              <w:t>​</w:t>
            </w:r>
          </w:p>
        </w:tc>
        <w:tc>
          <w:tcPr>
            <w:tcW w:w="13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358,340</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9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9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(796)</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357,545</w:t>
            </w:r>
          </w:p>
        </w:tc>
      </w:tr>
      <w:tr>
        <w:trPr/>
        <w:tc>
          <w:tcPr>
            <w:tcW w:w="21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478,246</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9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9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(937)</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477,312</w:t>
            </w:r>
          </w:p>
        </w:tc>
      </w:tr>
    </w:tbl>
    <w:p>
      <w:pPr>
        <w:pStyle w:val="TextBody"/>
        <w:bidi w:val="0"/>
        <w:spacing w:before="0" w:after="240"/>
        <w:ind w:left="0" w:right="0" w:hanging="0"/>
        <w:jc w:val="both"/>
        <w:rPr/>
      </w:pPr>
      <w:r>
        <w:rPr/>
        <w:t>​</w:t>
      </w:r>
    </w:p>
    <w:tbl>
      <w:tblPr>
        <w:tblW w:w="9501" w:type="dxa"/>
        <w:jc w:val="left"/>
        <w:tblInd w:w="0" w:type="dxa"/>
        <w:tblLayout w:type="fixed"/>
        <w:tblCellMar>
          <w:top w:w="0" w:type="dxa"/>
          <w:left w:w="0" w:type="dxa"/>
          <w:bottom w:w="0" w:type="dxa"/>
          <w:right w:w="0" w:type="dxa"/>
        </w:tblCellMar>
      </w:tblPr>
      <w:tblGrid>
        <w:gridCol w:w="2146"/>
        <w:gridCol w:w="211"/>
        <w:gridCol w:w="1321"/>
        <w:gridCol w:w="109"/>
        <w:gridCol w:w="211"/>
        <w:gridCol w:w="1921"/>
        <w:gridCol w:w="109"/>
        <w:gridCol w:w="211"/>
        <w:gridCol w:w="1981"/>
        <w:gridCol w:w="109"/>
        <w:gridCol w:w="211"/>
        <w:gridCol w:w="961"/>
      </w:tblGrid>
      <w:tr>
        <w:trPr/>
        <w:tc>
          <w:tcPr>
            <w:tcW w:w="2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838835" cy="175260"/>
                      <wp:effectExtent l="0" t="0" r="0" b="0"/>
                      <wp:wrapNone/>
                      <wp:docPr id="93" name="Frame92"/>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9215" cy="175260"/>
                      <wp:effectExtent l="0" t="0" r="0" b="0"/>
                      <wp:wrapNone/>
                      <wp:docPr id="94" name="Frame9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33985" cy="175260"/>
                      <wp:effectExtent l="0" t="0" r="0" b="0"/>
                      <wp:wrapNone/>
                      <wp:docPr id="95" name="Frame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219835" cy="175260"/>
                      <wp:effectExtent l="0" t="0" r="0" b="0"/>
                      <wp:wrapNone/>
                      <wp:docPr id="96" name="Frame95"/>
                      <a:graphic xmlns:a="http://schemas.openxmlformats.org/drawingml/2006/main">
                        <a:graphicData uri="http://schemas.microsoft.com/office/word/2010/wordprocessingShape">
                          <wps:wsp>
                            <wps:cNvSpPr txBox="1"/>
                            <wps:spPr>
                              <a:xfrm>
                                <a:off x="0" y="0"/>
                                <a:ext cx="1219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9215" cy="175260"/>
                      <wp:effectExtent l="0" t="0" r="0" b="0"/>
                      <wp:wrapNone/>
                      <wp:docPr id="97" name="Frame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33985" cy="175260"/>
                      <wp:effectExtent l="0" t="0" r="0" b="0"/>
                      <wp:wrapNone/>
                      <wp:docPr id="98" name="Frame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257935" cy="175260"/>
                      <wp:effectExtent l="0" t="0" r="0" b="0"/>
                      <wp:wrapNone/>
                      <wp:docPr id="99" name="Frame98"/>
                      <a:graphic xmlns:a="http://schemas.openxmlformats.org/drawingml/2006/main">
                        <a:graphicData uri="http://schemas.microsoft.com/office/word/2010/wordprocessingShape">
                          <wps:wsp>
                            <wps:cNvSpPr txBox="1"/>
                            <wps:spPr>
                              <a:xfrm>
                                <a:off x="0" y="0"/>
                                <a:ext cx="1257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9215" cy="175260"/>
                      <wp:effectExtent l="0" t="0" r="0" b="0"/>
                      <wp:wrapNone/>
                      <wp:docPr id="100" name="Frame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33985" cy="175260"/>
                      <wp:effectExtent l="0" t="0" r="0" b="0"/>
                      <wp:wrapNone/>
                      <wp:docPr id="101" name="Frame1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10235" cy="175260"/>
                      <wp:effectExtent l="0" t="0" r="0" b="0"/>
                      <wp:wrapNone/>
                      <wp:docPr id="102" name="Frame101"/>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46" w:type="dxa"/>
            <w:tcBorders/>
            <w:vAlign w:val="center"/>
          </w:tcPr>
          <w:p>
            <w:pPr>
              <w:pStyle w:val="TableContents"/>
              <w:bidi w:val="0"/>
              <w:spacing w:before="0" w:after="0"/>
              <w:ind w:left="0" w:right="0" w:hanging="0"/>
              <w:jc w:val="left"/>
              <w:rPr/>
            </w:pPr>
            <w:r>
              <w:rPr/>
              <w:t>​</w:t>
            </w:r>
          </w:p>
        </w:tc>
        <w:tc>
          <w:tcPr>
            <w:tcW w:w="7355"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 December 31, 2025</w:t>
            </w:r>
          </w:p>
        </w:tc>
      </w:tr>
      <w:tr>
        <w:trPr/>
        <w:tc>
          <w:tcPr>
            <w:tcW w:w="2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Amortized Cost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9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Gross Unrealized Gains</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9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Gross Unrealized Losses</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Fair Value</w:t>
            </w:r>
          </w:p>
        </w:tc>
      </w:tr>
      <w:tr>
        <w:trPr/>
        <w:tc>
          <w:tcPr>
            <w:tcW w:w="2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5,957</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9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9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5,959</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debt securities</w:t>
            </w:r>
          </w:p>
        </w:tc>
        <w:tc>
          <w:tcPr>
            <w:tcW w:w="211"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45,740</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9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9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45,766</w:t>
            </w:r>
          </w:p>
        </w:tc>
      </w:tr>
      <w:tr>
        <w:trPr/>
        <w:tc>
          <w:tcPr>
            <w:tcW w:w="2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Government securities</w:t>
            </w:r>
          </w:p>
        </w:tc>
        <w:tc>
          <w:tcPr>
            <w:tcW w:w="211" w:type="dxa"/>
            <w:tcBorders/>
            <w:shd w:fill="CCEEFF" w:val="clear"/>
            <w:vAlign w:val="center"/>
          </w:tcPr>
          <w:p>
            <w:pPr>
              <w:pStyle w:val="TableContents"/>
              <w:bidi w:val="0"/>
              <w:spacing w:before="0" w:after="0"/>
              <w:ind w:left="0" w:right="0" w:hanging="0"/>
              <w:jc w:val="left"/>
              <w:rPr/>
            </w:pPr>
            <w:r>
              <w:rPr/>
              <w:t>​</w:t>
            </w:r>
          </w:p>
        </w:tc>
        <w:tc>
          <w:tcPr>
            <w:tcW w:w="13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197,939</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9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9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198,098</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249,636</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9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9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249,823</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Certain short-term debt securities with original maturities of less than 90 days are included in cash and cash equivalents on the condensed consolidated balance sheets and are not included in the table above. </w:t>
      </w:r>
    </w:p>
    <w:p>
      <w:pPr>
        <w:pStyle w:val="TextBody"/>
        <w:bidi w:val="0"/>
        <w:spacing w:before="0" w:after="240"/>
        <w:ind w:left="0" w:right="0" w:hanging="0"/>
        <w:jc w:val="left"/>
        <w:rPr>
          <w:rFonts w:ascii="Times New Roman;Times;serif" w:hAnsi="Times New Roman;Times;serif"/>
          <w:b/>
          <w:sz w:val="20"/>
        </w:rPr>
      </w:pPr>
      <w:bookmarkStart w:id="889" w:name="Tc_RsaarfxLmE2Ew9eetEDJ3g_5_5"/>
      <w:bookmarkStart w:id="890" w:name="Tc_KZqO3XE0V0W4oUnBgAohjQ_5_2"/>
      <w:bookmarkStart w:id="891" w:name="Tc_GugnTPZ72kicTJv9d5R6rg_5_0"/>
      <w:bookmarkStart w:id="892" w:name="Tc_X2uJHpbpyEShgeGxKxlbgg_4_0"/>
      <w:bookmarkStart w:id="893" w:name="Tc_0SkRIJXPt0ubf9w9LPNluQ_3_0"/>
      <w:bookmarkStart w:id="894" w:name="Tc_uktigmGxL0SaEZ02r3l9vQ_2_5"/>
      <w:bookmarkStart w:id="895" w:name="Tc_7vZd68Xc5UaOqAJUfp5Teg_2_2"/>
      <w:bookmarkStart w:id="896" w:name="Tc_gt1IpVAerUGJCowTXfwmRg_2_0"/>
      <w:bookmarkStart w:id="897" w:name="Tc_hiaiUCwBH0u3nZq52vtYWA_1_5"/>
      <w:bookmarkStart w:id="898" w:name="Tc_Rtp8ycTDeUa7shRdbPfMEw_1_2"/>
      <w:bookmarkEnd w:id="889"/>
      <w:bookmarkEnd w:id="890"/>
      <w:bookmarkEnd w:id="891"/>
      <w:bookmarkEnd w:id="892"/>
      <w:bookmarkEnd w:id="893"/>
      <w:bookmarkEnd w:id="894"/>
      <w:bookmarkEnd w:id="895"/>
      <w:bookmarkEnd w:id="896"/>
      <w:bookmarkEnd w:id="897"/>
      <w:bookmarkEnd w:id="898"/>
      <w:r>
        <w:rPr>
          <w:rFonts w:ascii="Times New Roman;Times;serif" w:hAnsi="Times New Roman;Times;serif"/>
          <w:b/>
          <w:i w:val="false"/>
          <w:caps w:val="false"/>
          <w:smallCaps w:val="false"/>
          <w:sz w:val="20"/>
        </w:rPr>
        <w:t>4.</w:t>
      </w:r>
      <w:r>
        <w:rPr>
          <w:rFonts w:ascii="Times New Roman;Times;serif" w:hAnsi="Times New Roman;Times;serif"/>
          <w:b/>
          <w:sz w:val="20"/>
        </w:rPr>
        <w:t>Other Non-Current Assets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Other non-current assets consisted of the following (in thousands):</w:t>
      </w:r>
    </w:p>
    <w:p>
      <w:pPr>
        <w:pStyle w:val="TextBody"/>
        <w:bidi w:val="0"/>
        <w:spacing w:before="0" w:after="0"/>
        <w:ind w:left="0" w:right="0" w:hanging="0"/>
        <w:jc w:val="left"/>
        <w:rPr/>
      </w:pPr>
      <w:r>
        <w:rPr/>
        <w:t>​</w:t>
      </w:r>
    </w:p>
    <w:tbl>
      <w:tblPr>
        <w:tblW w:w="5388" w:type="dxa"/>
        <w:jc w:val="left"/>
        <w:tblInd w:w="0" w:type="dxa"/>
        <w:tblLayout w:type="fixed"/>
        <w:tblCellMar>
          <w:top w:w="0" w:type="dxa"/>
          <w:left w:w="0" w:type="dxa"/>
          <w:bottom w:w="0" w:type="dxa"/>
          <w:right w:w="0" w:type="dxa"/>
        </w:tblCellMar>
      </w:tblPr>
      <w:tblGrid>
        <w:gridCol w:w="1951"/>
        <w:gridCol w:w="346"/>
        <w:gridCol w:w="274"/>
        <w:gridCol w:w="881"/>
        <w:gridCol w:w="346"/>
        <w:gridCol w:w="338"/>
        <w:gridCol w:w="1252"/>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238885" cy="175260"/>
                      <wp:effectExtent l="0" t="0" r="0" b="0"/>
                      <wp:wrapNone/>
                      <wp:docPr id="103" name="Frame102"/>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19710" cy="175260"/>
                      <wp:effectExtent l="0" t="0" r="0" b="0"/>
                      <wp:wrapNone/>
                      <wp:docPr id="104" name="Frame1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73990" cy="175260"/>
                      <wp:effectExtent l="0" t="0" r="0" b="0"/>
                      <wp:wrapNone/>
                      <wp:docPr id="105" name="Frame104"/>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559435" cy="175260"/>
                      <wp:effectExtent l="0" t="0" r="0" b="0"/>
                      <wp:wrapNone/>
                      <wp:docPr id="106" name="Frame105"/>
                      <a:graphic xmlns:a="http://schemas.openxmlformats.org/drawingml/2006/main">
                        <a:graphicData uri="http://schemas.microsoft.com/office/word/2010/wordprocessingShape">
                          <wps:wsp>
                            <wps:cNvSpPr txBox="1"/>
                            <wps:spPr>
                              <a:xfrm>
                                <a:off x="0" y="0"/>
                                <a:ext cx="559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19710" cy="175260"/>
                      <wp:effectExtent l="0" t="0" r="0" b="0"/>
                      <wp:wrapNone/>
                      <wp:docPr id="107" name="Frame1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14630" cy="175260"/>
                      <wp:effectExtent l="0" t="0" r="0" b="0"/>
                      <wp:wrapNone/>
                      <wp:docPr id="108" name="Frame107"/>
                      <a:graphic xmlns:a="http://schemas.openxmlformats.org/drawingml/2006/main">
                        <a:graphicData uri="http://schemas.microsoft.com/office/word/2010/wordprocessingShape">
                          <wps:wsp>
                            <wps:cNvSpPr txBox="1"/>
                            <wps:spPr>
                              <a:xfrm>
                                <a:off x="0" y="0"/>
                                <a:ext cx="2146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795020" cy="175260"/>
                      <wp:effectExtent l="0" t="0" r="0" b="0"/>
                      <wp:wrapNone/>
                      <wp:docPr id="109" name="Frame108"/>
                      <a:graphic xmlns:a="http://schemas.openxmlformats.org/drawingml/2006/main">
                        <a:graphicData uri="http://schemas.microsoft.com/office/word/2010/wordprocessingShape">
                          <wps:wsp>
                            <wps:cNvSpPr txBox="1"/>
                            <wps:spPr>
                              <a:xfrm>
                                <a:off x="0" y="0"/>
                                <a:ext cx="795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2026</w:t>
            </w:r>
          </w:p>
        </w:tc>
        <w:tc>
          <w:tcPr>
            <w:tcW w:w="346" w:type="dxa"/>
            <w:tcBorders/>
            <w:vAlign w:val="center"/>
          </w:tcPr>
          <w:p>
            <w:pPr>
              <w:pStyle w:val="TableContents"/>
              <w:bidi w:val="0"/>
              <w:spacing w:before="0" w:after="1"/>
              <w:ind w:left="0" w:right="0" w:hanging="0"/>
              <w:jc w:val="center"/>
              <w:rPr/>
            </w:pPr>
            <w:r>
              <w:rPr/>
              <w:t>  ​ ​ ​</w:t>
            </w:r>
          </w:p>
        </w:tc>
        <w:tc>
          <w:tcPr>
            <w:tcW w:w="15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31, 2025</w:t>
            </w:r>
          </w:p>
        </w:tc>
      </w:tr>
      <w:tr>
        <w:trPr/>
        <w:tc>
          <w:tcPr>
            <w:tcW w:w="19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Clinical trial deposits</w:t>
            </w:r>
          </w:p>
        </w:tc>
        <w:tc>
          <w:tcPr>
            <w:tcW w:w="346"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15,716</w:t>
            </w:r>
          </w:p>
        </w:tc>
        <w:tc>
          <w:tcPr>
            <w:tcW w:w="346" w:type="dxa"/>
            <w:tcBorders/>
            <w:shd w:fill="CCEEFF" w:val="clear"/>
            <w:vAlign w:val="center"/>
          </w:tcPr>
          <w:p>
            <w:pPr>
              <w:pStyle w:val="TableContents"/>
              <w:bidi w:val="0"/>
              <w:spacing w:before="0" w:after="1"/>
              <w:ind w:left="0" w:right="0" w:hanging="0"/>
              <w:jc w:val="right"/>
              <w:rPr>
                <w:color w:val="FF0000"/>
              </w:rPr>
            </w:pPr>
            <w:r>
              <w:rPr>
                <w:color w:val="FF0000"/>
              </w:rPr>
              <w:t>​</w:t>
            </w:r>
          </w:p>
        </w:tc>
        <w:tc>
          <w:tcPr>
            <w:tcW w:w="33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12,882</w:t>
            </w:r>
          </w:p>
        </w:tc>
      </w:tr>
      <w:tr>
        <w:trPr/>
        <w:tc>
          <w:tcPr>
            <w:tcW w:w="19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offering costs</w:t>
            </w:r>
          </w:p>
        </w:tc>
        <w:tc>
          <w:tcPr>
            <w:tcW w:w="346"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pPr>
            <w:r>
              <w:rPr/>
              <w:t>​</w:t>
            </w:r>
          </w:p>
        </w:tc>
        <w:tc>
          <w:tcPr>
            <w:tcW w:w="8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486</w:t>
            </w:r>
          </w:p>
        </w:tc>
        <w:tc>
          <w:tcPr>
            <w:tcW w:w="346" w:type="dxa"/>
            <w:tcBorders/>
            <w:vAlign w:val="center"/>
          </w:tcPr>
          <w:p>
            <w:pPr>
              <w:pStyle w:val="TableContents"/>
              <w:bidi w:val="0"/>
              <w:spacing w:before="0" w:after="1"/>
              <w:ind w:left="0" w:right="0" w:hanging="0"/>
              <w:jc w:val="right"/>
              <w:rPr>
                <w:color w:val="FF0000"/>
              </w:rPr>
            </w:pPr>
            <w:r>
              <w:rPr>
                <w:color w:val="FF0000"/>
              </w:rPr>
              <w:t>​</w:t>
            </w:r>
          </w:p>
        </w:tc>
        <w:tc>
          <w:tcPr>
            <w:tcW w:w="338" w:type="dxa"/>
            <w:tcBorders/>
            <w:vAlign w:val="center"/>
          </w:tcPr>
          <w:p>
            <w:pPr>
              <w:pStyle w:val="TableContents"/>
              <w:bidi w:val="0"/>
              <w:spacing w:before="0" w:after="1"/>
              <w:ind w:left="0" w:right="0" w:hanging="0"/>
              <w:jc w:val="left"/>
              <w:rPr/>
            </w:pPr>
            <w:r>
              <w:rPr/>
              <w:t>​</w:t>
            </w:r>
          </w:p>
        </w:tc>
        <w:tc>
          <w:tcPr>
            <w:tcW w:w="12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709</w:t>
            </w:r>
          </w:p>
        </w:tc>
      </w:tr>
      <w:tr>
        <w:trPr/>
        <w:tc>
          <w:tcPr>
            <w:tcW w:w="19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pPr>
            <w:r>
              <w:rPr/>
              <w:t>​</w:t>
            </w:r>
          </w:p>
        </w:tc>
        <w:tc>
          <w:tcPr>
            <w:tcW w:w="8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w:t>
            </w:r>
          </w:p>
        </w:tc>
        <w:tc>
          <w:tcPr>
            <w:tcW w:w="346" w:type="dxa"/>
            <w:tcBorders/>
            <w:shd w:fill="CCEEFF" w:val="clear"/>
            <w:vAlign w:val="center"/>
          </w:tcPr>
          <w:p>
            <w:pPr>
              <w:pStyle w:val="TableContents"/>
              <w:bidi w:val="0"/>
              <w:spacing w:before="0" w:after="1"/>
              <w:ind w:left="0" w:right="0" w:hanging="0"/>
              <w:jc w:val="right"/>
              <w:rPr>
                <w:color w:val="FF0000"/>
              </w:rPr>
            </w:pPr>
            <w:r>
              <w:rPr>
                <w:color w:val="FF0000"/>
              </w:rPr>
              <w:t>​</w:t>
            </w:r>
          </w:p>
        </w:tc>
        <w:tc>
          <w:tcPr>
            <w:tcW w:w="338" w:type="dxa"/>
            <w:tcBorders/>
            <w:shd w:fill="CCEEFF" w:val="clear"/>
            <w:vAlign w:val="center"/>
          </w:tcPr>
          <w:p>
            <w:pPr>
              <w:pStyle w:val="TableContents"/>
              <w:bidi w:val="0"/>
              <w:spacing w:before="0" w:after="1"/>
              <w:ind w:left="0" w:right="0" w:hanging="0"/>
              <w:jc w:val="left"/>
              <w:rPr/>
            </w:pPr>
            <w:r>
              <w:rPr/>
              <w:t>​</w:t>
            </w:r>
          </w:p>
        </w:tc>
        <w:tc>
          <w:tcPr>
            <w:tcW w:w="12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w:t>
            </w:r>
          </w:p>
        </w:tc>
      </w:tr>
      <w:tr>
        <w:trPr/>
        <w:tc>
          <w:tcPr>
            <w:tcW w:w="19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assets</w:t>
            </w:r>
          </w:p>
        </w:tc>
        <w:tc>
          <w:tcPr>
            <w:tcW w:w="346"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16,289</w:t>
            </w:r>
          </w:p>
        </w:tc>
        <w:tc>
          <w:tcPr>
            <w:tcW w:w="346" w:type="dxa"/>
            <w:tcBorders/>
            <w:vAlign w:val="center"/>
          </w:tcPr>
          <w:p>
            <w:pPr>
              <w:pStyle w:val="TableContents"/>
              <w:bidi w:val="0"/>
              <w:spacing w:before="0" w:after="1"/>
              <w:ind w:left="0" w:right="0" w:hanging="0"/>
              <w:jc w:val="left"/>
              <w:rPr/>
            </w:pPr>
            <w:r>
              <w:rPr/>
              <w:t>​</w:t>
            </w:r>
          </w:p>
        </w:tc>
        <w:tc>
          <w:tcPr>
            <w:tcW w:w="33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2"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13,809</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899" w:name="Tc_ORpyN1AwQUKe8qWAkJh6oQ_8_4"/>
      <w:bookmarkStart w:id="900" w:name="Tc_g_-dsXbpwUimw5lhjnnS7Q_8_1"/>
      <w:bookmarkStart w:id="901" w:name="Tc_j9jCKzGjy0impXgJGEX_nQ_8_0"/>
      <w:bookmarkStart w:id="902" w:name="Tc_NFSxwxoocUawz1ongFD-XA_7_0"/>
      <w:bookmarkStart w:id="903" w:name="Tc_kor3wFf4n0Cxp35moUPPvQ_6_2"/>
      <w:bookmarkStart w:id="904" w:name="Tc_UmpGnPQkoUKFGpnK7Gfq7A_6_0"/>
      <w:bookmarkStart w:id="905" w:name="Tc_qAiZgKph30ii9esxHBWOFw_5_5"/>
      <w:bookmarkStart w:id="906" w:name="Tc_wsDPzeEH3ECKtt3PIs61rw_5_0"/>
      <w:bookmarkStart w:id="907" w:name="Tc_SvUYoRPswEm-Wh016FA6YQ_4_0"/>
      <w:bookmarkStart w:id="908" w:name="Tc_Mor_LZjEY0qOAT-JHUwpTQ_3_0"/>
      <w:bookmarkStart w:id="909" w:name="Tc_ht_9c-YIx0KF4agVYKgDxA_2_4"/>
      <w:bookmarkStart w:id="910" w:name="Tc_bBkjJw7lOUCxZQthwbIgIg_2_1"/>
      <w:bookmarkStart w:id="911" w:name="Tc__b_oztIB-06x6N6lPJdsSQ_2_0"/>
      <w:bookmarkStart w:id="912" w:name="Tc_M6TgMgeIAEeM2MnzCZt-Pw_1_4"/>
      <w:bookmarkStart w:id="913" w:name="Tc_uRlNyxbwckCvQC9FPQWu9g_1_1"/>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r>
        <w:rPr>
          <w:rFonts w:ascii="Times New Roman;Times;serif" w:hAnsi="Times New Roman;Times;serif"/>
          <w:b/>
          <w:i w:val="false"/>
          <w:caps w:val="false"/>
          <w:smallCaps w:val="false"/>
          <w:sz w:val="20"/>
        </w:rPr>
        <w:t>5.</w:t>
      </w:r>
      <w:r>
        <w:rPr>
          <w:rFonts w:ascii="Times New Roman;Times;serif" w:hAnsi="Times New Roman;Times;serif"/>
          <w:b/>
          <w:sz w:val="20"/>
        </w:rPr>
        <w:t>Accrued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Accrued expenses consisted of the following (in thousands):</w:t>
      </w:r>
    </w:p>
    <w:p>
      <w:pPr>
        <w:pStyle w:val="TextBody"/>
        <w:bidi w:val="0"/>
        <w:spacing w:before="0" w:after="0"/>
        <w:ind w:left="0" w:right="0" w:hanging="0"/>
        <w:jc w:val="left"/>
        <w:rPr/>
      </w:pPr>
      <w:r>
        <w:rPr/>
        <w:t>​</w:t>
      </w:r>
    </w:p>
    <w:tbl>
      <w:tblPr>
        <w:tblW w:w="8117" w:type="dxa"/>
        <w:jc w:val="left"/>
        <w:tblInd w:w="0" w:type="dxa"/>
        <w:tblLayout w:type="fixed"/>
        <w:tblCellMar>
          <w:top w:w="0" w:type="dxa"/>
          <w:left w:w="0" w:type="dxa"/>
          <w:bottom w:w="0" w:type="dxa"/>
          <w:right w:w="0" w:type="dxa"/>
        </w:tblCellMar>
      </w:tblPr>
      <w:tblGrid>
        <w:gridCol w:w="5026"/>
        <w:gridCol w:w="274"/>
        <w:gridCol w:w="881"/>
        <w:gridCol w:w="346"/>
        <w:gridCol w:w="338"/>
        <w:gridCol w:w="1252"/>
      </w:tblGrid>
      <w:tr>
        <w:trPr/>
        <w:tc>
          <w:tcPr>
            <w:tcW w:w="5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3191510" cy="175260"/>
                      <wp:effectExtent l="0" t="0" r="0" b="0"/>
                      <wp:wrapNone/>
                      <wp:docPr id="110" name="Frame109"/>
                      <a:graphic xmlns:a="http://schemas.openxmlformats.org/drawingml/2006/main">
                        <a:graphicData uri="http://schemas.microsoft.com/office/word/2010/wordprocessingShape">
                          <wps:wsp>
                            <wps:cNvSpPr txBox="1"/>
                            <wps:spPr>
                              <a:xfrm>
                                <a:off x="0" y="0"/>
                                <a:ext cx="3191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73990" cy="175260"/>
                      <wp:effectExtent l="0" t="0" r="0" b="0"/>
                      <wp:wrapNone/>
                      <wp:docPr id="111" name="Frame110"/>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559435" cy="175260"/>
                      <wp:effectExtent l="0" t="0" r="0" b="0"/>
                      <wp:wrapNone/>
                      <wp:docPr id="112" name="Frame111"/>
                      <a:graphic xmlns:a="http://schemas.openxmlformats.org/drawingml/2006/main">
                        <a:graphicData uri="http://schemas.microsoft.com/office/word/2010/wordprocessingShape">
                          <wps:wsp>
                            <wps:cNvSpPr txBox="1"/>
                            <wps:spPr>
                              <a:xfrm>
                                <a:off x="0" y="0"/>
                                <a:ext cx="559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19710" cy="175260"/>
                      <wp:effectExtent l="0" t="0" r="0" b="0"/>
                      <wp:wrapNone/>
                      <wp:docPr id="113" name="Frame1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14630" cy="175260"/>
                      <wp:effectExtent l="0" t="0" r="0" b="0"/>
                      <wp:wrapNone/>
                      <wp:docPr id="114" name="Frame113"/>
                      <a:graphic xmlns:a="http://schemas.openxmlformats.org/drawingml/2006/main">
                        <a:graphicData uri="http://schemas.microsoft.com/office/word/2010/wordprocessingShape">
                          <wps:wsp>
                            <wps:cNvSpPr txBox="1"/>
                            <wps:spPr>
                              <a:xfrm>
                                <a:off x="0" y="0"/>
                                <a:ext cx="2146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795020" cy="175260"/>
                      <wp:effectExtent l="0" t="0" r="0" b="0"/>
                      <wp:wrapNone/>
                      <wp:docPr id="115" name="Frame114"/>
                      <a:graphic xmlns:a="http://schemas.openxmlformats.org/drawingml/2006/main">
                        <a:graphicData uri="http://schemas.microsoft.com/office/word/2010/wordprocessingShape">
                          <wps:wsp>
                            <wps:cNvSpPr txBox="1"/>
                            <wps:spPr>
                              <a:xfrm>
                                <a:off x="0" y="0"/>
                                <a:ext cx="795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026" w:type="dxa"/>
            <w:tcBorders/>
            <w:shd w:fill="FFFFFF" w:val="clear"/>
            <w:vAlign w:val="center"/>
          </w:tcPr>
          <w:p>
            <w:pPr>
              <w:pStyle w:val="TableContents"/>
              <w:bidi w:val="0"/>
              <w:spacing w:before="0" w:after="1"/>
              <w:ind w:left="0" w:right="0" w:hanging="0"/>
              <w:jc w:val="left"/>
              <w:rPr/>
            </w:pPr>
            <w:r>
              <w:rPr/>
              <w:t>​</w:t>
            </w:r>
          </w:p>
        </w:tc>
        <w:tc>
          <w:tcPr>
            <w:tcW w:w="1155"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2026</w:t>
            </w:r>
          </w:p>
        </w:tc>
        <w:tc>
          <w:tcPr>
            <w:tcW w:w="346" w:type="dxa"/>
            <w:tcBorders/>
            <w:shd w:fill="FFFFFF" w:val="clear"/>
            <w:vAlign w:val="center"/>
          </w:tcPr>
          <w:p>
            <w:pPr>
              <w:pStyle w:val="TableContents"/>
              <w:bidi w:val="0"/>
              <w:spacing w:before="0" w:after="1"/>
              <w:ind w:left="0" w:right="0" w:hanging="0"/>
              <w:jc w:val="center"/>
              <w:rPr/>
            </w:pPr>
            <w:r>
              <w:rPr/>
              <w:t>  ​ ​ ​</w:t>
            </w:r>
          </w:p>
        </w:tc>
        <w:tc>
          <w:tcPr>
            <w:tcW w:w="1590"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31, 2025</w:t>
            </w:r>
          </w:p>
        </w:tc>
      </w:tr>
      <w:tr>
        <w:trPr/>
        <w:tc>
          <w:tcPr>
            <w:tcW w:w="50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External research, development and manufacturing expenses</w:t>
            </w:r>
          </w:p>
        </w:tc>
        <w:tc>
          <w:tcPr>
            <w:tcW w:w="2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43,632</w:t>
            </w:r>
          </w:p>
        </w:tc>
        <w:tc>
          <w:tcPr>
            <w:tcW w:w="346" w:type="dxa"/>
            <w:tcBorders/>
            <w:shd w:fill="CCEEFF" w:val="clear"/>
            <w:vAlign w:val="center"/>
          </w:tcPr>
          <w:p>
            <w:pPr>
              <w:pStyle w:val="TableContents"/>
              <w:bidi w:val="0"/>
              <w:spacing w:before="0" w:after="1"/>
              <w:ind w:left="0" w:right="0" w:hanging="0"/>
              <w:jc w:val="right"/>
              <w:rPr/>
            </w:pPr>
            <w:r>
              <w:rPr/>
              <w:t>​</w:t>
            </w:r>
          </w:p>
        </w:tc>
        <w:tc>
          <w:tcPr>
            <w:tcW w:w="33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38,855</w:t>
            </w:r>
          </w:p>
        </w:tc>
      </w:tr>
      <w:tr>
        <w:trPr/>
        <w:tc>
          <w:tcPr>
            <w:tcW w:w="50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Employee compensation and benefits</w:t>
            </w:r>
          </w:p>
        </w:tc>
        <w:tc>
          <w:tcPr>
            <w:tcW w:w="274" w:type="dxa"/>
            <w:tcBorders/>
            <w:vAlign w:val="center"/>
          </w:tcPr>
          <w:p>
            <w:pPr>
              <w:pStyle w:val="TableContents"/>
              <w:bidi w:val="0"/>
              <w:spacing w:before="0" w:after="1"/>
              <w:ind w:left="0" w:right="0" w:hanging="0"/>
              <w:jc w:val="left"/>
              <w:rPr/>
            </w:pPr>
            <w:r>
              <w:rPr/>
              <w:t>​</w:t>
            </w:r>
          </w:p>
        </w:tc>
        <w:tc>
          <w:tcPr>
            <w:tcW w:w="8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9,836</w:t>
            </w:r>
          </w:p>
        </w:tc>
        <w:tc>
          <w:tcPr>
            <w:tcW w:w="346" w:type="dxa"/>
            <w:tcBorders/>
            <w:vAlign w:val="center"/>
          </w:tcPr>
          <w:p>
            <w:pPr>
              <w:pStyle w:val="TableContents"/>
              <w:bidi w:val="0"/>
              <w:spacing w:before="0" w:after="1"/>
              <w:ind w:left="0" w:right="0" w:hanging="0"/>
              <w:jc w:val="right"/>
              <w:rPr/>
            </w:pPr>
            <w:r>
              <w:rPr/>
              <w:t>​</w:t>
            </w:r>
          </w:p>
        </w:tc>
        <w:tc>
          <w:tcPr>
            <w:tcW w:w="338" w:type="dxa"/>
            <w:tcBorders/>
            <w:vAlign w:val="center"/>
          </w:tcPr>
          <w:p>
            <w:pPr>
              <w:pStyle w:val="TableContents"/>
              <w:bidi w:val="0"/>
              <w:spacing w:before="0" w:after="1"/>
              <w:ind w:left="0" w:right="0" w:hanging="0"/>
              <w:jc w:val="left"/>
              <w:rPr/>
            </w:pPr>
            <w:r>
              <w:rPr/>
              <w:t>​</w:t>
            </w:r>
          </w:p>
        </w:tc>
        <w:tc>
          <w:tcPr>
            <w:tcW w:w="12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13,080</w:t>
            </w:r>
          </w:p>
        </w:tc>
      </w:tr>
      <w:tr>
        <w:trPr/>
        <w:tc>
          <w:tcPr>
            <w:tcW w:w="50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Professional and consultant fees</w:t>
            </w:r>
          </w:p>
        </w:tc>
        <w:tc>
          <w:tcPr>
            <w:tcW w:w="274" w:type="dxa"/>
            <w:tcBorders/>
            <w:shd w:fill="CCEEFF" w:val="clear"/>
            <w:vAlign w:val="center"/>
          </w:tcPr>
          <w:p>
            <w:pPr>
              <w:pStyle w:val="TableContents"/>
              <w:bidi w:val="0"/>
              <w:spacing w:before="0" w:after="1"/>
              <w:ind w:left="0" w:right="0" w:hanging="0"/>
              <w:jc w:val="left"/>
              <w:rPr/>
            </w:pPr>
            <w:r>
              <w:rPr/>
              <w:t>​</w:t>
            </w:r>
          </w:p>
        </w:tc>
        <w:tc>
          <w:tcPr>
            <w:tcW w:w="8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1,702</w:t>
            </w:r>
          </w:p>
        </w:tc>
        <w:tc>
          <w:tcPr>
            <w:tcW w:w="346" w:type="dxa"/>
            <w:tcBorders/>
            <w:shd w:fill="CCEEFF" w:val="clear"/>
            <w:vAlign w:val="center"/>
          </w:tcPr>
          <w:p>
            <w:pPr>
              <w:pStyle w:val="TableContents"/>
              <w:bidi w:val="0"/>
              <w:spacing w:before="0" w:after="1"/>
              <w:ind w:left="0" w:right="0" w:hanging="0"/>
              <w:jc w:val="right"/>
              <w:rPr/>
            </w:pPr>
            <w:r>
              <w:rPr/>
              <w:t>​</w:t>
            </w:r>
          </w:p>
        </w:tc>
        <w:tc>
          <w:tcPr>
            <w:tcW w:w="338" w:type="dxa"/>
            <w:tcBorders/>
            <w:shd w:fill="CCEEFF" w:val="clear"/>
            <w:vAlign w:val="center"/>
          </w:tcPr>
          <w:p>
            <w:pPr>
              <w:pStyle w:val="TableContents"/>
              <w:bidi w:val="0"/>
              <w:spacing w:before="0" w:after="1"/>
              <w:ind w:left="0" w:right="0" w:hanging="0"/>
              <w:jc w:val="left"/>
              <w:rPr/>
            </w:pPr>
            <w:r>
              <w:rPr/>
              <w:t>​</w:t>
            </w:r>
          </w:p>
        </w:tc>
        <w:tc>
          <w:tcPr>
            <w:tcW w:w="12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1,500</w:t>
            </w:r>
          </w:p>
        </w:tc>
      </w:tr>
      <w:tr>
        <w:trPr/>
        <w:tc>
          <w:tcPr>
            <w:tcW w:w="50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 on convertible senior notes</w:t>
            </w:r>
          </w:p>
        </w:tc>
        <w:tc>
          <w:tcPr>
            <w:tcW w:w="274" w:type="dxa"/>
            <w:tcBorders/>
            <w:vAlign w:val="center"/>
          </w:tcPr>
          <w:p>
            <w:pPr>
              <w:pStyle w:val="TableContents"/>
              <w:bidi w:val="0"/>
              <w:spacing w:before="0" w:after="1"/>
              <w:ind w:left="0" w:right="0" w:hanging="0"/>
              <w:jc w:val="left"/>
              <w:rPr/>
            </w:pPr>
            <w:r>
              <w:rPr/>
              <w:t>​</w:t>
            </w:r>
          </w:p>
        </w:tc>
        <w:tc>
          <w:tcPr>
            <w:tcW w:w="8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1,465</w:t>
            </w:r>
          </w:p>
        </w:tc>
        <w:tc>
          <w:tcPr>
            <w:tcW w:w="346" w:type="dxa"/>
            <w:tcBorders/>
            <w:vAlign w:val="center"/>
          </w:tcPr>
          <w:p>
            <w:pPr>
              <w:pStyle w:val="TableContents"/>
              <w:bidi w:val="0"/>
              <w:spacing w:before="0" w:after="1"/>
              <w:ind w:left="0" w:right="0" w:hanging="0"/>
              <w:jc w:val="right"/>
              <w:rPr/>
            </w:pPr>
            <w:r>
              <w:rPr/>
              <w:t>​</w:t>
            </w:r>
          </w:p>
        </w:tc>
        <w:tc>
          <w:tcPr>
            <w:tcW w:w="338" w:type="dxa"/>
            <w:tcBorders/>
            <w:vAlign w:val="center"/>
          </w:tcPr>
          <w:p>
            <w:pPr>
              <w:pStyle w:val="TableContents"/>
              <w:bidi w:val="0"/>
              <w:spacing w:before="0" w:after="1"/>
              <w:ind w:left="0" w:right="0" w:hanging="0"/>
              <w:jc w:val="left"/>
              <w:rPr/>
            </w:pPr>
            <w:r>
              <w:rPr/>
              <w:t>​</w:t>
            </w:r>
          </w:p>
        </w:tc>
        <w:tc>
          <w:tcPr>
            <w:tcW w:w="1252" w:type="dxa"/>
            <w:tcBorders/>
            <w:vAlign w:val="center"/>
          </w:tcPr>
          <w:p>
            <w:pPr>
              <w:pStyle w:val="TableContents"/>
              <w:bidi w:val="0"/>
              <w:spacing w:before="0" w:after="1"/>
              <w:ind w:left="0" w:right="0" w:hanging="0"/>
              <w:jc w:val="right"/>
              <w:rPr/>
            </w:pPr>
            <w:r>
              <w:rPr/>
              <w:t>—</w:t>
            </w:r>
          </w:p>
        </w:tc>
      </w:tr>
      <w:tr>
        <w:trPr/>
        <w:tc>
          <w:tcPr>
            <w:tcW w:w="50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taxes payable</w:t>
            </w:r>
          </w:p>
        </w:tc>
        <w:tc>
          <w:tcPr>
            <w:tcW w:w="274" w:type="dxa"/>
            <w:tcBorders/>
            <w:shd w:fill="CCEEFF" w:val="clear"/>
            <w:vAlign w:val="center"/>
          </w:tcPr>
          <w:p>
            <w:pPr>
              <w:pStyle w:val="TableContents"/>
              <w:bidi w:val="0"/>
              <w:spacing w:before="0" w:after="1"/>
              <w:ind w:left="0" w:right="0" w:hanging="0"/>
              <w:jc w:val="left"/>
              <w:rPr/>
            </w:pPr>
            <w:r>
              <w:rPr/>
              <w:t>​</w:t>
            </w:r>
          </w:p>
        </w:tc>
        <w:tc>
          <w:tcPr>
            <w:tcW w:w="8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38" w:type="dxa"/>
            <w:tcBorders/>
            <w:shd w:fill="CCEEFF" w:val="clear"/>
            <w:vAlign w:val="center"/>
          </w:tcPr>
          <w:p>
            <w:pPr>
              <w:pStyle w:val="TableContents"/>
              <w:bidi w:val="0"/>
              <w:spacing w:before="0" w:after="1"/>
              <w:ind w:left="0" w:right="0" w:hanging="0"/>
              <w:jc w:val="left"/>
              <w:rPr/>
            </w:pPr>
            <w:r>
              <w:rPr/>
              <w:t>​</w:t>
            </w:r>
          </w:p>
        </w:tc>
        <w:tc>
          <w:tcPr>
            <w:tcW w:w="12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w:t>
            </w:r>
          </w:p>
        </w:tc>
      </w:tr>
      <w:tr>
        <w:trPr/>
        <w:tc>
          <w:tcPr>
            <w:tcW w:w="50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274" w:type="dxa"/>
            <w:tcBorders/>
            <w:vAlign w:val="center"/>
          </w:tcPr>
          <w:p>
            <w:pPr>
              <w:pStyle w:val="TableContents"/>
              <w:bidi w:val="0"/>
              <w:spacing w:before="0" w:after="1"/>
              <w:ind w:left="0" w:right="0" w:hanging="0"/>
              <w:jc w:val="left"/>
              <w:rPr/>
            </w:pPr>
            <w:r>
              <w:rPr/>
              <w:t>​</w:t>
            </w:r>
          </w:p>
        </w:tc>
        <w:tc>
          <w:tcPr>
            <w:tcW w:w="8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771</w:t>
            </w:r>
          </w:p>
        </w:tc>
        <w:tc>
          <w:tcPr>
            <w:tcW w:w="346" w:type="dxa"/>
            <w:tcBorders/>
            <w:vAlign w:val="center"/>
          </w:tcPr>
          <w:p>
            <w:pPr>
              <w:pStyle w:val="TableContents"/>
              <w:bidi w:val="0"/>
              <w:spacing w:before="0" w:after="1"/>
              <w:ind w:left="0" w:right="0" w:hanging="0"/>
              <w:jc w:val="right"/>
              <w:rPr/>
            </w:pPr>
            <w:r>
              <w:rPr/>
              <w:t>​</w:t>
            </w:r>
          </w:p>
        </w:tc>
        <w:tc>
          <w:tcPr>
            <w:tcW w:w="338" w:type="dxa"/>
            <w:tcBorders/>
            <w:vAlign w:val="center"/>
          </w:tcPr>
          <w:p>
            <w:pPr>
              <w:pStyle w:val="TableContents"/>
              <w:bidi w:val="0"/>
              <w:spacing w:before="0" w:after="1"/>
              <w:ind w:left="0" w:right="0" w:hanging="0"/>
              <w:jc w:val="left"/>
              <w:rPr/>
            </w:pPr>
            <w:r>
              <w:rPr/>
              <w:t>​</w:t>
            </w:r>
          </w:p>
        </w:tc>
        <w:tc>
          <w:tcPr>
            <w:tcW w:w="12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870</w:t>
            </w:r>
          </w:p>
        </w:tc>
      </w:tr>
      <w:tr>
        <w:trPr/>
        <w:tc>
          <w:tcPr>
            <w:tcW w:w="50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accrued expenses</w:t>
            </w:r>
          </w:p>
        </w:tc>
        <w:tc>
          <w:tcPr>
            <w:tcW w:w="2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57,406</w:t>
            </w:r>
          </w:p>
        </w:tc>
        <w:tc>
          <w:tcPr>
            <w:tcW w:w="346" w:type="dxa"/>
            <w:tcBorders/>
            <w:shd w:fill="CCEEFF" w:val="clear"/>
            <w:vAlign w:val="center"/>
          </w:tcPr>
          <w:p>
            <w:pPr>
              <w:pStyle w:val="TableContents"/>
              <w:bidi w:val="0"/>
              <w:spacing w:before="0" w:after="1"/>
              <w:ind w:left="0" w:right="0" w:hanging="0"/>
              <w:jc w:val="left"/>
              <w:rPr/>
            </w:pPr>
            <w:r>
              <w:rPr/>
              <w:t>​</w:t>
            </w:r>
          </w:p>
        </w:tc>
        <w:tc>
          <w:tcPr>
            <w:tcW w:w="33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2"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54,423</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6.</w:t>
      </w:r>
      <w:r>
        <w:rPr>
          <w:rFonts w:ascii="Times New Roman;Times;serif" w:hAnsi="Times New Roman;Times;serif"/>
          <w:b/>
          <w:sz w:val="20"/>
        </w:rPr>
        <w:t>Long – Term Obligations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Senior Secured Term Loan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March 2026, the Company entered into the Loan Agreement with </w:t>
      </w:r>
      <w:r>
        <w:rPr>
          <w:rFonts w:ascii="Times New Roman;Times;serif" w:hAnsi="Times New Roman;Times;serif"/>
          <w:spacing w:val="4"/>
          <w:sz w:val="20"/>
        </w:rPr>
        <w:t>the Collateral Agent, BPCR Limited Partnership and BioPharma Credit Investments V (Master) LP,</w:t>
      </w:r>
      <w:r>
        <w:rPr>
          <w:rFonts w:ascii="Times New Roman;Times;serif" w:hAnsi="Times New Roman;Times;serif"/>
          <w:sz w:val="20"/>
        </w:rPr>
        <w:t xml:space="preserve"> </w:t>
      </w:r>
      <w:r>
        <w:rPr>
          <w:rFonts w:ascii="Times New Roman;Times;serif" w:hAnsi="Times New Roman;Times;serif"/>
          <w:spacing w:val="4"/>
          <w:sz w:val="20"/>
        </w:rPr>
        <w:t>which are funds managed by</w:t>
      </w:r>
      <w:r>
        <w:rPr>
          <w:rFonts w:ascii="Times New Roman;Times;serif" w:hAnsi="Times New Roman;Times;serif"/>
          <w:sz w:val="20"/>
        </w:rPr>
        <w:t xml:space="preserve"> Pharmakon and the guarantors party thereto. The Loan Agreement provides for a five-year senior secured term loan, which matures on March 27, 2031 (“Term Loan Maturity Date”), for up to $250.0 million and consists of five tranches (collectively, the “Term Loans”). Two of the tranches are committed tranches: (i) Tranche A in an aggregate of $75.0 million, which was funded on the date the Loan Agreement was executed; and (ii) Tranche B in an aggregate of $50.0 million (and up to an additional $25.0 million that the Company may elect to draw), which is available until November 1, 2027, subject to the occurrence of certain approval conditions (the “Tranche B/C Approval Condition”).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Three of the tranches may be drawn upon at the discretion of the Company: (i) Tranche C in an aggregate of $25.0 million (less any amounts elected to be (and actually) drawn under Tranche B in excess of $50.0 million), which is available until April 28, 2028; (ii) Tranche D in an aggregate of $50.0 million, which is available until October 30, 2028; and (iii) Tranche E in an aggregate of $50.0 million, which is available until April 30, 2029. Tranche C through E are subject to the occurrence of certain approval conditions and achievements of certain milestones in respect of certain net sales levels.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Loan Agreement bears interest at annual interest rate of 3-month </w:t>
      </w:r>
      <w:r>
        <w:rPr>
          <w:rFonts w:ascii="Times New Roman;Times;serif" w:hAnsi="Times New Roman;Times;serif"/>
          <w:b w:val="false"/>
          <w:i w:val="false"/>
          <w:caps w:val="false"/>
          <w:smallCaps w:val="false"/>
          <w:sz w:val="20"/>
        </w:rPr>
        <w:t>secured overnight financing rate</w:t>
      </w:r>
      <w:r>
        <w:rPr>
          <w:rFonts w:ascii="Times New Roman;Times;serif" w:hAnsi="Times New Roman;Times;serif"/>
          <w:sz w:val="20"/>
        </w:rPr>
        <w:t xml:space="preserve"> (“SOFR”) subject to a 3.25% floor, plus 5.75% payable quarterly in arrears. The Company may elect for 100% of the interest for the first 24 months following the Tranche A Loan funding date to be paid-in-kind (“PIK Interest”) without an increase in the interest rate.</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is required to pay a funding fee equal to (i) 2.00% of the funding amount of the Tranche A on the funding date of such loan, (ii) 2.00% of $50,000,000 of the funding amount of the Tranche B on the funding date for such loan, (iii) 1.00% of any amounts in excess of $50,000,000 of the funding amount for the Tranche B on the funding date for such loan, and (iv) 1.00% of each of the funding amount of the Tranche C, Tranche D, and </w:t>
      </w:r>
      <w:r>
        <w:rPr>
          <w:rFonts w:ascii="Times New Roman;Times;serif" w:hAnsi="Times New Roman;Times;serif"/>
          <w:b w:val="false"/>
          <w:i w:val="false"/>
          <w:caps w:val="false"/>
          <w:smallCaps w:val="false"/>
          <w:sz w:val="20"/>
        </w:rPr>
        <w:t>Tranche E</w:t>
      </w:r>
      <w:r>
        <w:rPr>
          <w:rFonts w:ascii="Times New Roman;Times;serif" w:hAnsi="Times New Roman;Times;serif"/>
          <w:sz w:val="20"/>
        </w:rPr>
        <w:t xml:space="preserve"> on each respective funding date.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paid the funding fee of $1.5 million for Tranche A as of March 31, 2026.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Company’s obligations under the Loan Agreement are secured by substantially all of its assets, including its intellectual property, and are guaranteed by certain of its subsidiaries, each of which has pledged substantially all of their assets, including intellectual property, to secure such guarantee. The Company is also obligated to maintain a liquidity of not less than $50.0 million, immediately following the Tranche A closing date and until the satisfaction of the Tranche B/C Approval Condition.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914" w:name="Tc_OLNTGxHcfEaPcDLY5ZVXuw_5_5"/>
      <w:bookmarkStart w:id="915" w:name="Tc_8gTsYQcnE0a5LERUStCUsQ_5_2"/>
      <w:bookmarkStart w:id="916" w:name="Tc_nBoVm29JZ0CTTm9_OrEkDw_5_0"/>
      <w:bookmarkStart w:id="917" w:name="Tc_vUzLjHBg0kadSUZb0cfJcA_4_0"/>
      <w:bookmarkStart w:id="918" w:name="Tc_V7JV00PtrkCcmp321W5a8Q_3_5"/>
      <w:bookmarkStart w:id="919" w:name="Tc_E1R5chOL4UaXk5px-PAjgQ_3_2"/>
      <w:bookmarkStart w:id="920" w:name="Tc_S3bFE3k-0EqJEANk_eJ-5Q_3_0"/>
      <w:bookmarkStart w:id="921" w:name="Tc_auGtRSnpHU2NnO9sIkguIQ_2_5"/>
      <w:bookmarkStart w:id="922" w:name="Tc_f5fYExB_p0GWpdvpVJgHqw_2_2"/>
      <w:bookmarkStart w:id="923" w:name="Tc_bu6sxsXqWUqvDRp08xXcfA_1_5"/>
      <w:bookmarkStart w:id="924" w:name="Tc_-flVzKzxDEeohp4Z0THslA_1_2"/>
      <w:bookmarkStart w:id="925" w:name="_e9ca86b8_2fa9_46d8_b20b_ff98f75d3f60"/>
      <w:bookmarkStart w:id="926" w:name="Tc_9pdro8V5S0eT2Py_pXRkHw_6_2"/>
      <w:bookmarkStart w:id="927" w:name="Tc_0PPIviOPOkeEWPhOYiGlLQ_6_0"/>
      <w:bookmarkStart w:id="928" w:name="Tc_bEftWVOk8k6LI8Lf997bGQ_5_0"/>
      <w:bookmarkStart w:id="929" w:name="Tc_wWkBZSLf6Em0_3QDo5reMg_4_0"/>
      <w:bookmarkStart w:id="930" w:name="Tc_CMWf-nNfM0qrqcZ9zhmPmw_3_2"/>
      <w:bookmarkStart w:id="931" w:name="Tc_wYtO2S7mS02IA2wWNb5mZQ_3_0"/>
      <w:bookmarkStart w:id="932" w:name="Tc_tlrNGt1m1E6jMU2oYyI4gw_2_2"/>
      <w:bookmarkStart w:id="933" w:name="Tc_25IGi_vN8EW-v6RNGepSZg_1_2"/>
      <w:bookmarkStart w:id="934" w:name="_f339d6cb_47cb_459a_a17e_9a76d6c504c0"/>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r>
        <w:rPr>
          <w:rFonts w:ascii="Times New Roman;Times;serif" w:hAnsi="Times New Roman;Times;serif"/>
          <w:sz w:val="20"/>
        </w:rPr>
        <w:t xml:space="preserve">The Company determined that all of the embedded features identified in the Loan Agreement were either clearly or closely related to the debt host and did not require bifurcation as a derivative liability, or the fair value of the bifurcated features was immaterial to the Company’s condensed consolidated financial statements.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Total net proceeds were $72.0 million after deducting discounts and debt issuance costs as of June 30, 2026. As of June 30, 2026, the Company elected to pay interest on the Term Loan as PIK Interest, which was added to the outstanding principal balance of the term loan. No repayment of principal was made during the three and six months ended June 30, 2026.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reflects the Company’s senior secured term loan as of June 30, 2026 (in thousands):</w:t>
      </w:r>
    </w:p>
    <w:tbl>
      <w:tblPr>
        <w:tblW w:w="5647" w:type="dxa"/>
        <w:jc w:val="left"/>
        <w:tblInd w:w="0" w:type="dxa"/>
        <w:tblLayout w:type="fixed"/>
        <w:tblCellMar>
          <w:top w:w="0" w:type="dxa"/>
          <w:left w:w="0" w:type="dxa"/>
          <w:bottom w:w="0" w:type="dxa"/>
          <w:right w:w="0" w:type="dxa"/>
        </w:tblCellMar>
      </w:tblPr>
      <w:tblGrid>
        <w:gridCol w:w="4546"/>
        <w:gridCol w:w="109"/>
        <w:gridCol w:w="211"/>
        <w:gridCol w:w="781"/>
      </w:tblGrid>
      <w:tr>
        <w:trPr/>
        <w:tc>
          <w:tcPr>
            <w:tcW w:w="4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886710" cy="175260"/>
                      <wp:effectExtent l="0" t="0" r="0" b="0"/>
                      <wp:wrapNone/>
                      <wp:docPr id="116" name="Frame115"/>
                      <a:graphic xmlns:a="http://schemas.openxmlformats.org/drawingml/2006/main">
                        <a:graphicData uri="http://schemas.microsoft.com/office/word/2010/wordprocessingShape">
                          <wps:wsp>
                            <wps:cNvSpPr txBox="1"/>
                            <wps:spPr>
                              <a:xfrm>
                                <a:off x="0" y="0"/>
                                <a:ext cx="2886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9215" cy="175260"/>
                      <wp:effectExtent l="0" t="0" r="0" b="0"/>
                      <wp:wrapNone/>
                      <wp:docPr id="117" name="Frame1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33985" cy="175260"/>
                      <wp:effectExtent l="0" t="0" r="0" b="0"/>
                      <wp:wrapNone/>
                      <wp:docPr id="118" name="Frame1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495935" cy="175260"/>
                      <wp:effectExtent l="0" t="0" r="0" b="0"/>
                      <wp:wrapNone/>
                      <wp:docPr id="119" name="Frame11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5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June 30, </w:t>
            </w:r>
          </w:p>
        </w:tc>
      </w:tr>
      <w:tr>
        <w:trPr/>
        <w:tc>
          <w:tcPr>
            <w:tcW w:w="45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45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principal balance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75,000</w:t>
            </w:r>
          </w:p>
        </w:tc>
      </w:tr>
      <w:tr>
        <w:trPr/>
        <w:tc>
          <w:tcPr>
            <w:tcW w:w="45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PIK interest applied to term loan balance</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1,894</w:t>
            </w:r>
          </w:p>
        </w:tc>
      </w:tr>
      <w:tr>
        <w:trPr/>
        <w:tc>
          <w:tcPr>
            <w:tcW w:w="45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Unamortized debt discounts and issuance costs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(2,834)</w:t>
            </w:r>
          </w:p>
        </w:tc>
      </w:tr>
      <w:tr>
        <w:trPr/>
        <w:tc>
          <w:tcPr>
            <w:tcW w:w="45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Carrying value</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74,060</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carrying value of the outstanding liability, which bears a variable interest rate indexed to the 3-month SOFR, approximates fair value as it reprices when market interest rates change and represents a Level 2 measurement within the fair value hierarchy.</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incurred $3.0 million of debt discounts and issuance costs, which were capitalized and deferred when incurred and subsequently amortized over the term of the Loan Agreement. The effective interest rate of the Loan Agreement, including the amortization of the debt issuance costs was 10.99% for the three months ended June 30, 2026.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Interest expense in relation to the Loan Agreement, including amortization of debt discounts and issuance costs amortization is as follows (in thousands):</w:t>
      </w:r>
    </w:p>
    <w:tbl>
      <w:tblPr>
        <w:tblW w:w="9894" w:type="dxa"/>
        <w:jc w:val="left"/>
        <w:tblInd w:w="0" w:type="dxa"/>
        <w:tblLayout w:type="fixed"/>
        <w:tblCellMar>
          <w:top w:w="0" w:type="dxa"/>
          <w:left w:w="0" w:type="dxa"/>
          <w:bottom w:w="0" w:type="dxa"/>
          <w:right w:w="0" w:type="dxa"/>
        </w:tblCellMar>
      </w:tblPr>
      <w:tblGrid>
        <w:gridCol w:w="5026"/>
        <w:gridCol w:w="109"/>
        <w:gridCol w:w="647"/>
        <w:gridCol w:w="1753"/>
        <w:gridCol w:w="109"/>
        <w:gridCol w:w="535"/>
        <w:gridCol w:w="1715"/>
      </w:tblGrid>
      <w:tr>
        <w:trPr/>
        <w:tc>
          <w:tcPr>
            <w:tcW w:w="5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3191510" cy="175260"/>
                      <wp:effectExtent l="0" t="0" r="0" b="0"/>
                      <wp:wrapNone/>
                      <wp:docPr id="120" name="Frame119"/>
                      <a:graphic xmlns:a="http://schemas.openxmlformats.org/drawingml/2006/main">
                        <a:graphicData uri="http://schemas.microsoft.com/office/word/2010/wordprocessingShape">
                          <wps:wsp>
                            <wps:cNvSpPr txBox="1"/>
                            <wps:spPr>
                              <a:xfrm>
                                <a:off x="0" y="0"/>
                                <a:ext cx="3191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9215" cy="175260"/>
                      <wp:effectExtent l="0" t="0" r="0" b="0"/>
                      <wp:wrapNone/>
                      <wp:docPr id="121" name="Frame1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410845" cy="175260"/>
                      <wp:effectExtent l="0" t="0" r="0" b="0"/>
                      <wp:wrapNone/>
                      <wp:docPr id="122" name="Frame121"/>
                      <a:graphic xmlns:a="http://schemas.openxmlformats.org/drawingml/2006/main">
                        <a:graphicData uri="http://schemas.microsoft.com/office/word/2010/wordprocessingShape">
                          <wps:wsp>
                            <wps:cNvSpPr txBox="1"/>
                            <wps:spPr>
                              <a:xfrm>
                                <a:off x="0" y="0"/>
                                <a:ext cx="410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113155" cy="175260"/>
                      <wp:effectExtent l="0" t="0" r="0" b="0"/>
                      <wp:wrapNone/>
                      <wp:docPr id="123" name="Frame122"/>
                      <a:graphic xmlns:a="http://schemas.openxmlformats.org/drawingml/2006/main">
                        <a:graphicData uri="http://schemas.microsoft.com/office/word/2010/wordprocessingShape">
                          <wps:wsp>
                            <wps:cNvSpPr txBox="1"/>
                            <wps:spPr>
                              <a:xfrm>
                                <a:off x="0" y="0"/>
                                <a:ext cx="11131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9215" cy="175260"/>
                      <wp:effectExtent l="0" t="0" r="0" b="0"/>
                      <wp:wrapNone/>
                      <wp:docPr id="124" name="Frame1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339725" cy="175260"/>
                      <wp:effectExtent l="0" t="0" r="0" b="0"/>
                      <wp:wrapNone/>
                      <wp:docPr id="125" name="Frame124"/>
                      <a:graphic xmlns:a="http://schemas.openxmlformats.org/drawingml/2006/main">
                        <a:graphicData uri="http://schemas.microsoft.com/office/word/2010/wordprocessingShape">
                          <wps:wsp>
                            <wps:cNvSpPr txBox="1"/>
                            <wps:spPr>
                              <a:xfrm>
                                <a:off x="0" y="0"/>
                                <a:ext cx="339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089025" cy="175260"/>
                      <wp:effectExtent l="0" t="0" r="0" b="0"/>
                      <wp:wrapNone/>
                      <wp:docPr id="126" name="Frame125"/>
                      <a:graphic xmlns:a="http://schemas.openxmlformats.org/drawingml/2006/main">
                        <a:graphicData uri="http://schemas.microsoft.com/office/word/2010/wordprocessingShape">
                          <wps:wsp>
                            <wps:cNvSpPr txBox="1"/>
                            <wps:spPr>
                              <a:xfrm>
                                <a:off x="0" y="0"/>
                                <a:ext cx="10890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0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For the three months ended</w:t>
              <w:br/>
              <w:t>June 30,</w:t>
            </w:r>
          </w:p>
        </w:tc>
        <w:tc>
          <w:tcPr>
            <w:tcW w:w="109" w:type="dxa"/>
            <w:tcBorders/>
            <w:vAlign w:val="center"/>
          </w:tcPr>
          <w:p>
            <w:pPr>
              <w:pStyle w:val="TableContents"/>
              <w:bidi w:val="0"/>
              <w:spacing w:before="0" w:after="1"/>
              <w:ind w:left="0" w:right="0" w:hanging="0"/>
              <w:jc w:val="left"/>
              <w:rPr/>
            </w:pPr>
            <w:r>
              <w:rPr/>
              <w:t>​</w:t>
            </w:r>
          </w:p>
        </w:tc>
        <w:tc>
          <w:tcPr>
            <w:tcW w:w="22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For the six months ended</w:t>
              <w:br/>
              <w:t>June 30,</w:t>
            </w:r>
          </w:p>
        </w:tc>
      </w:tr>
      <w:tr>
        <w:trPr/>
        <w:tc>
          <w:tcPr>
            <w:tcW w:w="50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109" w:type="dxa"/>
            <w:tcBorders/>
            <w:vAlign w:val="center"/>
          </w:tcPr>
          <w:p>
            <w:pPr>
              <w:pStyle w:val="TableContents"/>
              <w:bidi w:val="0"/>
              <w:spacing w:before="0" w:after="1"/>
              <w:ind w:left="0" w:right="0" w:hanging="0"/>
              <w:jc w:val="left"/>
              <w:rPr/>
            </w:pPr>
            <w:r>
              <w:rPr/>
              <w:t>​</w:t>
            </w:r>
          </w:p>
        </w:tc>
        <w:tc>
          <w:tcPr>
            <w:tcW w:w="22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50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debt discounts and issuance costs</w:t>
            </w:r>
          </w:p>
        </w:tc>
        <w:tc>
          <w:tcPr>
            <w:tcW w:w="109" w:type="dxa"/>
            <w:tcBorders/>
            <w:shd w:fill="CCEEFF" w:val="clear"/>
            <w:vAlign w:val="center"/>
          </w:tcPr>
          <w:p>
            <w:pPr>
              <w:pStyle w:val="TableContents"/>
              <w:bidi w:val="0"/>
              <w:spacing w:before="0" w:after="1"/>
              <w:ind w:left="0" w:right="0" w:hanging="0"/>
              <w:jc w:val="left"/>
              <w:rPr/>
            </w:pPr>
            <w:r>
              <w:rPr/>
              <w:t>​</w:t>
            </w:r>
          </w:p>
        </w:tc>
        <w:tc>
          <w:tcPr>
            <w:tcW w:w="6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7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w:t>
            </w:r>
          </w:p>
        </w:tc>
        <w:tc>
          <w:tcPr>
            <w:tcW w:w="109" w:type="dxa"/>
            <w:tcBorders/>
            <w:shd w:fill="CCEEFF" w:val="clear"/>
            <w:vAlign w:val="center"/>
          </w:tcPr>
          <w:p>
            <w:pPr>
              <w:pStyle w:val="TableContents"/>
              <w:bidi w:val="0"/>
              <w:spacing w:before="0" w:after="1"/>
              <w:ind w:left="0" w:right="0" w:hanging="0"/>
              <w:jc w:val="left"/>
              <w:rPr/>
            </w:pPr>
            <w:r>
              <w:rPr/>
              <w:t>​</w:t>
            </w:r>
          </w:p>
        </w:tc>
        <w:tc>
          <w:tcPr>
            <w:tcW w:w="5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71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w:t>
            </w:r>
          </w:p>
        </w:tc>
      </w:tr>
      <w:tr>
        <w:trPr/>
        <w:tc>
          <w:tcPr>
            <w:tcW w:w="50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PIK interest expense (applied to term loan principal balance)</w:t>
            </w:r>
          </w:p>
        </w:tc>
        <w:tc>
          <w:tcPr>
            <w:tcW w:w="109" w:type="dxa"/>
            <w:tcBorders/>
            <w:vAlign w:val="center"/>
          </w:tcPr>
          <w:p>
            <w:pPr>
              <w:pStyle w:val="TableContents"/>
              <w:bidi w:val="0"/>
              <w:spacing w:before="0" w:after="1"/>
              <w:ind w:left="0" w:right="0" w:hanging="0"/>
              <w:jc w:val="left"/>
              <w:rPr/>
            </w:pPr>
            <w:r>
              <w:rPr/>
              <w:t>​</w:t>
            </w:r>
          </w:p>
        </w:tc>
        <w:tc>
          <w:tcPr>
            <w:tcW w:w="647" w:type="dxa"/>
            <w:tcBorders/>
            <w:vAlign w:val="center"/>
          </w:tcPr>
          <w:p>
            <w:pPr>
              <w:pStyle w:val="TableContents"/>
              <w:bidi w:val="0"/>
              <w:spacing w:before="0" w:after="1"/>
              <w:ind w:left="0" w:right="0" w:hanging="0"/>
              <w:jc w:val="right"/>
              <w:rPr/>
            </w:pPr>
            <w:r>
              <w:rPr/>
              <w:t>​</w:t>
            </w:r>
          </w:p>
        </w:tc>
        <w:tc>
          <w:tcPr>
            <w:tcW w:w="175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1,560</w:t>
            </w:r>
          </w:p>
        </w:tc>
        <w:tc>
          <w:tcPr>
            <w:tcW w:w="109" w:type="dxa"/>
            <w:tcBorders/>
            <w:vAlign w:val="center"/>
          </w:tcPr>
          <w:p>
            <w:pPr>
              <w:pStyle w:val="TableContents"/>
              <w:bidi w:val="0"/>
              <w:spacing w:before="0" w:after="1"/>
              <w:ind w:left="0" w:right="0" w:hanging="0"/>
              <w:jc w:val="left"/>
              <w:rPr/>
            </w:pPr>
            <w:r>
              <w:rPr/>
              <w:t>​</w:t>
            </w:r>
          </w:p>
        </w:tc>
        <w:tc>
          <w:tcPr>
            <w:tcW w:w="535" w:type="dxa"/>
            <w:tcBorders/>
            <w:vAlign w:val="center"/>
          </w:tcPr>
          <w:p>
            <w:pPr>
              <w:pStyle w:val="TableContents"/>
              <w:bidi w:val="0"/>
              <w:spacing w:before="0" w:after="1"/>
              <w:ind w:left="0" w:right="0" w:hanging="0"/>
              <w:jc w:val="right"/>
              <w:rPr/>
            </w:pPr>
            <w:r>
              <w:rPr/>
              <w:t>​</w:t>
            </w:r>
          </w:p>
        </w:tc>
        <w:tc>
          <w:tcPr>
            <w:tcW w:w="171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1,894</w:t>
            </w:r>
          </w:p>
        </w:tc>
      </w:tr>
      <w:tr>
        <w:trPr/>
        <w:tc>
          <w:tcPr>
            <w:tcW w:w="50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interest expense</w:t>
            </w:r>
          </w:p>
        </w:tc>
        <w:tc>
          <w:tcPr>
            <w:tcW w:w="109" w:type="dxa"/>
            <w:tcBorders/>
            <w:shd w:fill="CCEEFF" w:val="clear"/>
            <w:vAlign w:val="center"/>
          </w:tcPr>
          <w:p>
            <w:pPr>
              <w:pStyle w:val="TableContents"/>
              <w:bidi w:val="0"/>
              <w:spacing w:before="0" w:after="1"/>
              <w:ind w:left="0" w:right="0" w:hanging="0"/>
              <w:jc w:val="left"/>
              <w:rPr/>
            </w:pPr>
            <w:r>
              <w:rPr/>
              <w:t>​</w:t>
            </w:r>
          </w:p>
        </w:tc>
        <w:tc>
          <w:tcPr>
            <w:tcW w:w="6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75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1,720</w:t>
            </w:r>
          </w:p>
        </w:tc>
        <w:tc>
          <w:tcPr>
            <w:tcW w:w="109" w:type="dxa"/>
            <w:tcBorders/>
            <w:shd w:fill="CCEEFF" w:val="clear"/>
            <w:vAlign w:val="center"/>
          </w:tcPr>
          <w:p>
            <w:pPr>
              <w:pStyle w:val="TableContents"/>
              <w:bidi w:val="0"/>
              <w:spacing w:before="0" w:after="1"/>
              <w:ind w:left="0" w:right="0" w:hanging="0"/>
              <w:jc w:val="left"/>
              <w:rPr/>
            </w:pPr>
            <w:r>
              <w:rPr/>
              <w:t>​</w:t>
            </w:r>
          </w:p>
        </w:tc>
        <w:tc>
          <w:tcPr>
            <w:tcW w:w="5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715"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2,088</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Pursuant to the Loan Agreement, each tranche may be voluntarily prepaid at any time, in whole or subject to certain conditions, in part, prior to the Term Loan Maturity Date. Prepayments are subject to an amount equal to the sum of all interest that would have been accrued and payable from such date of prepayment through the second year anniversary of each respective tranche’s closing date on the amount of principal prepaid, using an interest rate in effect on such date.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Pursuant to the Loan Agreement, each tranche has a required prepayment premium, in an amount equal to the product of the amount of any prepaid principal, multiplied by: (i) if prepayment occurs prior to the third year anniversary of each respective tranche’s closing date, 3%; (ii) if prepayment occurs on or after the third year anniversary of each respective tranche's closing date but prior to the fourth year anniversary of each respective tranche's closing date, 2%; and (iii) if prepayment occurs on or after the four year anniversary of each respective tranche’s closing date but prior to the Term Loan Maturity Date, 1%.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Pursuant to the Loan Agreement, each tranche has a required exit consideration fee, with respect to any prepayment, repayment or as a result of the acceleration of maturity, an amount equal to the product of the amount of principal prepaid or repaid, multiplied by 1% to 2% based on the specific tranche. The Loan Agreement requires repayment in full of all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term loans in four equal payments commencing on September 30, 2028 to the extent the Tranche B/C Approval Condition is not met on or prior to June 30, 2028.</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Loan Agreement contains customary prepayment fees and provisions, events of default, including a material adverse change to the Company, and representations, warranties and covenants, including financial covenants. The financial covenants include (i) at all times prior to the satisfaction of the Tranche B/C Approval Condition, a minimum liquidity requirement and (ii) subject to the outstanding aggregate principal amount of Term Loans advanced under the Loan Agreement being equal to or greater than $200.0 million, a minimum trailing twelve months consolidated net revenue covenant.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 of June 30, 2026, the Company was in compliance with its debt covenants under the Loan Agreement.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Convertible Senior Notes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March 2026, the Company issued an aggregate principal amount of $200.0 million of 2.50% convertible senior notes due 2032 (the “Convertible Notes”) with multiple individual investors (the “Holders”) in an underwritten public offering. In April 2026, the underwriters of the Company’s offering of the Convertible Notes exercised their overallotment option in full, pursuant to which the Company issued an additional principal amount of $30.0 million of Convertible Notes, before deducting commissions costs of $0.9 million. The Convertible Notes were issued pursuant to, and are governed by, an indenture (the “Base Indenture”), dated March 31, 2026, between the Company and U.S. Bank Trust Company, National Association, as trustee (the “Trustee”), as supplemented by a first supplemental indenture (the “Supplemental Indenture,” and the Base Indenture, as supplemented by the Supplemental Indenture, the “Indenture”), dated as of March 31, 2026, between the Company and the Trustee.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Convertible Notes are general, unsecured, senior obligations of the Company. The Convertible Notes bear interest at 2.50% per annum, to be paid semi-annually in arrears on April 1 and October 1 of each year, beginning October 1, 2026. In addition, special interest will accrue on the notes upon the occurrence of certain events relating to the Company’s failure to file certain reports with the SEC as provided in the Indenture. The Convertible Notes mature on April 1, 2032 (the “Convertible Notes Maturity Date”), unless earlier converted, redeemed or repurchased by the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Holders may convert their notes into shares of common stock, at their option only in the following circumstances: (i) during any calendar quarter commencing after the calendar quarter ending on June 30, 2026; if the last reported sale price per share of the Company’s common stock exceeds 130% of the conversion price for each of at least 20 trading days, whether or not consecutive, during the 30 consecutive trading days ending on, and including, the last trading day of the immediately preceding quarter; (ii) during the five consecutive business days immediately after any 10 consecutive trading day period (the “Measurement Period”) in which the trading price per $1,000 principal amount of notes for each trading day of the Measurement Period was less than 98% of the product of the last reported sales price per share of the common stock on such trading day and the conversion rate on such trading day; (iii) upon the occurrence of certain corporate events or distributions of the Company’s common stock; (iv) if the Company calls such notes for redemption; and (v) at any time from, and including January 1, 2032 until the close of business on the scheduled trading day immediately before the  Convertible Notes Maturity Date.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Convertible Notes are redeemable, in whole or in part, subject to certain limitations, at the Company’s option any time and from time to time, on or after April 8, 2030 and on or before the </w:t>
      </w:r>
      <w:r>
        <w:rPr>
          <w:rFonts w:ascii="Times New Roman;Times;serif" w:hAnsi="Times New Roman;Times;serif"/>
          <w:b w:val="false"/>
          <w:i w:val="false"/>
          <w:caps w:val="false"/>
          <w:smallCaps w:val="false"/>
          <w:sz w:val="20"/>
        </w:rPr>
        <w:t>twenty-sixth</w:t>
      </w:r>
      <w:r>
        <w:rPr>
          <w:rFonts w:ascii="Times New Roman;Times;serif" w:hAnsi="Times New Roman;Times;serif"/>
          <w:sz w:val="20"/>
        </w:rPr>
        <w:t xml:space="preserve"> scheduled trading day immediately before the Convertible Notes Maturity Date, at a cash redemption price equal to the principal amount of Convertible Notes to be redeemed, plus accrued and unpaid interest, if any, to, but excluding, the redemption date only if the last reported sale price per share of the Company’s common stock exceeds 130% of the conversion price on (i) each of at least 20 trading days, whether or not consecutive, during the 30 consecutive trading days ending on, and including, the trading day immediately before the date the Company sends the related redemption notice; and (ii) the trading day immediately before the date the Company sends such notice.  However, the Company may not redeem less than all of the outstanding Convertible Notes unless at least $75.0 million aggregate principal amount of the Convertible Notes are outstanding and not called for redemption. In addition, calling any note for redemption will constitute a Make-Whole Fundamental Change, in which case the conversion rate applicable to the conversion of the note will be increased in certain circumstances if it is converted after it is called for redemption.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935" w:name="Tc_K6MB5_VPXUubgGQ_iCv3Kw_5_2"/>
      <w:bookmarkStart w:id="936" w:name="Tc_Y56Jg0S89E-5OUgMRewNcg_5_0"/>
      <w:bookmarkStart w:id="937" w:name="Tc_8VxnwTziXUmwqSk-C1fT3w_4_0"/>
      <w:bookmarkStart w:id="938" w:name="Tc_WVtTjzmqKUq0kWprs6qzSg_3_2"/>
      <w:bookmarkStart w:id="939" w:name="Tc_yMzCTkR3lEqBMuJUxJ5CWA_3_0"/>
      <w:bookmarkStart w:id="940" w:name="Tc_dFnFvZkNQUuM0UwKx7UMVQ_2_2"/>
      <w:bookmarkStart w:id="941" w:name="Tc_olsSY4OzH0WOTouW9YvvFA_1_2"/>
      <w:bookmarkStart w:id="942" w:name="_affc9e3e_f2f9_4403_a8f4_8f6ada0f3606"/>
      <w:bookmarkEnd w:id="935"/>
      <w:bookmarkEnd w:id="936"/>
      <w:bookmarkEnd w:id="937"/>
      <w:bookmarkEnd w:id="938"/>
      <w:bookmarkEnd w:id="939"/>
      <w:bookmarkEnd w:id="940"/>
      <w:bookmarkEnd w:id="941"/>
      <w:bookmarkEnd w:id="942"/>
      <w:r>
        <w:rPr>
          <w:rFonts w:ascii="Times New Roman;Times;serif" w:hAnsi="Times New Roman;Times;serif"/>
          <w:sz w:val="20"/>
        </w:rPr>
        <w:t xml:space="preserve">The initial conversion rate is 37.7358 shares of common stock per $1,000 principal amount of notes, which represents an initial conversion price of approximately $26.50 per share, and is subject to adjustment as described in the indenture.  However, if a fundamental change occurs, generally a change of control, merger, consolidation, asset sale or similar transaction, takes place prior to April 1, 2030, and it results in the Convertible Notes immediately being due, the noteholders may be entitled to an increase in the conversion rate (“Make-Whole Rate”). The amount of the increase is determined pursuant to the contractual make-whole table based on the effective date of the transaction. No increase in the conversion rate will be provided if the stock price used to determine the adjustment is greater than $160.00 per share or less than $20.00 per share of common stock and the conversion rate as increased to the Make-Whole provision will not exceed 50.00 shares of common stock per $1,000 principal amount of the Convertible Notes.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will settle conversions by paying or delivering cash, shares of its common stock or a combination of cash and shares of its common stock, at the Company’s election. If the Company elects to deliver cash or a combination of cash and shares of its common stock, then the consideration due upon conversion will be determined over a period consisting of 25 volume-weighted average price (“VWAP”) trading days.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Convertible Notes were accounted for in accordance with </w:t>
      </w:r>
      <w:r>
        <w:rPr>
          <w:rFonts w:ascii="Times New Roman;Times;serif" w:hAnsi="Times New Roman;Times;serif"/>
          <w:i/>
          <w:sz w:val="20"/>
        </w:rPr>
        <w:t>ASC Subtopic 470-20, Debt with Conversion and Other Options</w:t>
      </w:r>
      <w:r>
        <w:rPr>
          <w:rFonts w:ascii="Times New Roman;Times;serif" w:hAnsi="Times New Roman;Times;serif"/>
          <w:sz w:val="20"/>
        </w:rPr>
        <w:t xml:space="preserve"> (“ASC 470-20”) and </w:t>
      </w:r>
      <w:r>
        <w:rPr>
          <w:rFonts w:ascii="Times New Roman;Times;serif" w:hAnsi="Times New Roman;Times;serif"/>
          <w:i/>
          <w:sz w:val="20"/>
        </w:rPr>
        <w:t>ASC Subtopic 815-40, Contracts in Entity’s Own Equity</w:t>
      </w:r>
      <w:r>
        <w:rPr>
          <w:rFonts w:ascii="Times New Roman;Times;serif" w:hAnsi="Times New Roman;Times;serif"/>
          <w:sz w:val="20"/>
        </w:rPr>
        <w:t xml:space="preserve"> (“ASC 815-40”). Under ASC 81-40, to qualify for equity classification (or non-bifurcation, if embedded), the instrument (or embedded feature) must be both (i) indexed to the issuer’s stock and (ii) meet the requirements of the equity classification guidance. Based upon our analysis, it was determined that the Convertible Notes do contain embedded features indexed to our common stock, but do not meet the requirements for bifurcation, and therefore do not need to be separately accounted for as an equity component. Since the embedded conversion feature meets the equity scope exception from derivative accounting, and, also since the embedded conversion option does not need to be separately accounted for as an equity component under ASC 470-20, the proceeds from the issuance of the Convertible Notes were recorded as a liability.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incurred issuance costs related to the Convertible Notes of $7.3 million, which were recorded as debt issuance costs and were included as a reduction to the Convertible Notes on the unaudited condensed consolidated balance sheet. The debt issuance costs are amortized to interest expense using the effective interest rate method over the term of the Convertible Notes, resulting in an effective interest rate of 3.07%.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outstanding balance of the Convertible Notes consisted of the following as of June 30, 2026 (in thousands):</w:t>
      </w:r>
    </w:p>
    <w:tbl>
      <w:tblPr>
        <w:tblW w:w="4957" w:type="dxa"/>
        <w:jc w:val="left"/>
        <w:tblInd w:w="0" w:type="dxa"/>
        <w:tblLayout w:type="fixed"/>
        <w:tblCellMar>
          <w:top w:w="0" w:type="dxa"/>
          <w:left w:w="0" w:type="dxa"/>
          <w:bottom w:w="0" w:type="dxa"/>
          <w:right w:w="0" w:type="dxa"/>
        </w:tblCellMar>
      </w:tblPr>
      <w:tblGrid>
        <w:gridCol w:w="3751"/>
        <w:gridCol w:w="109"/>
        <w:gridCol w:w="211"/>
        <w:gridCol w:w="886"/>
      </w:tblGrid>
      <w:tr>
        <w:trPr/>
        <w:tc>
          <w:tcPr>
            <w:tcW w:w="3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381885" cy="175260"/>
                      <wp:effectExtent l="0" t="0" r="0" b="0"/>
                      <wp:wrapNone/>
                      <wp:docPr id="127" name="Frame126"/>
                      <a:graphic xmlns:a="http://schemas.openxmlformats.org/drawingml/2006/main">
                        <a:graphicData uri="http://schemas.microsoft.com/office/word/2010/wordprocessingShape">
                          <wps:wsp>
                            <wps:cNvSpPr txBox="1"/>
                            <wps:spPr>
                              <a:xfrm>
                                <a:off x="0" y="0"/>
                                <a:ext cx="2381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9215" cy="175260"/>
                      <wp:effectExtent l="0" t="0" r="0" b="0"/>
                      <wp:wrapNone/>
                      <wp:docPr id="128" name="Frame1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33985" cy="175260"/>
                      <wp:effectExtent l="0" t="0" r="0" b="0"/>
                      <wp:wrapNone/>
                      <wp:docPr id="129" name="Frame1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562610" cy="175260"/>
                      <wp:effectExtent l="0" t="0" r="0" b="0"/>
                      <wp:wrapNone/>
                      <wp:docPr id="130" name="Frame12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June 30, </w:t>
            </w:r>
          </w:p>
        </w:tc>
      </w:tr>
      <w:tr>
        <w:trPr/>
        <w:tc>
          <w:tcPr>
            <w:tcW w:w="37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principal balance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230,000</w:t>
            </w:r>
          </w:p>
        </w:tc>
      </w:tr>
      <w:tr>
        <w:trP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Unamortized commissions and offering costs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(7,044)</w:t>
            </w:r>
          </w:p>
        </w:tc>
      </w:tr>
      <w:tr>
        <w:trP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Carrying value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222,956</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fair value of the Convertible Notes is influenced by the Company’s common stock price and has been classified as Level 1 within the fair value hierarchy as it uses quoted prices in active markets. The estimated fair value of the Convertible Notes as of June 30, 2026, was approximately $275.5 million.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None of the Convertible Notes were converted, nor did the Company redeem any of the Convertible Notes as of June 30,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943" w:name="Tc_ylZlsOldm0C6qFOmmDlJZg_5_2"/>
      <w:bookmarkStart w:id="944" w:name="Tc_K6lv0JXlbk6ABM0gkLNRow_5_0"/>
      <w:bookmarkStart w:id="945" w:name="Tc_Tx2GkiHa2E6BPlHZ-rz0_Q_4_0"/>
      <w:bookmarkStart w:id="946" w:name="Tc_5KfoFai3lkKmUApLYWRIKQ_3_2"/>
      <w:bookmarkStart w:id="947" w:name="Tc_Kgog4pa400eztpnFSlVIHw_3_0"/>
      <w:bookmarkStart w:id="948" w:name="Tc_1L555Uu4nkuVCUQP0-Oe8g_2_2"/>
      <w:bookmarkStart w:id="949" w:name="Tc_DWTEDizMXUezqI13a2qPGw_1_2"/>
      <w:bookmarkStart w:id="950" w:name="_3d2db6e9_e338_428e_b269_ae5cc5972c4c"/>
      <w:bookmarkEnd w:id="943"/>
      <w:bookmarkEnd w:id="944"/>
      <w:bookmarkEnd w:id="945"/>
      <w:bookmarkEnd w:id="946"/>
      <w:bookmarkEnd w:id="947"/>
      <w:bookmarkEnd w:id="948"/>
      <w:bookmarkEnd w:id="949"/>
      <w:bookmarkEnd w:id="950"/>
      <w:r>
        <w:rPr>
          <w:rFonts w:ascii="Times New Roman;Times;serif" w:hAnsi="Times New Roman;Times;serif"/>
          <w:sz w:val="20"/>
        </w:rPr>
        <w:t>Interest expense in relation to the Convertible Notes, including amortization of commissions and offering costs is as follows (in thousands):</w:t>
      </w:r>
    </w:p>
    <w:tbl>
      <w:tblPr>
        <w:tblW w:w="7190" w:type="dxa"/>
        <w:jc w:val="left"/>
        <w:tblInd w:w="0" w:type="dxa"/>
        <w:tblLayout w:type="fixed"/>
        <w:tblCellMar>
          <w:top w:w="0" w:type="dxa"/>
          <w:left w:w="0" w:type="dxa"/>
          <w:bottom w:w="0" w:type="dxa"/>
          <w:right w:w="0" w:type="dxa"/>
        </w:tblCellMar>
      </w:tblPr>
      <w:tblGrid>
        <w:gridCol w:w="3991"/>
        <w:gridCol w:w="109"/>
        <w:gridCol w:w="735"/>
        <w:gridCol w:w="2355"/>
      </w:tblGrid>
      <w:tr>
        <w:trPr/>
        <w:tc>
          <w:tcPr>
            <w:tcW w:w="3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534285" cy="175260"/>
                      <wp:effectExtent l="0" t="0" r="0" b="0"/>
                      <wp:wrapNone/>
                      <wp:docPr id="131" name="Frame130"/>
                      <a:graphic xmlns:a="http://schemas.openxmlformats.org/drawingml/2006/main">
                        <a:graphicData uri="http://schemas.microsoft.com/office/word/2010/wordprocessingShape">
                          <wps:wsp>
                            <wps:cNvSpPr txBox="1"/>
                            <wps:spPr>
                              <a:xfrm>
                                <a:off x="0" y="0"/>
                                <a:ext cx="2534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9215" cy="175260"/>
                      <wp:effectExtent l="0" t="0" r="0" b="0"/>
                      <wp:wrapNone/>
                      <wp:docPr id="132" name="Frame1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466725" cy="175260"/>
                      <wp:effectExtent l="0" t="0" r="0" b="0"/>
                      <wp:wrapNone/>
                      <wp:docPr id="133" name="Frame132"/>
                      <a:graphic xmlns:a="http://schemas.openxmlformats.org/drawingml/2006/main">
                        <a:graphicData uri="http://schemas.microsoft.com/office/word/2010/wordprocessingShape">
                          <wps:wsp>
                            <wps:cNvSpPr txBox="1"/>
                            <wps:spPr>
                              <a:xfrm>
                                <a:off x="0" y="0"/>
                                <a:ext cx="466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495425" cy="175260"/>
                      <wp:effectExtent l="0" t="0" r="0" b="0"/>
                      <wp:wrapNone/>
                      <wp:docPr id="134" name="Frame133"/>
                      <a:graphic xmlns:a="http://schemas.openxmlformats.org/drawingml/2006/main">
                        <a:graphicData uri="http://schemas.microsoft.com/office/word/2010/wordprocessingShape">
                          <wps:wsp>
                            <wps:cNvSpPr txBox="1"/>
                            <wps:spPr>
                              <a:xfrm>
                                <a:off x="0" y="0"/>
                                <a:ext cx="1495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0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For the three and six months ended</w:t>
              <w:br/>
              <w:t>June 30,</w:t>
            </w:r>
          </w:p>
        </w:tc>
      </w:tr>
      <w:tr>
        <w:trPr/>
        <w:tc>
          <w:tcPr>
            <w:tcW w:w="39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0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39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interest expense</w:t>
            </w:r>
          </w:p>
        </w:tc>
        <w:tc>
          <w:tcPr>
            <w:tcW w:w="109" w:type="dxa"/>
            <w:tcBorders/>
            <w:shd w:fill="CCEEFF" w:val="clear"/>
            <w:vAlign w:val="center"/>
          </w:tcPr>
          <w:p>
            <w:pPr>
              <w:pStyle w:val="TableContents"/>
              <w:bidi w:val="0"/>
              <w:spacing w:before="0" w:after="1"/>
              <w:ind w:left="0" w:right="0" w:hanging="0"/>
              <w:jc w:val="left"/>
              <w:rPr/>
            </w:pPr>
            <w:r>
              <w:rPr/>
              <w:t>​</w:t>
            </w:r>
          </w:p>
        </w:tc>
        <w:tc>
          <w:tcPr>
            <w:tcW w:w="7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235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1,465</w:t>
            </w:r>
          </w:p>
        </w:tc>
      </w:tr>
      <w:tr>
        <w:trPr/>
        <w:tc>
          <w:tcPr>
            <w:tcW w:w="39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commissions and offering costs</w:t>
            </w:r>
          </w:p>
        </w:tc>
        <w:tc>
          <w:tcPr>
            <w:tcW w:w="109" w:type="dxa"/>
            <w:tcBorders/>
            <w:vAlign w:val="center"/>
          </w:tcPr>
          <w:p>
            <w:pPr>
              <w:pStyle w:val="TableContents"/>
              <w:bidi w:val="0"/>
              <w:spacing w:before="0" w:after="1"/>
              <w:ind w:left="0" w:right="0" w:hanging="0"/>
              <w:jc w:val="left"/>
              <w:rPr/>
            </w:pPr>
            <w:r>
              <w:rPr/>
              <w:t>​</w:t>
            </w:r>
          </w:p>
        </w:tc>
        <w:tc>
          <w:tcPr>
            <w:tcW w:w="735" w:type="dxa"/>
            <w:tcBorders/>
            <w:vAlign w:val="center"/>
          </w:tcPr>
          <w:p>
            <w:pPr>
              <w:pStyle w:val="TableContents"/>
              <w:bidi w:val="0"/>
              <w:spacing w:before="0" w:after="1"/>
              <w:ind w:left="0" w:right="0" w:hanging="0"/>
              <w:jc w:val="right"/>
              <w:rPr/>
            </w:pPr>
            <w:r>
              <w:rPr/>
              <w:t>​</w:t>
            </w:r>
          </w:p>
        </w:tc>
        <w:tc>
          <w:tcPr>
            <w:tcW w:w="235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w:t>
            </w:r>
          </w:p>
        </w:tc>
      </w:tr>
      <w:tr>
        <w:trPr/>
        <w:tc>
          <w:tcPr>
            <w:tcW w:w="39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interest expense</w:t>
            </w:r>
          </w:p>
        </w:tc>
        <w:tc>
          <w:tcPr>
            <w:tcW w:w="109" w:type="dxa"/>
            <w:tcBorders/>
            <w:shd w:fill="CCEEFF" w:val="clear"/>
            <w:vAlign w:val="center"/>
          </w:tcPr>
          <w:p>
            <w:pPr>
              <w:pStyle w:val="TableContents"/>
              <w:bidi w:val="0"/>
              <w:spacing w:before="0" w:after="1"/>
              <w:ind w:left="0" w:right="0" w:hanging="0"/>
              <w:jc w:val="left"/>
              <w:rPr/>
            </w:pPr>
            <w:r>
              <w:rPr/>
              <w:t>​</w:t>
            </w:r>
          </w:p>
        </w:tc>
        <w:tc>
          <w:tcPr>
            <w:tcW w:w="7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2355"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1,745</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indenture contains customary events of default and covenants, including (i) certain payment defaults on the notes (ii) a default by the Company in its other obligations or agreements under the Indenture or the Notes if such default is not cured or waived within 60 days after notice is given in accordance with the Indenture; (iii) certain defaults by the Company or any of its significant subsidiaries with respect to indebtedness for borrowed money of at least $30,000,000; (iv) certain final judgments being rendered against the Company or any of its significant subsidiaries for the payment of at least $30,000,000, where such judgments are not discharged or stayed within 60 days after the date on which the right to appeal has expired or on which all rights to appeal have been extinguished; and (v) certain events of bankruptcy, insolvency and reorganization involving the Company or any of its significant subsidiaries.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 of June 30, 2026, the Company was in compliance with its covenants under the Indenture.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val="false"/>
          <w:i w:val="false"/>
          <w:caps w:val="false"/>
          <w:smallCaps w:val="false"/>
          <w:sz w:val="20"/>
        </w:rPr>
        <w:t>7</w:t>
      </w:r>
      <w:r>
        <w:rPr>
          <w:rFonts w:ascii="Times New Roman;Times;serif" w:hAnsi="Times New Roman;Times;serif"/>
          <w:b/>
          <w:i w:val="false"/>
          <w:caps w:val="false"/>
          <w:smallCaps w:val="false"/>
          <w:sz w:val="20"/>
        </w:rPr>
        <w:t>.</w:t>
      </w:r>
      <w:r>
        <w:rPr>
          <w:rFonts w:ascii="Times New Roman;Times;serif" w:hAnsi="Times New Roman;Times;serif"/>
          <w:b/>
          <w:sz w:val="20"/>
        </w:rPr>
        <w:t>License and Collaboration Revenue</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License and Collaboration Agreement with Bristol-Myers Squibb</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August 2023, the Company entered into a license and collaboration agreement (the “BMS Agreement”) with Bristol-Myers Squibb (“BMS”), under which the Company granted BMS an exclusive license to (i) develop, manufacture (subject to the Company’s rights to be the exclusive manufacturer for BMS for a certain period of time), commercialize or otherwise exploit obexelimab and any biological product (irrespective of presentations, formulations or dosages) containing obexelimab but not any of the Company’s other proprietary active ingredient (the “BMS Product”) into Japan, South Korea, Taiwan, Singapore, Hong Kong and Australia (collectively, the “BMS Territory”) and (ii) develop and manufacture obexelimab and the BMS Product outside the BMS Territory provided that obexelimab and the BMS Product are solely used in the BMS Territory.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Pursuant to the BMS Agreement, BMS paid the Company a one-time non-refundable upfront cash payment of $50.0 million. The Company is entitled to receive further separate development, regulatory milestone payments from BMS of up to approximately $79.5 million. The Company is also entitled to receive one-time sales milestone payments up to $70.0 million upon BMS achieving certain net sales milestones in a given year in the BMS Territory. The Company is also eligible to receive tiered high single-digit to low double-digit royalties on net sales in the BMS Territory, subject to specified reductions.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will continue to perform and oversee the ongoing Phase 3 trial of obexelimab in the immunoglobulin G4-related disease (“IgG4-RD”) indication and BMS will participate in the performance of the study. BMS will fund their pro rata share of the total global study costs up to a specified percentage of the patients enrolled in the study from the BMS Territory. The global development activities under the agreement do not represent a transaction with a customer and reimbursement payments received by the Company for global development activities are accounted for as a reduction of the related research and development expenses.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2026 and 2025, the Company recorded $0.8 million and $1.3 million, respectively, as a receivable included in prepaid expenses and other current assets. The Company recorded $0.8 million and $1.3 million for the three months ended June 30, 2026 and 2025, respectively, and $1.9 million and $3.0 million for the six months ended June 30, 2026 and 2025, respectively, as a reduction to research and development expense for global development costs to be reimbursed by BMS. The Company did not recognize revenue related to the BMS Agreement during the three and six months ended June 30, 2026 and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Tenacia Biotechnology Co. Novation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October 2024, the Company entered into a novation agreement with Tenacia Biotechnology (Hong Kong) Co., Limited (“Tenacia”), under which the Company transferred its rights and obligations under the agreements with Dianthus to Tenacia (the “Tenacia Agreement”).  Pursuant to the Tenacia Agreement, Tenacia paid the Company a one-time non-refundable upfront cash payment of $5.0 million, which was recognized as revenue in the fourth quarter of 2024.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During the three and six months ended June 30, 2026, the Company recognized revenue of $1.0 million, related to the achievement of a certain development milestone. The Company did not recognize revenue related to the Tenacia Agreement during the three and six months ended June 30, 2025. The Company is entitled to receive remaining development, regulatory, and sales milestones from Tenacia of up to approximately $85.0 million if certain milestones are achieved. </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License Agreement with Zai Lab (Hong Kong) Limited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January 2025, the Company entered into a license agreement (the “Zai License Agreement”), with Zai, under which the Company granted Zai an exclusive sublicense to develop, manufacture and commercialize ZB001 and related programs in greater China. Under the Zai License Agreement, Zai will be responsible for conducting all research and development activities, manufacturing, regulatory and commercialization in greater China. </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Pursuant to the Zai License Agreement, Zai paid the Company a one-time non-refundable upfront cash payment of $10.0 million. The Company is entitled to receive further development, regulatory and sales milestones from Zai up to approximately $117.0 million if certain milestones are successfully achieved, with passthrough obligations of $21.0 million due to Viridian Therapeutics, Inc. (“Viridian”). The Company is also eligible to receive tiered royalties on net sales in greater China, ranging from the low to mid-single digits, net of passthrough obligations due to Viridian.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evaluated the terms of the Zai License Agreement and determined it is within the scope of ASC 606. The Company identified the following promises in the Zai License Agreement that were evaluated under the scope of ASC 606: (i) transfer of the license for ZB001, (ii) licensed technology transfer (iii) licensed material transfer and (iv) continued licensed technology transfer. The Company also evaluated whether certain options outlined in the Zai License Agreement represented material rights that would give rise to a performance obligation and concluded that none of the options conveyed a material right to Zai or were immaterial and, therefore, are not considered separate performance obligations within the Zai License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assessed the above promises and determined that the license for ZB001 and technology transfer are a combined distinct performance obligation within the scope of ASC 606.  The licensed material transfer and the continued technology know-how transfer services are promises that are separately identifiable and considered to be distinct. The Company determined the transfer of the licensed materials and continued technology know-how transfer services were immaterial in the context of the contract based on the minimal resources required to fulfill the obligations and the estimated standalone selling price of the licensed materials. Therefore, the sublicense and technology transfer represent a single performance obligation at contract inception.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concluded that the transaction price of $10.0 million was allocated to the combined performance obligation, which was recognized upon delivery prior to March 31, 2025. The Company used the most likely amount method to estimate variable consideration and estimated that the most likely amount for each potential developmental and regulatory variable consideration milestone payment under the agreement is zero, as achievement of those milestones is uncertain and susceptible to factors outside the Company’s control. Accordingly, all such milestone payments were excluded from the transaction price. Management will reevaluate the transaction price at the end of each reporting period and as uncertain events are resolved or other changes in circumstances occur, will adjust the transaction price as necessary. Sales and royalty based milestones structured on the level of sales, were also excluded from the transaction price, as the license is deemed to be the predominant item to which the transaction price relates. The Company will recognize such milestone and royalty revenue at the later of (i) when the related sales occur, or (ii) when the performance obligation to which some or all of the royalty has been allocated has been satisfied (or partially satisfied).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2026 and 2025, no milestones were achieved or deemed probable of achievement.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val="false"/>
          <w:i w:val="false"/>
          <w:caps w:val="false"/>
          <w:smallCaps w:val="false"/>
          <w:sz w:val="20"/>
        </w:rPr>
        <w:t>8</w:t>
      </w:r>
      <w:r>
        <w:rPr>
          <w:rFonts w:ascii="Times New Roman;Times;serif" w:hAnsi="Times New Roman;Times;serif"/>
          <w:b/>
          <w:i w:val="false"/>
          <w:caps w:val="false"/>
          <w:smallCaps w:val="false"/>
          <w:sz w:val="20"/>
        </w:rPr>
        <w:t>.</w:t>
      </w:r>
      <w:r>
        <w:rPr>
          <w:rFonts w:ascii="Times New Roman;Times;serif" w:hAnsi="Times New Roman;Times;serif"/>
          <w:b/>
          <w:sz w:val="20"/>
        </w:rPr>
        <w:t>License Agreements</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License Agreements with Xencor, Inc.</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2020 Xencor Agreement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In September 2020, the Company entered into a license agreement (the “2020 Xencor Agreement”) with Xencor, Inc. (“Xencor”), under which the Company is required to pay Xencor tiered royalties on annual net sales of successfully commercialized products, including ZB002 and ZB004. The royalty percentage rates vary by geographic areas as defined in the 2020 Xencor Agreement and range from the mid-single digits to mid-teens. The Company is also obligated to reimburse Xencor for third-party costs incurred for certain patent filings, prosecution and maintenance as further specified in the 2020 Xencor Agreement. </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2021 Xencor Agreement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May 2021, the Company entered into a license agreement with Xencor (the “2021 Xencor Agreement”), under which the Company obtained an exclusive, royalty-bearing, sublicensable worldwide license to research, develop, manufacture, market and sell obexelimab. The Company is obligated to make regulatory milestone payments up to $75.0 million, including $10.0 million for FDA marketing authorization submission which was achieved during the three months ended June 30, 2026 and $20.0 million for marketing approval, and one-time sales milestone payments up to $385.0 million upon achieving milestone events of net sales in a given calendar year in the territory equal to certain threshold amounts. In addition, the Company is required to pay Xencor tiered royalties on annual net sales of successfully commercialized products utilizing obexelimab, with the royalty percentages varying based on regions and ranging from the mid-single digits to the mid-teens.</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val="false"/>
          <w:caps w:val="false"/>
          <w:smallCaps w:val="false"/>
          <w:sz w:val="20"/>
        </w:rPr>
        <w:t>During the three months ended June 30, 2026, the Company completed the FDA marketing authorization submission and made a $10.0</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million milestone payment which was recorded as acquired in-process research and development expense. During three and six months ended June 30, 2026 and 2025, the Company did not record any reimbursable patent-related costs.</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License Agreement with Viridian Therapeutics, Inc.</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October 2020, the Company entered into a license agreement with Viridian (the “Viridian Agreement”) to obtain an exclusive, royalty-bearing, sublicensable license to research, develop, manufacture, market and sell certain antibody product candidates based on Viridian’s proprietary technology. The Company’s license rights are limited to non-oncology indications and are limited to China, Hong Kong, Macau and Taiwan (“Zenas Territories”). The Viridian Agreement, as amended, obligates the Company to make payments to Viridian, totaling $21.0 million, based on achievement of certain specified development and sales milestones, and royalties on net sales.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January 2025, the Company entered the Zai License Agreement under which the Company granted Zai an exclusive sublicense to develop, manufacture and commercialize ZB001 and related programs in greater China. In connection with the Zai License Agreement, the Company assigned the Viridian Supply Agreement to Zai. For additional information on the Zai License Agreement, please see </w:t>
      </w:r>
      <w:r>
        <w:rPr>
          <w:rFonts w:ascii="Times New Roman;Times;serif" w:hAnsi="Times New Roman;Times;serif"/>
          <w:i/>
          <w:sz w:val="20"/>
        </w:rPr>
        <w:t>License Agreement with Zai Lab (Hong Kong) Limited</w:t>
      </w:r>
      <w:r>
        <w:rPr>
          <w:rFonts w:ascii="Times New Roman;Times;serif" w:hAnsi="Times New Roman;Times;serif"/>
          <w:sz w:val="20"/>
        </w:rPr>
        <w:t xml:space="preserve"> in </w:t>
      </w:r>
      <w:r>
        <w:rPr>
          <w:rFonts w:ascii="Times New Roman;Times;serif" w:hAnsi="Times New Roman;Times;serif"/>
          <w:i/>
          <w:sz w:val="20"/>
        </w:rPr>
        <w:t>Note 7 – License and Collaboration Revenue</w:t>
      </w:r>
      <w:r>
        <w:rPr>
          <w:rFonts w:ascii="Times New Roman;Times;serif" w:hAnsi="Times New Roman;Times;serif"/>
          <w:sz w:val="20"/>
        </w:rPr>
        <w:t xml:space="preserve"> to these unaudited condensed consolidated financial statements. </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three and six months ended June 30, 2026 and 2025, the Company did not incur expenses related to Viridian contract manufacturing organization (“CMO”) costs. Viridian has agreed to reimburse the Company for certain services the Company performs on Viridian’s behalf, with reimbursements being recorded as a reduction in research and development expenses. During the three and six months ended June 30, 2026, the Company did not incur any reimbursable expenses. During the three and six months ended June 30, 2025, the Company recorded an immaterial amount and $0.2 million in reimbursable expenses, respectively. Additionally, during the six months ended June 30, 2026 and 2025, the Company did not achieve any milestones.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80"/>
        <w:ind w:left="0" w:right="0" w:hanging="0"/>
        <w:jc w:val="both"/>
        <w:rPr>
          <w:rFonts w:ascii="Times New Roman;Times;serif" w:hAnsi="Times New Roman;Times;serif"/>
          <w:i/>
          <w:sz w:val="20"/>
        </w:rPr>
      </w:pPr>
      <w:r>
        <w:rPr>
          <w:rFonts w:ascii="Times New Roman;Times;serif" w:hAnsi="Times New Roman;Times;serif"/>
          <w:i/>
          <w:sz w:val="20"/>
        </w:rPr>
        <w:t xml:space="preserve">License Agreement with InnoCare Pharma Inc. </w:t>
      </w:r>
    </w:p>
    <w:p>
      <w:pPr>
        <w:pStyle w:val="TextBody"/>
        <w:bidi w:val="0"/>
        <w:spacing w:before="0" w:after="180"/>
        <w:ind w:left="0" w:right="0" w:hanging="0"/>
        <w:jc w:val="both"/>
        <w:rPr>
          <w:rFonts w:ascii="Times New Roman;Times;serif" w:hAnsi="Times New Roman;Times;serif"/>
          <w:sz w:val="20"/>
        </w:rPr>
      </w:pPr>
      <w:r>
        <w:rPr>
          <w:rFonts w:ascii="Times New Roman;Times;serif" w:hAnsi="Times New Roman;Times;serif"/>
          <w:sz w:val="20"/>
        </w:rPr>
        <w:t>In October 2025, the Company entered into a License Agreement (the “InnoCare License Agreement”) with InnoCare Pharma Inc. (“InnoCare”). Under the InnoCare License Agreement, InnoCare granted the Company exclusive rights to develop, manufacture, and commercialize: i) orelabrutinib, in the multiple sclerosis (“MS”) field worldwide, and in all non-oncology indications outside greater China and Brunei, Burma, Cambodia, Timor-Leste, Indonesia, Laos, Malaysia, Philippines, Singapore, Thailand and Vietnam (“Southeast Asia”), ii) ZB021 (an IL-17AA/AF inhibitor) in all fields of use worldwide, excluding greater China and Southeast Asia and iii) ZB022 (a TYK2 inhibitor) in all fields of use worldwide. The Company also obtained certain non-exclusive rights to perform development and manufacturing activities in greater China and Southeast Asia to support each program in its respective licensed territories.  </w:t>
      </w:r>
    </w:p>
    <w:p>
      <w:pPr>
        <w:pStyle w:val="TextBody"/>
        <w:bidi w:val="0"/>
        <w:spacing w:before="0" w:after="180"/>
        <w:ind w:left="0" w:right="0" w:hanging="0"/>
        <w:jc w:val="both"/>
        <w:rPr>
          <w:rFonts w:ascii="Times New Roman;Times;serif" w:hAnsi="Times New Roman;Times;serif"/>
          <w:sz w:val="20"/>
        </w:rPr>
      </w:pPr>
      <w:r>
        <w:rPr>
          <w:rFonts w:ascii="Times New Roman;Times;serif" w:hAnsi="Times New Roman;Times;serif"/>
          <w:sz w:val="20"/>
        </w:rPr>
        <w:t xml:space="preserve">Pursuant to the InnoCare License Agreement, the Company made one-time non-refundable upfront cash payments totaling $35.0 million and issued 5,000,000 shares of common stock to InnoCare (“InnoCare Shares”) in exchange for these rights. </w:t>
      </w:r>
    </w:p>
    <w:p>
      <w:pPr>
        <w:pStyle w:val="TextBody"/>
        <w:bidi w:val="0"/>
        <w:spacing w:before="0" w:after="180"/>
        <w:ind w:left="0" w:right="0" w:hanging="0"/>
        <w:jc w:val="both"/>
        <w:rPr>
          <w:rFonts w:ascii="Times New Roman;Times;serif" w:hAnsi="Times New Roman;Times;serif"/>
          <w:sz w:val="20"/>
        </w:rPr>
      </w:pPr>
      <w:r>
        <w:rPr>
          <w:rFonts w:ascii="Times New Roman;Times;serif" w:hAnsi="Times New Roman;Times;serif"/>
          <w:sz w:val="20"/>
        </w:rPr>
        <w:t>The Company is also required to make an additional one-time non-refundable cash payment of $25.0 million and issue an additional 2,000,000 shares of common stock to InnoCare upon the achievement of a specified development milestone related to Zenas’ Phase 3 clinical trial for orelabrutinib in any indication other than primary progressive MS, or by March 31, 2026, upon the occurrence of certain specified events, whichever comes first (the “Near-term Milestone”). In addition, the Company has agreed to make one-time, potential near-term milestone payments of $20.0 million each, upon the achievement of certain regulatory milestones for ZB021 and ZB022 (the “Regulatory Milestones”). During the three months ended June 30, 2026, the Company achieved the ZB021 Regulatory Milestone and made a payment of $20.0 million, which was recorded as acquired in-process research and development expense.</w:t>
      </w:r>
    </w:p>
    <w:p>
      <w:pPr>
        <w:pStyle w:val="TextBody"/>
        <w:bidi w:val="0"/>
        <w:spacing w:before="0" w:after="180"/>
        <w:ind w:left="0" w:right="0" w:hanging="0"/>
        <w:jc w:val="both"/>
        <w:rPr>
          <w:rFonts w:ascii="Times New Roman;Times;serif" w:hAnsi="Times New Roman;Times;serif"/>
          <w:sz w:val="20"/>
        </w:rPr>
      </w:pPr>
      <w:r>
        <w:rPr>
          <w:rFonts w:ascii="Times New Roman;Times;serif" w:hAnsi="Times New Roman;Times;serif"/>
          <w:sz w:val="20"/>
        </w:rPr>
        <w:t xml:space="preserve">The Company is further obligated to pay future regulatory and commercial milestones of up to $723.0 million related to orelabrutinib, and future development, regulatory, and commercial milestones of up to $636.0 million for ZB021, and $656.0 million for ZB022, inclusive of the $20.0 million Regulatory Milestone for ZB022 specified above, if certain milestones are successfully achieved. In addition, the Company is obligated to pay royalties on net sales at rates ranging from high-single digits to high-teens for orelabrutinib, and mid-single digits to mid-teens for the preclinical compounds.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Under the InnoCare License Agreement, the Company is obligated to reimburse InnoCare for certain clinical trial startup costs and Investigational New Drug (“IND”) enabling activities which were incurred prior to and after the effective date of the agreement. During the three and six months ended June 30, 2026, the Company incurred $0.7 million and $1.9 million of expense, respectively. During the three and six months ended June 30, 2026, the Company made payments of $1.4 million and $2.2 million to InnoCare related to the acquired programs, respectively. </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9.</w:t>
      </w:r>
      <w:r>
        <w:rPr>
          <w:rFonts w:ascii="Times New Roman;Times;serif" w:hAnsi="Times New Roman;Times;serif"/>
          <w:b/>
          <w:sz w:val="20"/>
        </w:rPr>
        <w:t>Royalty Obligation</w:t>
      </w:r>
    </w:p>
    <w:p>
      <w:pPr>
        <w:pStyle w:val="TextBody"/>
        <w:bidi w:val="0"/>
        <w:spacing w:before="280" w:after="0"/>
        <w:ind w:left="0" w:right="0" w:hanging="0"/>
        <w:jc w:val="both"/>
        <w:rPr>
          <w:rFonts w:ascii="Times New Roman;Times;serif" w:hAnsi="Times New Roman;Times;serif"/>
          <w:sz w:val="20"/>
        </w:rPr>
      </w:pPr>
      <w:r>
        <w:rPr>
          <w:rFonts w:ascii="Times New Roman;Times;serif" w:hAnsi="Times New Roman;Times;serif"/>
          <w:sz w:val="20"/>
        </w:rPr>
        <w:t>In September 2025, the Company and Royalty Pharma entered into the Royalty Purchase Agreement. Pursuant to the Royalty Purchase Agreement, the Company received a $75.0 million upfront payment in exchange for which Royalty Pharma purchased the right to receive, for each calendar quarter, (i) 5.5%</w:t>
      </w:r>
      <w:r>
        <w:rPr>
          <w:rFonts w:ascii="Times New Roman;Times;serif" w:hAnsi="Times New Roman;Times;serif"/>
          <w:sz w:val="20"/>
          <w:shd w:fill="FFFFFF" w:val="clear"/>
        </w:rPr>
        <w:t xml:space="preserve"> of net sales of obexelimab products sold by the Company and its affiliates worldwide, (ii) 5.5% of net sales of obexelimab products sold by licensees of Zenas and its affiliates in the U.S., the United Kingdom and the European Union, (iii) 25% of royalty income payable to Zenas or any of its affiliates on sales of obexelimab products in countries other than the U.S., the United Kingdom, and in the European Union by its licensees pursuant to out-licenses less royalty payments payable by Zenas to Xencor Inc. and (iv) 25% of non-royalty income attributable to obexelimab products payable to Zenas or any of its affiliates by its licensees (other than certain milestone payments payable by Bristol-Myers Squibb) pursuant to out-licenses and allocated to countries other than the U.S., the United Kingdom and in the European Union.</w:t>
      </w:r>
    </w:p>
    <w:p>
      <w:pPr>
        <w:pStyle w:val="TextBody"/>
        <w:bidi w:val="0"/>
        <w:spacing w:before="280" w:after="0"/>
        <w:ind w:left="0" w:right="0" w:hanging="0"/>
        <w:jc w:val="both"/>
        <w:rPr>
          <w:rFonts w:ascii="Times New Roman;Times;serif" w:hAnsi="Times New Roman;Times;serif"/>
          <w:sz w:val="20"/>
        </w:rPr>
      </w:pPr>
      <w:r>
        <w:rPr>
          <w:rFonts w:ascii="Times New Roman;Times;serif" w:hAnsi="Times New Roman;Times;serif"/>
          <w:sz w:val="20"/>
        </w:rPr>
        <w:t>The Royalty Purchase Agreement provides for an additional $225.0 million of payments to be paid to the Company by Royalty Pharma upon the occurrence of certain triggering events which includes (1) $75.0 million payable upon the achievement of certain milestones with respect to Zenas’ INDIGO Phase 3 Trial, noting the Company is not currently eligible for this milestone, (2) $75.0 million payable following receipt of marketing approval for obexelimab from the U.S. Food and Drug Administration (the “FDA”) for the treatment of IgG4-Related Disease on or before a specified date and (3) $75.0 million payable following receipt of marketing approval for obexelimab from the FDA for the treatment of systemic lupus erythematosus on or before a specified date.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bookmarkStart w:id="951" w:name="Tc_dNAtieO7nky0LDHIGRvaVg_7_0"/>
      <w:bookmarkStart w:id="952" w:name="Tc_LU7U7CmME0Ki71d0H_Ds7A_6_2"/>
      <w:bookmarkStart w:id="953" w:name="Tc_BcJ635PoU0KDt1QwHJ4m6w_6_0"/>
      <w:bookmarkStart w:id="954" w:name="Tc_3q1I6x3wVEOh26YvYRtNVg_5_0"/>
      <w:bookmarkStart w:id="955" w:name="Tc_0CmHguPIMUOSYrcOsn2R2A_4_0"/>
      <w:bookmarkStart w:id="956" w:name="Tc_0YE70qQNmUapF7ux455G5Q_3_2"/>
      <w:bookmarkStart w:id="957" w:name="Tc_D19miUQr0k-rGV2q046GiA_3_0"/>
      <w:bookmarkStart w:id="958" w:name="Tc_sxZKaGx26kyM5pQUN_lueg_2_2"/>
      <w:bookmarkStart w:id="959" w:name="_63892d59_f458_4f0e_9bf8_b2f991cfda31"/>
      <w:bookmarkEnd w:id="951"/>
      <w:bookmarkEnd w:id="952"/>
      <w:bookmarkEnd w:id="953"/>
      <w:bookmarkEnd w:id="954"/>
      <w:bookmarkEnd w:id="955"/>
      <w:bookmarkEnd w:id="956"/>
      <w:bookmarkEnd w:id="957"/>
      <w:bookmarkEnd w:id="958"/>
      <w:bookmarkEnd w:id="959"/>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accounted for the Royalty Purchase Agreement as a debt financing, primarily because it has significant continuing involvement in generating the future revenue on which the royalty payments are based. The $75.0 million upfront payment received was recorded as a liability, net of issuance costs of $3.7 million. The effective interest rate was determined based on the Company’s projections of future payments to Royalty Pharma. The Company will evaluate the estimated timing and amount of future royalty payments for each reporting period and will revise the effective interest rate prospectively if those estimates change materially.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shows the activity within the liability account of the arrangement (in thousands):</w:t>
      </w:r>
    </w:p>
    <w:p>
      <w:pPr>
        <w:pStyle w:val="TextBody"/>
        <w:bidi w:val="0"/>
        <w:spacing w:before="0" w:after="0"/>
        <w:ind w:left="0" w:right="0" w:hanging="0"/>
        <w:jc w:val="both"/>
        <w:rPr/>
      </w:pPr>
      <w:r>
        <w:rPr/>
        <w:t>​</w:t>
      </w:r>
    </w:p>
    <w:tbl>
      <w:tblPr>
        <w:tblW w:w="5432" w:type="dxa"/>
        <w:jc w:val="left"/>
        <w:tblInd w:w="0" w:type="dxa"/>
        <w:tblLayout w:type="fixed"/>
        <w:tblCellMar>
          <w:top w:w="0" w:type="dxa"/>
          <w:left w:w="0" w:type="dxa"/>
          <w:bottom w:w="0" w:type="dxa"/>
          <w:right w:w="0" w:type="dxa"/>
        </w:tblCellMar>
      </w:tblPr>
      <w:tblGrid>
        <w:gridCol w:w="3766"/>
        <w:gridCol w:w="346"/>
        <w:gridCol w:w="294"/>
        <w:gridCol w:w="1026"/>
      </w:tblGrid>
      <w:tr>
        <w:trPr/>
        <w:tc>
          <w:tcPr>
            <w:tcW w:w="3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391410" cy="175260"/>
                      <wp:effectExtent l="0" t="0" r="0" b="0"/>
                      <wp:wrapNone/>
                      <wp:docPr id="135" name="Frame134"/>
                      <a:graphic xmlns:a="http://schemas.openxmlformats.org/drawingml/2006/main">
                        <a:graphicData uri="http://schemas.microsoft.com/office/word/2010/wordprocessingShape">
                          <wps:wsp>
                            <wps:cNvSpPr txBox="1"/>
                            <wps:spPr>
                              <a:xfrm>
                                <a:off x="0" y="0"/>
                                <a:ext cx="2391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19710" cy="175260"/>
                      <wp:effectExtent l="0" t="0" r="0" b="0"/>
                      <wp:wrapNone/>
                      <wp:docPr id="136" name="Frame1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86690" cy="175260"/>
                      <wp:effectExtent l="0" t="0" r="0" b="0"/>
                      <wp:wrapNone/>
                      <wp:docPr id="137" name="Frame136"/>
                      <a:graphic xmlns:a="http://schemas.openxmlformats.org/drawingml/2006/main">
                        <a:graphicData uri="http://schemas.microsoft.com/office/word/2010/wordprocessingShape">
                          <wps:wsp>
                            <wps:cNvSpPr txBox="1"/>
                            <wps:spPr>
                              <a:xfrm>
                                <a:off x="0" y="0"/>
                                <a:ext cx="186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51510" cy="175260"/>
                      <wp:effectExtent l="0" t="0" r="0" b="0"/>
                      <wp:wrapNone/>
                      <wp:docPr id="138" name="Frame137"/>
                      <a:graphic xmlns:a="http://schemas.openxmlformats.org/drawingml/2006/main">
                        <a:graphicData uri="http://schemas.microsoft.com/office/word/2010/wordprocessingShape">
                          <wps:wsp>
                            <wps:cNvSpPr txBox="1"/>
                            <wps:spPr>
                              <a:xfrm>
                                <a:off x="0" y="0"/>
                                <a:ext cx="651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66" w:type="dxa"/>
            <w:tcBorders/>
            <w:shd w:fill="FFFFFF" w:val="clear"/>
            <w:vAlign w:val="center"/>
          </w:tcPr>
          <w:p>
            <w:pPr>
              <w:pStyle w:val="TableContents"/>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w:t>
            </w:r>
          </w:p>
        </w:tc>
        <w:tc>
          <w:tcPr>
            <w:tcW w:w="294" w:type="dxa"/>
            <w:tcBorders/>
            <w:shd w:fill="FFFFFF" w:val="clear"/>
            <w:vAlign w:val="center"/>
          </w:tcPr>
          <w:p>
            <w:pPr>
              <w:pStyle w:val="TableContents"/>
              <w:bidi w:val="0"/>
              <w:spacing w:before="0" w:after="0"/>
              <w:ind w:left="0" w:right="0" w:hanging="0"/>
              <w:jc w:val="left"/>
              <w:rPr/>
            </w:pPr>
            <w:r>
              <w:rPr/>
              <w:t>​</w:t>
            </w:r>
          </w:p>
        </w:tc>
        <w:tc>
          <w:tcPr>
            <w:tcW w:w="1026" w:type="dxa"/>
            <w:tcBorders/>
            <w:shd w:fill="FFFFFF" w:val="clear"/>
            <w:vAlign w:val="center"/>
          </w:tcPr>
          <w:p>
            <w:pPr>
              <w:pStyle w:val="TableContents"/>
              <w:bidi w:val="0"/>
              <w:spacing w:before="0" w:after="0"/>
              <w:ind w:left="0" w:right="0" w:hanging="0"/>
              <w:jc w:val="left"/>
              <w:rPr/>
            </w:pPr>
            <w:r>
              <w:rPr/>
              <w:t>​</w:t>
            </w:r>
          </w:p>
        </w:tc>
      </w:tr>
      <w:tr>
        <w:trPr/>
        <w:tc>
          <w:tcPr>
            <w:tcW w:w="3766" w:type="dxa"/>
            <w:tcBorders/>
            <w:shd w:fill="FFFFFF" w:val="clear"/>
            <w:vAlign w:val="center"/>
          </w:tcPr>
          <w:p>
            <w:pPr>
              <w:pStyle w:val="TableContents"/>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  ​ ​ ​</w:t>
            </w:r>
          </w:p>
        </w:tc>
        <w:tc>
          <w:tcPr>
            <w:tcW w:w="13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Period from </w:t>
              <w:br/>
              <w:t xml:space="preserve">inception to </w:t>
              <w:br/>
              <w:t>June 30, 2026</w:t>
            </w:r>
          </w:p>
        </w:tc>
      </w:tr>
      <w:tr>
        <w:trPr/>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royalty obligation</w:t>
            </w:r>
          </w:p>
        </w:tc>
        <w:tc>
          <w:tcPr>
            <w:tcW w:w="346"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75,000</w:t>
            </w:r>
          </w:p>
        </w:tc>
      </w:tr>
      <w:tr>
        <w:trPr/>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costs</w:t>
            </w:r>
          </w:p>
        </w:tc>
        <w:tc>
          <w:tcPr>
            <w:tcW w:w="346"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(3,691)</w:t>
            </w:r>
          </w:p>
        </w:tc>
      </w:tr>
      <w:tr>
        <w:trPr/>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related to royalty obligation</w:t>
            </w:r>
          </w:p>
        </w:tc>
        <w:tc>
          <w:tcPr>
            <w:tcW w:w="346"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pPr>
            <w:r>
              <w:rPr/>
              <w:t>​</w:t>
            </w:r>
          </w:p>
        </w:tc>
        <w:tc>
          <w:tcPr>
            <w:tcW w:w="10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20,428</w:t>
            </w:r>
          </w:p>
        </w:tc>
      </w:tr>
      <w:tr>
        <w:trPr/>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Royalty obligation as of June 30, 2026</w:t>
            </w:r>
          </w:p>
        </w:tc>
        <w:tc>
          <w:tcPr>
            <w:tcW w:w="346"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91,737</w:t>
            </w:r>
          </w:p>
        </w:tc>
      </w:tr>
      <w:tr>
        <w:trPr/>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Effective interest rate</w:t>
            </w:r>
          </w:p>
        </w:tc>
        <w:tc>
          <w:tcPr>
            <w:tcW w:w="346"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pPr>
            <w:r>
              <w:rPr/>
              <w:t>​</w:t>
            </w:r>
          </w:p>
        </w:tc>
        <w:tc>
          <w:tcPr>
            <w:tcW w:w="102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32.3%</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fair value of the liability approximates the carrying value and was determined based on the current estimate of the timing and amount of expected future royalty payments expected to be paid over the estimated term of the Royalty Purchase Agreement, which are subject to significant estimation uncertainty and are based on various assumptions made by the Company. These assumption inputs are determined to be Level 3 inputs in the fair value hierarchy as they involve significant unobservable inputs and judgment. </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10.</w:t>
      </w:r>
      <w:r>
        <w:rPr>
          <w:rFonts w:ascii="Times New Roman;Times;serif" w:hAnsi="Times New Roman;Times;serif"/>
          <w:b/>
          <w:sz w:val="20"/>
        </w:rPr>
        <w:t>Common Stock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September 2024, upon the completion of the IPO, the Company restated its certificate of incorporation, pursuant to which the Company is authorized to issue 175,000,000 shares of common stock $0.0001 par value. The voting, dividend and liquidation rights of the holders of the Company’s common stock were subject to and qualified by the rights, powers and preference of the holders of any preferred stock then issued and outstanding.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October 2025, the Company entered into a sales agreement with Jefferies under which the Company could, from time to time, issue and sell shares of its common stock having aggregate sales proceeds of up to $200.0 million, in a series of one or more at-the-market equity offerings (“2025 ATM Program”). The Company’s common stock will be sold at prevailing market prices at the time of the sale; and as a result, prices may vary. For the three months ended June 30, 2026, the Company did not sell any shares of common stock under the 2025 ATM Program. As of June 30, 2026, $96.8 million remained available under the 2025 ATM Program.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October 2025, the Company entered into a securities purchase agreement for a private placement in public entity (“PIPE”) (the “PIPE Purchase Agreement”), pursuant to which the Company sold (i) 6,262,112 shares of common stock to certain institutional and accredited investors at a price of $19.00 per share and (ii) 48,918 shares of common stock to certain directors and officers of the Company at a price of $20.85 per share. The net proceeds from the PIPE offering, after deducting placement agent fees and other offering costs were $111.8 million.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March 2026, the Company completed a follow-on equity offering under which it issued and sold 5,000,000 shares of common stock at a public offering price of $20.00 per share. Total proceeds for the follow-on offering were approximately $100.0 million, before deducting commissions and estimated offering costs of $6.4 million payable by the Company.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April 2026, the underwriters of the Company’s follow-on equity offering exercised their overallotment option in full, pursuant to which the Company issued and sold an additional 750,000 shares of common stock, at $20.00 per share, for gross proceeds of $15.0 million, before deducting commissions and estimated offering costs of $0.9 million payable by the Company.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960" w:name="Tc_6XW3oWZN_0KhFyLwpN_DOw_7_0"/>
      <w:bookmarkStart w:id="961" w:name="Tc_-IlTmdtJa0qq6RZERsHGbg_6_4"/>
      <w:bookmarkStart w:id="962" w:name="Tc_lIz86b2bWkiF7qXxnMZEBg_6_0"/>
      <w:bookmarkStart w:id="963" w:name="Tc_sz6ld-3zhkGKDG8io9bSlA_5_0"/>
      <w:bookmarkStart w:id="964" w:name="Tc_YuLaaBejE0a2wl38jcdneg_4_0"/>
      <w:bookmarkStart w:id="965" w:name="Tc_R5DrYvRaAESOrx5228dF1w_3_0"/>
      <w:bookmarkStart w:id="966" w:name="Tc_cMhgAHHSXkGHbpiXTuWIOA_2_0"/>
      <w:bookmarkStart w:id="967" w:name="Tc_m7ygeUeo0k-SBOMn4dy2wA_1_4"/>
      <w:bookmarkStart w:id="968" w:name="Tc_Wk87LUwmyUySm6CrJ5uCPQ_1_2"/>
      <w:bookmarkStart w:id="969" w:name="_ec13a8c7_1800_4abd_845b_a82bacac293c"/>
      <w:bookmarkEnd w:id="960"/>
      <w:bookmarkEnd w:id="961"/>
      <w:bookmarkEnd w:id="962"/>
      <w:bookmarkEnd w:id="963"/>
      <w:bookmarkEnd w:id="964"/>
      <w:bookmarkEnd w:id="965"/>
      <w:bookmarkEnd w:id="966"/>
      <w:bookmarkEnd w:id="967"/>
      <w:bookmarkEnd w:id="968"/>
      <w:bookmarkEnd w:id="969"/>
      <w:r>
        <w:rPr>
          <w:rFonts w:ascii="Times New Roman;Times;serif" w:hAnsi="Times New Roman;Times;serif"/>
          <w:sz w:val="20"/>
        </w:rPr>
        <w:t xml:space="preserve">The holders of the common stock are entitled to one vote for each share of common stock held at all meetings of stockholders (and written actions in lieu of meetings), and there are no cumulative voting rights. </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The Company has reserved the following shares of common stock for the potential conversion of outstanding stock options, restricted stock units (“RSUs”), employee stock purchase plan and conversion of Convertible Notes:</w:t>
      </w:r>
    </w:p>
    <w:p>
      <w:pPr>
        <w:pStyle w:val="TextBody"/>
        <w:bidi w:val="0"/>
        <w:spacing w:before="0" w:after="0"/>
        <w:ind w:left="0" w:right="0" w:hanging="0"/>
        <w:jc w:val="left"/>
        <w:rPr/>
      </w:pPr>
      <w:r>
        <w:rPr/>
        <w:t>​</w:t>
      </w:r>
    </w:p>
    <w:tbl>
      <w:tblPr>
        <w:tblW w:w="8090" w:type="dxa"/>
        <w:jc w:val="left"/>
        <w:tblInd w:w="0" w:type="dxa"/>
        <w:tblLayout w:type="fixed"/>
        <w:tblCellMar>
          <w:top w:w="0" w:type="dxa"/>
          <w:left w:w="0" w:type="dxa"/>
          <w:bottom w:w="0" w:type="dxa"/>
          <w:right w:w="0" w:type="dxa"/>
        </w:tblCellMar>
      </w:tblPr>
      <w:tblGrid>
        <w:gridCol w:w="4651"/>
        <w:gridCol w:w="346"/>
        <w:gridCol w:w="1156"/>
        <w:gridCol w:w="346"/>
        <w:gridCol w:w="1591"/>
      </w:tblGrid>
      <w:tr>
        <w:trPr/>
        <w:tc>
          <w:tcPr>
            <w:tcW w:w="4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953385" cy="175260"/>
                      <wp:effectExtent l="0" t="0" r="0" b="0"/>
                      <wp:wrapNone/>
                      <wp:docPr id="139" name="Frame138"/>
                      <a:graphic xmlns:a="http://schemas.openxmlformats.org/drawingml/2006/main">
                        <a:graphicData uri="http://schemas.microsoft.com/office/word/2010/wordprocessingShape">
                          <wps:wsp>
                            <wps:cNvSpPr txBox="1"/>
                            <wps:spPr>
                              <a:xfrm>
                                <a:off x="0" y="0"/>
                                <a:ext cx="2953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19710" cy="175260"/>
                      <wp:effectExtent l="0" t="0" r="0" b="0"/>
                      <wp:wrapNone/>
                      <wp:docPr id="140" name="Frame1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734060" cy="175260"/>
                      <wp:effectExtent l="0" t="0" r="0" b="0"/>
                      <wp:wrapNone/>
                      <wp:docPr id="141" name="Frame140"/>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19710" cy="175260"/>
                      <wp:effectExtent l="0" t="0" r="0" b="0"/>
                      <wp:wrapNone/>
                      <wp:docPr id="142" name="Frame1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010285" cy="175260"/>
                      <wp:effectExtent l="0" t="0" r="0" b="0"/>
                      <wp:wrapNone/>
                      <wp:docPr id="143" name="Frame142"/>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6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2026</w:t>
            </w:r>
          </w:p>
        </w:tc>
        <w:tc>
          <w:tcPr>
            <w:tcW w:w="346" w:type="dxa"/>
            <w:tcBorders/>
            <w:vAlign w:val="center"/>
          </w:tcPr>
          <w:p>
            <w:pPr>
              <w:pStyle w:val="TableContents"/>
              <w:bidi w:val="0"/>
              <w:spacing w:before="0" w:after="1"/>
              <w:ind w:left="0" w:right="0" w:hanging="0"/>
              <w:jc w:val="left"/>
              <w:rPr/>
            </w:pPr>
            <w:r>
              <w:rPr/>
              <w:t>  ​ ​ ​</w:t>
            </w:r>
          </w:p>
        </w:tc>
        <w:tc>
          <w:tcPr>
            <w:tcW w:w="15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31, 2025</w:t>
            </w:r>
          </w:p>
        </w:tc>
      </w:tr>
      <w:tr>
        <w:trPr/>
        <w:tc>
          <w:tcPr>
            <w:tcW w:w="46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Options to purchase common stock</w:t>
            </w:r>
          </w:p>
        </w:tc>
        <w:tc>
          <w:tcPr>
            <w:tcW w:w="346"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12,645,400</w:t>
            </w:r>
          </w:p>
        </w:tc>
        <w:tc>
          <w:tcPr>
            <w:tcW w:w="346" w:type="dxa"/>
            <w:tcBorders/>
            <w:shd w:fill="CCEEFF" w:val="clear"/>
            <w:vAlign w:val="center"/>
          </w:tcPr>
          <w:p>
            <w:pPr>
              <w:pStyle w:val="TableContents"/>
              <w:bidi w:val="0"/>
              <w:spacing w:before="0" w:after="1"/>
              <w:ind w:left="0" w:right="0" w:hanging="0"/>
              <w:jc w:val="left"/>
              <w:rPr/>
            </w:pPr>
            <w:r>
              <w:rPr/>
              <w:t>​</w:t>
            </w:r>
          </w:p>
        </w:tc>
        <w:tc>
          <w:tcPr>
            <w:tcW w:w="15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10,675,615</w:t>
            </w:r>
          </w:p>
        </w:tc>
      </w:tr>
      <w:tr>
        <w:trPr/>
        <w:tc>
          <w:tcPr>
            <w:tcW w:w="46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Remaining shares reserved for future issuance</w:t>
            </w:r>
          </w:p>
        </w:tc>
        <w:tc>
          <w:tcPr>
            <w:tcW w:w="346"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1,299,197</w:t>
            </w:r>
          </w:p>
        </w:tc>
        <w:tc>
          <w:tcPr>
            <w:tcW w:w="346" w:type="dxa"/>
            <w:tcBorders/>
            <w:vAlign w:val="center"/>
          </w:tcPr>
          <w:p>
            <w:pPr>
              <w:pStyle w:val="TableContents"/>
              <w:bidi w:val="0"/>
              <w:spacing w:before="0" w:after="1"/>
              <w:ind w:left="0" w:right="0" w:hanging="0"/>
              <w:jc w:val="left"/>
              <w:rPr/>
            </w:pPr>
            <w:r>
              <w:rPr/>
              <w:t>​</w:t>
            </w:r>
          </w:p>
        </w:tc>
        <w:tc>
          <w:tcPr>
            <w:tcW w:w="15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431,863</w:t>
            </w:r>
          </w:p>
        </w:tc>
      </w:tr>
      <w:tr>
        <w:trPr/>
        <w:tc>
          <w:tcPr>
            <w:tcW w:w="46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RSUs</w:t>
            </w:r>
          </w:p>
        </w:tc>
        <w:tc>
          <w:tcPr>
            <w:tcW w:w="346"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1,263,694</w:t>
            </w:r>
          </w:p>
        </w:tc>
        <w:tc>
          <w:tcPr>
            <w:tcW w:w="346" w:type="dxa"/>
            <w:tcBorders/>
            <w:shd w:fill="CCEEFF" w:val="clear"/>
            <w:vAlign w:val="center"/>
          </w:tcPr>
          <w:p>
            <w:pPr>
              <w:pStyle w:val="TableContents"/>
              <w:bidi w:val="0"/>
              <w:spacing w:before="0" w:after="1"/>
              <w:ind w:left="0" w:right="0" w:hanging="0"/>
              <w:jc w:val="left"/>
              <w:rPr/>
            </w:pPr>
            <w:r>
              <w:rPr/>
              <w:t>​</w:t>
            </w:r>
          </w:p>
        </w:tc>
        <w:tc>
          <w:tcPr>
            <w:tcW w:w="15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599,675</w:t>
            </w:r>
          </w:p>
        </w:tc>
      </w:tr>
      <w:tr>
        <w:trPr/>
        <w:tc>
          <w:tcPr>
            <w:tcW w:w="46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Employee stock purchase plan</w:t>
            </w:r>
          </w:p>
        </w:tc>
        <w:tc>
          <w:tcPr>
            <w:tcW w:w="346"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1,273,608</w:t>
            </w:r>
          </w:p>
        </w:tc>
        <w:tc>
          <w:tcPr>
            <w:tcW w:w="346" w:type="dxa"/>
            <w:tcBorders/>
            <w:vAlign w:val="center"/>
          </w:tcPr>
          <w:p>
            <w:pPr>
              <w:pStyle w:val="TableContents"/>
              <w:bidi w:val="0"/>
              <w:spacing w:before="0" w:after="1"/>
              <w:ind w:left="0" w:right="0" w:hanging="0"/>
              <w:jc w:val="left"/>
              <w:rPr/>
            </w:pPr>
            <w:r>
              <w:rPr/>
              <w:t>​</w:t>
            </w:r>
          </w:p>
        </w:tc>
        <w:tc>
          <w:tcPr>
            <w:tcW w:w="15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773,122</w:t>
            </w:r>
          </w:p>
        </w:tc>
      </w:tr>
      <w:tr>
        <w:trPr/>
        <w:tc>
          <w:tcPr>
            <w:tcW w:w="465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Common stock reserved under convertible senior notes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13,225,000</w:t>
            </w:r>
          </w:p>
        </w:tc>
        <w:tc>
          <w:tcPr>
            <w:tcW w:w="346" w:type="dxa"/>
            <w:tcBorders/>
            <w:shd w:fill="CCEEFF" w:val="clear"/>
            <w:vAlign w:val="center"/>
          </w:tcPr>
          <w:p>
            <w:pPr>
              <w:pStyle w:val="TableContents"/>
              <w:bidi w:val="0"/>
              <w:spacing w:before="0" w:after="1"/>
              <w:ind w:left="0" w:right="0" w:hanging="0"/>
              <w:jc w:val="left"/>
              <w:rPr/>
            </w:pPr>
            <w:r>
              <w:rPr/>
              <w:t>​</w:t>
            </w:r>
          </w:p>
        </w:tc>
        <w:tc>
          <w:tcPr>
            <w:tcW w:w="15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46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w:t>
            </w:r>
          </w:p>
        </w:tc>
        <w:tc>
          <w:tcPr>
            <w:tcW w:w="115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29,706,899</w:t>
            </w:r>
          </w:p>
        </w:tc>
        <w:tc>
          <w:tcPr>
            <w:tcW w:w="346" w:type="dxa"/>
            <w:tcBorders/>
            <w:vAlign w:val="center"/>
          </w:tcPr>
          <w:p>
            <w:pPr>
              <w:pStyle w:val="TableContents"/>
              <w:bidi w:val="0"/>
              <w:spacing w:before="0" w:after="1"/>
              <w:ind w:left="0" w:right="0" w:hanging="0"/>
              <w:jc w:val="center"/>
              <w:rPr>
                <w:color w:val="FF0000"/>
              </w:rPr>
            </w:pPr>
            <w:r>
              <w:rPr>
                <w:color w:val="FF0000"/>
              </w:rPr>
              <w:t>​</w:t>
            </w:r>
          </w:p>
        </w:tc>
        <w:tc>
          <w:tcPr>
            <w:tcW w:w="159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12,480,275</w:t>
            </w:r>
          </w:p>
        </w:tc>
      </w:tr>
    </w:tbl>
    <w:p>
      <w:pPr>
        <w:pStyle w:val="TextBody"/>
        <w:bidi w:val="0"/>
        <w:spacing w:before="0" w:after="240"/>
        <w:ind w:left="0" w:right="0" w:hanging="0"/>
        <w:jc w:val="both"/>
        <w:rPr/>
      </w:pPr>
      <w:r>
        <w:rPr/>
        <w:t>​</w:t>
      </w:r>
    </w:p>
    <w:p>
      <w:pPr>
        <w:pStyle w:val="TextBody"/>
        <w:bidi w:val="0"/>
        <w:spacing w:lineRule="auto" w:line="240" w:before="0" w:after="0"/>
        <w:ind w:left="0" w:right="0" w:hanging="0"/>
        <w:jc w:val="both"/>
        <w:rPr>
          <w:rFonts w:ascii="Times New Roman;Times;serif" w:hAnsi="Times New Roman;Times;serif"/>
          <w:sz w:val="16"/>
        </w:rPr>
      </w:pPr>
      <w:r>
        <w:rPr>
          <w:rFonts w:ascii="Times New Roman;Times;serif" w:hAnsi="Times New Roman;Times;serif"/>
          <w:sz w:val="14"/>
        </w:rPr>
        <w:t>1</w:t>
      </w:r>
      <w:r>
        <w:rPr>
          <w:rFonts w:ascii="Times New Roman;Times;serif" w:hAnsi="Times New Roman;Times;serif"/>
          <w:sz w:val="16"/>
        </w:rPr>
        <w:t xml:space="preserve"> Represents a maximum conversion rate of 50.0000 shares of common stock per $1,000 principal amount of notes.</w:t>
      </w:r>
    </w:p>
    <w:p>
      <w:pPr>
        <w:pStyle w:val="TextBody"/>
        <w:bidi w:val="0"/>
        <w:spacing w:before="0" w:after="240"/>
        <w:ind w:left="0" w:right="0" w:hanging="0"/>
        <w:jc w:val="both"/>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11.</w:t>
      </w:r>
      <w:r>
        <w:rPr>
          <w:rFonts w:ascii="Times New Roman;Times;serif" w:hAnsi="Times New Roman;Times;serif"/>
          <w:b/>
          <w:sz w:val="20"/>
        </w:rPr>
        <w:t>Stock-Based Compensation</w:t>
      </w:r>
    </w:p>
    <w:p>
      <w:pPr>
        <w:pStyle w:val="TextBody"/>
        <w:bidi w:val="0"/>
        <w:spacing w:before="0" w:after="20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2020 Plan</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val="false"/>
          <w:caps w:val="false"/>
          <w:smallCaps w:val="false"/>
          <w:sz w:val="20"/>
        </w:rPr>
        <w:t>In August 2020, the Company’s sole director adopted the 2020 Equity Incentive Plan (the “2020 Plan”). Upon effectiveness of the 2024 Plan (as defined below), the Company ceased granting additional awards under the 2020 Plan and the remaining available shares for future grants were transferred to the 2024 Plan. The 2020 Plan allowed the Company to grant stock options, restricted stock awards, restricted stock units (“RSUs”) and other stock-based awards to employees, officers, directors and consultants of the Company and its subsidiaries. As of June 30, 2026, 3,092,255</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 xml:space="preserve">shares of stock options were issued and outstanding under the 2020 Plan. </w:t>
      </w:r>
    </w:p>
    <w:p>
      <w:pPr>
        <w:pStyle w:val="TextBody"/>
        <w:bidi w:val="0"/>
        <w:spacing w:before="0" w:after="20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 Plan</w:t>
      </w:r>
    </w:p>
    <w:p>
      <w:pPr>
        <w:pStyle w:val="TextBody"/>
        <w:bidi w:val="0"/>
        <w:spacing w:before="0" w:after="200"/>
        <w:ind w:left="0" w:right="0" w:hanging="0"/>
        <w:jc w:val="both"/>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In September 2024, the Company’s board of directors (the “Board”) adopted the 2024 Equity Incentive Plan (the “2024 Plan”), which became effective immediately prior to the effectiveness of the registration statement for the Company’s IPO. The 2024 Plan provides for the award of incentive stock options, nonstatutory stock options, stock appreciation rights, restricted stock awards, unrestricted stock, restricted stock units and other stock-based awards.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number of shares reserved and available for issuance under the 2024 Plan will automatically increase each January 1, beginning on January 1, 2025 through January 1, 2034, by the number of shares equal to the lesser of (i) five percent of the aggregate number of shares of common stock outstanding as of such date, and (ii) a number of shares as may be determined by the Board on or prior to such date. On January 1, 2026, the number of shares of common stock available for issuance under the Company’s 2024 Plan increased to 3,156,138. As of June 30, 2026, 1,028,297 shares of common stock were available for issuance under the 2024 Plan.</w:t>
      </w:r>
    </w:p>
    <w:p>
      <w:pPr>
        <w:pStyle w:val="TextBody"/>
        <w:bidi w:val="0"/>
        <w:spacing w:before="0" w:after="20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 Inducement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December 2025, the Company’s Board adopted the 2026 Inducement Plan (the “2026 Inducement Plan”), which became effective December 10, 2025. The 2026 Inducement Plan provides for awards of non-qualified stock options and other awards under the 2026 Inducement Plan to persons not previously an employee or director of the Company, or following a bona fide period of non-employment, as an inducement material to such persons entering the employment of the Company. The grants constitute “employment inducement grants” in accordance with Rule 5635(c)(4) of the Nasdaq Listing Rules and are issued outside of the 2024 Plan. The inducement grants include non-statutory options to purchase shares of the Company’s common stock and RSUs. The inducement grants have terms and conditions consistent with those set forth in the 2024 Plan and vest under the same respective vesting schedules as stock options and RSUs granted under the 2024 Plan. The Company initially reserved 1,000,000 shares of common stock for the issuance of awards under the 2026 Inducement Plan. As of June 30, 2026, 270,900 shares of common stock were available for issuance under the 2026 Inducement Plan.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val="false"/>
          <w:caps w:val="false"/>
          <w:smallCaps w:val="false"/>
          <w:sz w:val="20"/>
        </w:rPr>
      </w:pPr>
      <w:bookmarkStart w:id="970" w:name="Tc_WpDhLAyZi0malhArIeLBZQ_6_4"/>
      <w:bookmarkStart w:id="971" w:name="Tc_YwawIykDYEGu3vcoT-wFmA_6_0"/>
      <w:bookmarkStart w:id="972" w:name="Tc_A6a_lAGWB0qSkh1Agtc1OA_5_4"/>
      <w:bookmarkStart w:id="973" w:name="Tc_tPO7XBrxX0ioRCKQay9ZAg_5_0"/>
      <w:bookmarkStart w:id="974" w:name="Tc_YPmJawaFP0S8DRbHVqwIlw_4_4"/>
      <w:bookmarkStart w:id="975" w:name="Tc__8237I7K0kaA9IsVIX9MOw_4_0"/>
      <w:bookmarkStart w:id="976" w:name="Tc_H2upJOyghke_Jf2C0sUFjg_3_4"/>
      <w:bookmarkStart w:id="977" w:name="Tc_y1a0pS0QME6dKsun5rPAng_3_0"/>
      <w:bookmarkStart w:id="978" w:name="Tc_dJUOvxrinUiv8hPkY0RCnQ_2_4"/>
      <w:bookmarkStart w:id="979" w:name="Tc_V_hEANj9k0W_JloJdDfH7A_2_0"/>
      <w:bookmarkStart w:id="980" w:name="Tc_ETovYMjgCUCj_31BEN0VqA_1_5"/>
      <w:bookmarkStart w:id="981" w:name="Tc_cOc7WIpha0aJRrjwsGkpLQ_1_2"/>
      <w:bookmarkStart w:id="982" w:name="Tc_YkDsTyuHZkuZEw9vekqlXQ_8_9"/>
      <w:bookmarkStart w:id="983" w:name="Tc_ebsflyqtdUSwaqlPe3KRXg_8_4"/>
      <w:bookmarkStart w:id="984" w:name="Tc_BN1SjVdNnEaUD-rAuIoGhw_8_0"/>
      <w:bookmarkStart w:id="985" w:name="Tc_x5HlnXRndke5rbKk2LCAjA_7_9"/>
      <w:bookmarkStart w:id="986" w:name="Tc_HUIfUlLUmU21xNjceZUStg_7_4"/>
      <w:bookmarkStart w:id="987" w:name="Tc_lsBdpLCjOkGiQ2Y13B9RRQ_7_0"/>
      <w:bookmarkStart w:id="988" w:name="Tc_EMSwwPT8h0iAaceYvTgqvw_6_9"/>
      <w:bookmarkStart w:id="989" w:name="Tc_YDnYOHJZOkCJjnNMwS0uNA_6_4"/>
      <w:bookmarkStart w:id="990" w:name="Tc_CSlPAQ1PJUq6WmtGdSoclA_6_0"/>
      <w:bookmarkStart w:id="991" w:name="Tc_gjgipX61Jk-nzdvFqKAUHw_5_4"/>
      <w:bookmarkStart w:id="992" w:name="Tc_TNKVycs24kmbSTFSmH9i_g_5_0"/>
      <w:bookmarkStart w:id="993" w:name="Tc_BOBk-f_SLEyha62hpzbgQg_4_9"/>
      <w:bookmarkStart w:id="994" w:name="Tc_W00wDC2Gik-IaYdEfLpfzw_4_4"/>
      <w:bookmarkStart w:id="995" w:name="Tc_LO6L8-1gOUaMrQ1Q5qg4zg_4_0"/>
      <w:bookmarkStart w:id="996" w:name="Tc_BLxk9C5fikqOutZNVFXMdA_3_4"/>
      <w:bookmarkStart w:id="997" w:name="Tc_RUt7W741IUit1s8txJ2UVw_3_0"/>
      <w:bookmarkStart w:id="998" w:name="Tc_6ne9siqg6UWBThwhYMM3Hw_2_9"/>
      <w:bookmarkStart w:id="999" w:name="Tc_J3rjki_7x0ODS7v3_OlT6A_2_4"/>
      <w:bookmarkStart w:id="1000" w:name="Tc_YN0avD5-DUeA165llE2fRQ_2_0"/>
      <w:bookmarkStart w:id="1001" w:name="Tc_U9goE0WfmE6zXF9p55ypUQ_1_9"/>
      <w:bookmarkStart w:id="1002" w:name="Tc_sGfHqV7NSUqw0IpjjRaVfg_1_7"/>
      <w:bookmarkStart w:id="1003" w:name="Tc_PDmfYvRItE2OtpHP8BeDSw_1_4"/>
      <w:bookmarkStart w:id="1004" w:name="Tc_85SE4ET4i0e5Ngqpw4b9dA_1_2"/>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r>
        <w:rPr>
          <w:rFonts w:ascii="Times New Roman;Times;serif" w:hAnsi="Times New Roman;Times;serif"/>
          <w:b/>
          <w:i w:val="false"/>
          <w:caps w:val="false"/>
          <w:smallCaps w:val="false"/>
          <w:sz w:val="20"/>
        </w:rPr>
        <w:t>Stock Options</w:t>
      </w:r>
    </w:p>
    <w:p>
      <w:pPr>
        <w:pStyle w:val="TextBody"/>
        <w:bidi w:val="0"/>
        <w:spacing w:lineRule="atLeast" w:line="200" w:before="0" w:after="200"/>
        <w:ind w:left="0" w:right="0" w:hanging="0"/>
        <w:jc w:val="both"/>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The Company has granted stock-based awards with either service or performance based vesting conditions. Compensation expense related to awards to employees and directors with service based vesting conditions is recognized on a straight-line basis based on the grant date fair value over the associated service period of the award, which is generally the vesting term. Compensation expense related to awards to employees with performance based vesting conditions is recognized based on the grant date fair value once the achievement of the performance condition is probable.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From time to time, the Company grants equity awards to newly hired employees as an inducement to enter into employment with the Company. The grants constitute "employment inducement grants" in accordance with Rule 5635(c)(4) of the Nasdaq Listing Rules and are issued outside of the 2024 and 2026 Plans (the “Individual Inducement Grants”). The Individual Inducement Grants include non-statutory stock options to purchase shares of the Company's common stock and RSUs. The Individual Inducement Grants are granted under individual inducement agreements and have terms and conditions consistent with those set forth under the 2024 Plan and vest under the same respective vesting schedules as stock option awards granted under the 2024 Plan. The Individual Inducement Grants are included in the stock option award tables below. As of June 30, 2026, the Company granted 1,062,000 non-statutory stock options as Individual Inducement Grants, which were awarded during the year ended December 31, 2025. The Company did not grant any stock options or RSUs as Individual Inducement Grants during the three or six months ended June 30, 2026.</w:t>
      </w:r>
    </w:p>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The following table presents a summary of the Company’s stock option activity and related information: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250"/>
        <w:gridCol w:w="346"/>
        <w:gridCol w:w="1189"/>
        <w:gridCol w:w="346"/>
        <w:gridCol w:w="386"/>
        <w:gridCol w:w="1052"/>
        <w:gridCol w:w="346"/>
        <w:gridCol w:w="2516"/>
        <w:gridCol w:w="346"/>
        <w:gridCol w:w="274"/>
        <w:gridCol w:w="1154"/>
      </w:tblGrid>
      <w:tr>
        <w:trPr/>
        <w:tc>
          <w:tcPr>
            <w:tcW w:w="2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428750" cy="175260"/>
                      <wp:effectExtent l="0" t="0" r="0" b="0"/>
                      <wp:wrapNone/>
                      <wp:docPr id="144" name="Frame143"/>
                      <a:graphic xmlns:a="http://schemas.openxmlformats.org/drawingml/2006/main">
                        <a:graphicData uri="http://schemas.microsoft.com/office/word/2010/wordprocessingShape">
                          <wps:wsp>
                            <wps:cNvSpPr txBox="1"/>
                            <wps:spPr>
                              <a:xfrm>
                                <a:off x="0" y="0"/>
                                <a:ext cx="142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19710" cy="175260"/>
                      <wp:effectExtent l="0" t="0" r="0" b="0"/>
                      <wp:wrapNone/>
                      <wp:docPr id="145" name="Frame1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755015" cy="175260"/>
                      <wp:effectExtent l="0" t="0" r="0" b="0"/>
                      <wp:wrapNone/>
                      <wp:docPr id="146" name="Frame145"/>
                      <a:graphic xmlns:a="http://schemas.openxmlformats.org/drawingml/2006/main">
                        <a:graphicData uri="http://schemas.microsoft.com/office/word/2010/wordprocessingShape">
                          <wps:wsp>
                            <wps:cNvSpPr txBox="1"/>
                            <wps:spPr>
                              <a:xfrm>
                                <a:off x="0" y="0"/>
                                <a:ext cx="755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19710" cy="175260"/>
                      <wp:effectExtent l="0" t="0" r="0" b="0"/>
                      <wp:wrapNone/>
                      <wp:docPr id="147" name="Frame1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45110" cy="175260"/>
                      <wp:effectExtent l="0" t="0" r="0" b="0"/>
                      <wp:wrapNone/>
                      <wp:docPr id="148" name="Frame147"/>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68020" cy="175260"/>
                      <wp:effectExtent l="0" t="0" r="0" b="0"/>
                      <wp:wrapNone/>
                      <wp:docPr id="149" name="Frame148"/>
                      <a:graphic xmlns:a="http://schemas.openxmlformats.org/drawingml/2006/main">
                        <a:graphicData uri="http://schemas.microsoft.com/office/word/2010/wordprocessingShape">
                          <wps:wsp>
                            <wps:cNvSpPr txBox="1"/>
                            <wps:spPr>
                              <a:xfrm>
                                <a:off x="0" y="0"/>
                                <a:ext cx="668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19710" cy="175260"/>
                      <wp:effectExtent l="0" t="0" r="0" b="0"/>
                      <wp:wrapNone/>
                      <wp:docPr id="150" name="Frame1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597660" cy="175260"/>
                      <wp:effectExtent l="0" t="0" r="0" b="0"/>
                      <wp:wrapNone/>
                      <wp:docPr id="151" name="Frame150"/>
                      <a:graphic xmlns:a="http://schemas.openxmlformats.org/drawingml/2006/main">
                        <a:graphicData uri="http://schemas.microsoft.com/office/word/2010/wordprocessingShape">
                          <wps:wsp>
                            <wps:cNvSpPr txBox="1"/>
                            <wps:spPr>
                              <a:xfrm>
                                <a:off x="0" y="0"/>
                                <a:ext cx="1597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19710" cy="175260"/>
                      <wp:effectExtent l="0" t="0" r="0" b="0"/>
                      <wp:wrapNone/>
                      <wp:docPr id="152" name="Frame1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73990" cy="175260"/>
                      <wp:effectExtent l="0" t="0" r="0" b="0"/>
                      <wp:wrapNone/>
                      <wp:docPr id="153" name="Frame152"/>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732790" cy="175260"/>
                      <wp:effectExtent l="0" t="0" r="0" b="0"/>
                      <wp:wrapNone/>
                      <wp:docPr id="154" name="Frame153"/>
                      <a:graphic xmlns:a="http://schemas.openxmlformats.org/drawingml/2006/main">
                        <a:graphicData uri="http://schemas.microsoft.com/office/word/2010/wordprocessingShape">
                          <wps:wsp>
                            <wps:cNvSpPr txBox="1"/>
                            <wps:spPr>
                              <a:xfrm>
                                <a:off x="0" y="0"/>
                                <a:ext cx="732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5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8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Number of Shares</w:t>
            </w:r>
          </w:p>
        </w:tc>
        <w:tc>
          <w:tcPr>
            <w:tcW w:w="346" w:type="dxa"/>
            <w:tcBorders/>
            <w:vAlign w:val="center"/>
          </w:tcPr>
          <w:p>
            <w:pPr>
              <w:pStyle w:val="TableContents"/>
              <w:bidi w:val="0"/>
              <w:spacing w:before="0" w:after="0"/>
              <w:ind w:left="0" w:right="0" w:hanging="0"/>
              <w:jc w:val="left"/>
              <w:rPr/>
            </w:pPr>
            <w:r>
              <w:rPr/>
              <w:t>  ​ ​ ​</w:t>
            </w:r>
          </w:p>
        </w:tc>
        <w:tc>
          <w:tcPr>
            <w:tcW w:w="14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Weighted - Average Exercise Price</w:t>
            </w:r>
          </w:p>
        </w:tc>
        <w:tc>
          <w:tcPr>
            <w:tcW w:w="346" w:type="dxa"/>
            <w:tcBorders/>
            <w:vAlign w:val="center"/>
          </w:tcPr>
          <w:p>
            <w:pPr>
              <w:pStyle w:val="TableContents"/>
              <w:bidi w:val="0"/>
              <w:spacing w:before="0" w:after="0"/>
              <w:ind w:left="0" w:right="0" w:hanging="0"/>
              <w:jc w:val="left"/>
              <w:rPr/>
            </w:pPr>
            <w:r>
              <w:rPr/>
              <w:t>  ​ ​ ​</w:t>
            </w:r>
          </w:p>
        </w:tc>
        <w:tc>
          <w:tcPr>
            <w:tcW w:w="25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Weighted-Average Remaining Contractual Term (in years)</w:t>
            </w:r>
          </w:p>
        </w:tc>
        <w:tc>
          <w:tcPr>
            <w:tcW w:w="346" w:type="dxa"/>
            <w:tcBorders/>
            <w:vAlign w:val="center"/>
          </w:tcPr>
          <w:p>
            <w:pPr>
              <w:pStyle w:val="TableContents"/>
              <w:bidi w:val="0"/>
              <w:spacing w:before="0" w:after="0"/>
              <w:ind w:left="0" w:right="0" w:hanging="0"/>
              <w:jc w:val="left"/>
              <w:rPr/>
            </w:pPr>
            <w:r>
              <w:rPr/>
              <w:t>  ​ ​ ​</w:t>
            </w:r>
          </w:p>
        </w:tc>
        <w:tc>
          <w:tcPr>
            <w:tcW w:w="142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Aggregate Intrinsic Value</w:t>
              <w:br/>
              <w:t>(in thousands)</w:t>
            </w:r>
          </w:p>
        </w:tc>
      </w:tr>
      <w:tr>
        <w:trPr/>
        <w:tc>
          <w:tcPr>
            <w:tcW w:w="22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11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10,675,615</w:t>
            </w:r>
          </w:p>
        </w:tc>
        <w:tc>
          <w:tcPr>
            <w:tcW w:w="346"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13.46</w:t>
            </w:r>
          </w:p>
        </w:tc>
        <w:tc>
          <w:tcPr>
            <w:tcW w:w="346" w:type="dxa"/>
            <w:tcBorders/>
            <w:shd w:fill="CCEEFF" w:val="clear"/>
            <w:vAlign w:val="center"/>
          </w:tcPr>
          <w:p>
            <w:pPr>
              <w:pStyle w:val="TableContents"/>
              <w:bidi w:val="0"/>
              <w:spacing w:before="0" w:after="0"/>
              <w:ind w:left="0" w:right="0" w:hanging="0"/>
              <w:jc w:val="left"/>
              <w:rPr/>
            </w:pPr>
            <w:r>
              <w:rPr/>
              <w:t>​</w:t>
            </w:r>
          </w:p>
        </w:tc>
        <w:tc>
          <w:tcPr>
            <w:tcW w:w="25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8.60</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1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243,979</w:t>
            </w:r>
          </w:p>
        </w:tc>
      </w:tr>
      <w:tr>
        <w:trPr/>
        <w:tc>
          <w:tcPr>
            <w:tcW w:w="22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0"/>
              <w:ind w:left="0" w:right="0" w:hanging="0"/>
              <w:jc w:val="left"/>
              <w:rPr/>
            </w:pPr>
            <w:r>
              <w:rPr/>
              <w:t>​</w:t>
            </w:r>
          </w:p>
        </w:tc>
        <w:tc>
          <w:tcPr>
            <w:tcW w:w="11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2,299,700</w:t>
            </w:r>
          </w:p>
        </w:tc>
        <w:tc>
          <w:tcPr>
            <w:tcW w:w="346"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19.35</w:t>
            </w:r>
          </w:p>
        </w:tc>
        <w:tc>
          <w:tcPr>
            <w:tcW w:w="346" w:type="dxa"/>
            <w:tcBorders/>
            <w:vAlign w:val="center"/>
          </w:tcPr>
          <w:p>
            <w:pPr>
              <w:pStyle w:val="TableContents"/>
              <w:bidi w:val="0"/>
              <w:spacing w:before="0" w:after="0"/>
              <w:ind w:left="0" w:right="0" w:hanging="0"/>
              <w:jc w:val="left"/>
              <w:rPr/>
            </w:pPr>
            <w:r>
              <w:rPr/>
              <w:t>​</w:t>
            </w:r>
          </w:p>
        </w:tc>
        <w:tc>
          <w:tcPr>
            <w:tcW w:w="25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right"/>
              <w:rPr/>
            </w:pPr>
            <w:r>
              <w:rPr/>
              <w:t>​</w:t>
            </w:r>
          </w:p>
        </w:tc>
        <w:tc>
          <w:tcPr>
            <w:tcW w:w="1154" w:type="dxa"/>
            <w:tcBorders/>
            <w:vAlign w:val="center"/>
          </w:tcPr>
          <w:p>
            <w:pPr>
              <w:pStyle w:val="TableContents"/>
              <w:bidi w:val="0"/>
              <w:spacing w:before="0" w:after="0"/>
              <w:ind w:left="0" w:right="0" w:hanging="0"/>
              <w:jc w:val="left"/>
              <w:rPr/>
            </w:pPr>
            <w:r>
              <w:rPr/>
              <w:t>​</w:t>
            </w:r>
          </w:p>
        </w:tc>
      </w:tr>
      <w:tr>
        <w:trPr/>
        <w:tc>
          <w:tcPr>
            <w:tcW w:w="22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46" w:type="dxa"/>
            <w:tcBorders/>
            <w:shd w:fill="CCEEFF" w:val="clear"/>
            <w:vAlign w:val="center"/>
          </w:tcPr>
          <w:p>
            <w:pPr>
              <w:pStyle w:val="TableContents"/>
              <w:bidi w:val="0"/>
              <w:spacing w:before="0" w:after="0"/>
              <w:ind w:left="0" w:right="0" w:hanging="0"/>
              <w:jc w:val="left"/>
              <w:rPr/>
            </w:pPr>
            <w:r>
              <w:rPr/>
              <w:t>​</w:t>
            </w:r>
          </w:p>
        </w:tc>
        <w:tc>
          <w:tcPr>
            <w:tcW w:w="11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(103,592)</w:t>
            </w:r>
          </w:p>
        </w:tc>
        <w:tc>
          <w:tcPr>
            <w:tcW w:w="346"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11.33</w:t>
            </w:r>
          </w:p>
        </w:tc>
        <w:tc>
          <w:tcPr>
            <w:tcW w:w="346" w:type="dxa"/>
            <w:tcBorders/>
            <w:shd w:fill="CCEEFF" w:val="clear"/>
            <w:vAlign w:val="center"/>
          </w:tcPr>
          <w:p>
            <w:pPr>
              <w:pStyle w:val="TableContents"/>
              <w:bidi w:val="0"/>
              <w:spacing w:before="0" w:after="0"/>
              <w:ind w:left="0" w:right="0" w:hanging="0"/>
              <w:jc w:val="left"/>
              <w:rPr/>
            </w:pPr>
            <w:r>
              <w:rPr/>
              <w:t>​</w:t>
            </w:r>
          </w:p>
        </w:tc>
        <w:tc>
          <w:tcPr>
            <w:tcW w:w="25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1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1,204</w:t>
            </w:r>
          </w:p>
        </w:tc>
      </w:tr>
      <w:tr>
        <w:trPr/>
        <w:tc>
          <w:tcPr>
            <w:tcW w:w="22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 or cancelled</w:t>
            </w:r>
          </w:p>
        </w:tc>
        <w:tc>
          <w:tcPr>
            <w:tcW w:w="346" w:type="dxa"/>
            <w:tcBorders/>
            <w:vAlign w:val="center"/>
          </w:tcPr>
          <w:p>
            <w:pPr>
              <w:pStyle w:val="TableContents"/>
              <w:bidi w:val="0"/>
              <w:spacing w:before="0" w:after="0"/>
              <w:ind w:left="0" w:right="0" w:hanging="0"/>
              <w:jc w:val="left"/>
              <w:rPr/>
            </w:pPr>
            <w:r>
              <w:rPr/>
              <w:t>​</w:t>
            </w:r>
          </w:p>
        </w:tc>
        <w:tc>
          <w:tcPr>
            <w:tcW w:w="11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(226,323)</w:t>
            </w:r>
          </w:p>
        </w:tc>
        <w:tc>
          <w:tcPr>
            <w:tcW w:w="346"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13.76</w:t>
            </w:r>
          </w:p>
        </w:tc>
        <w:tc>
          <w:tcPr>
            <w:tcW w:w="346" w:type="dxa"/>
            <w:tcBorders/>
            <w:vAlign w:val="center"/>
          </w:tcPr>
          <w:p>
            <w:pPr>
              <w:pStyle w:val="TableContents"/>
              <w:bidi w:val="0"/>
              <w:spacing w:before="0" w:after="0"/>
              <w:ind w:left="0" w:right="0" w:hanging="0"/>
              <w:jc w:val="left"/>
              <w:rPr/>
            </w:pPr>
            <w:r>
              <w:rPr/>
              <w:t>​</w:t>
            </w:r>
          </w:p>
        </w:tc>
        <w:tc>
          <w:tcPr>
            <w:tcW w:w="25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right"/>
              <w:rPr/>
            </w:pPr>
            <w:r>
              <w:rPr/>
              <w:t>​</w:t>
            </w:r>
          </w:p>
        </w:tc>
        <w:tc>
          <w:tcPr>
            <w:tcW w:w="1154" w:type="dxa"/>
            <w:tcBorders/>
            <w:vAlign w:val="center"/>
          </w:tcPr>
          <w:p>
            <w:pPr>
              <w:pStyle w:val="TableContents"/>
              <w:bidi w:val="0"/>
              <w:spacing w:before="0" w:after="0"/>
              <w:ind w:left="0" w:right="0" w:hanging="0"/>
              <w:jc w:val="left"/>
              <w:rPr/>
            </w:pPr>
            <w:r>
              <w:rPr/>
              <w:t>​</w:t>
            </w:r>
          </w:p>
        </w:tc>
      </w:tr>
      <w:tr>
        <w:trPr/>
        <w:tc>
          <w:tcPr>
            <w:tcW w:w="22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 June 30, 2026</w:t>
            </w:r>
          </w:p>
        </w:tc>
        <w:tc>
          <w:tcPr>
            <w:tcW w:w="346" w:type="dxa"/>
            <w:tcBorders/>
            <w:shd w:fill="CCEEFF" w:val="clear"/>
            <w:vAlign w:val="center"/>
          </w:tcPr>
          <w:p>
            <w:pPr>
              <w:pStyle w:val="TableContents"/>
              <w:bidi w:val="0"/>
              <w:spacing w:before="0" w:after="0"/>
              <w:ind w:left="0" w:right="0" w:hanging="0"/>
              <w:jc w:val="left"/>
              <w:rPr/>
            </w:pPr>
            <w:r>
              <w:rPr/>
              <w:t>​</w:t>
            </w:r>
          </w:p>
        </w:tc>
        <w:tc>
          <w:tcPr>
            <w:tcW w:w="11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12,645,400</w:t>
            </w:r>
          </w:p>
        </w:tc>
        <w:tc>
          <w:tcPr>
            <w:tcW w:w="346"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14.54</w:t>
            </w:r>
          </w:p>
        </w:tc>
        <w:tc>
          <w:tcPr>
            <w:tcW w:w="346" w:type="dxa"/>
            <w:tcBorders/>
            <w:shd w:fill="CCEEFF" w:val="clear"/>
            <w:vAlign w:val="center"/>
          </w:tcPr>
          <w:p>
            <w:pPr>
              <w:pStyle w:val="TableContents"/>
              <w:bidi w:val="0"/>
              <w:spacing w:before="0" w:after="0"/>
              <w:ind w:left="0" w:right="0" w:hanging="0"/>
              <w:jc w:val="left"/>
              <w:rPr/>
            </w:pPr>
            <w:r>
              <w:rPr/>
              <w:t>​</w:t>
            </w:r>
          </w:p>
        </w:tc>
        <w:tc>
          <w:tcPr>
            <w:tcW w:w="25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8.26</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1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139,386</w:t>
            </w:r>
          </w:p>
        </w:tc>
      </w:tr>
      <w:tr>
        <w:trPr/>
        <w:tc>
          <w:tcPr>
            <w:tcW w:w="22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vested and exercisable as of June 30, 2026</w:t>
            </w:r>
          </w:p>
        </w:tc>
        <w:tc>
          <w:tcPr>
            <w:tcW w:w="346" w:type="dxa"/>
            <w:tcBorders/>
            <w:vAlign w:val="center"/>
          </w:tcPr>
          <w:p>
            <w:pPr>
              <w:pStyle w:val="TableContents"/>
              <w:bidi w:val="0"/>
              <w:spacing w:before="0" w:after="0"/>
              <w:ind w:left="0" w:right="0" w:hanging="0"/>
              <w:jc w:val="left"/>
              <w:rPr/>
            </w:pPr>
            <w:r>
              <w:rPr/>
              <w:t>​</w:t>
            </w:r>
          </w:p>
        </w:tc>
        <w:tc>
          <w:tcPr>
            <w:tcW w:w="11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4,796,080</w:t>
            </w:r>
          </w:p>
        </w:tc>
        <w:tc>
          <w:tcPr>
            <w:tcW w:w="346"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12.35</w:t>
            </w:r>
          </w:p>
        </w:tc>
        <w:tc>
          <w:tcPr>
            <w:tcW w:w="346" w:type="dxa"/>
            <w:tcBorders/>
            <w:vAlign w:val="center"/>
          </w:tcPr>
          <w:p>
            <w:pPr>
              <w:pStyle w:val="TableContents"/>
              <w:bidi w:val="0"/>
              <w:spacing w:before="0" w:after="0"/>
              <w:ind w:left="0" w:right="0" w:hanging="0"/>
              <w:jc w:val="left"/>
              <w:rPr/>
            </w:pPr>
            <w:r>
              <w:rPr/>
              <w:t>​</w:t>
            </w:r>
          </w:p>
        </w:tc>
        <w:tc>
          <w:tcPr>
            <w:tcW w:w="25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1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62,478</w:t>
            </w:r>
          </w:p>
        </w:tc>
      </w:tr>
      <w:tr>
        <w:trPr/>
        <w:tc>
          <w:tcPr>
            <w:tcW w:w="22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vested and expected to vest as of June 30, 2026</w:t>
            </w:r>
          </w:p>
        </w:tc>
        <w:tc>
          <w:tcPr>
            <w:tcW w:w="346" w:type="dxa"/>
            <w:tcBorders/>
            <w:shd w:fill="CCEEFF" w:val="clear"/>
            <w:vAlign w:val="center"/>
          </w:tcPr>
          <w:p>
            <w:pPr>
              <w:pStyle w:val="TableContents"/>
              <w:bidi w:val="0"/>
              <w:spacing w:before="0" w:after="0"/>
              <w:ind w:left="0" w:right="0" w:hanging="0"/>
              <w:jc w:val="left"/>
              <w:rPr/>
            </w:pPr>
            <w:r>
              <w:rPr/>
              <w:t>​</w:t>
            </w:r>
          </w:p>
        </w:tc>
        <w:tc>
          <w:tcPr>
            <w:tcW w:w="11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12,645,400</w:t>
            </w:r>
          </w:p>
        </w:tc>
        <w:tc>
          <w:tcPr>
            <w:tcW w:w="346"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14.54</w:t>
            </w:r>
          </w:p>
        </w:tc>
        <w:tc>
          <w:tcPr>
            <w:tcW w:w="346" w:type="dxa"/>
            <w:tcBorders/>
            <w:shd w:fill="CCEEFF" w:val="clear"/>
            <w:vAlign w:val="center"/>
          </w:tcPr>
          <w:p>
            <w:pPr>
              <w:pStyle w:val="TableContents"/>
              <w:bidi w:val="0"/>
              <w:spacing w:before="0" w:after="0"/>
              <w:ind w:left="0" w:right="0" w:hanging="0"/>
              <w:jc w:val="left"/>
              <w:rPr/>
            </w:pPr>
            <w:r>
              <w:rPr/>
              <w:t>​</w:t>
            </w:r>
          </w:p>
        </w:tc>
        <w:tc>
          <w:tcPr>
            <w:tcW w:w="25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8.26</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154"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139,386</w:t>
            </w:r>
          </w:p>
        </w:tc>
      </w:tr>
    </w:tbl>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The aggregate intrinsic value of the stock options outstanding is calculated as the difference between the exercise price of the options and the fair value of the Company’s common stock for those stock options that had an exercise price lower than the fair value of the Company’s common stock as of the measurement date of June 30, 2026. </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Restricted Stock Units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granted RSUs that are subject to time-based vesting conditions, that vest equally over four years, assuming continued employment. RSUs with time-based vesting conditions are valued on the grant date using the grant date market value price of the underlying shares of the Company’s common stock. The following table summarizes the Company’s RSU activity:</w:t>
      </w:r>
    </w:p>
    <w:p>
      <w:pPr>
        <w:pStyle w:val="TextBody"/>
        <w:bidi w:val="0"/>
        <w:spacing w:before="0" w:after="0"/>
        <w:ind w:left="0" w:right="0" w:hanging="0"/>
        <w:jc w:val="left"/>
        <w:rPr/>
      </w:pPr>
      <w:r>
        <w:rPr/>
        <w:t>​</w:t>
      </w:r>
    </w:p>
    <w:tbl>
      <w:tblPr>
        <w:tblW w:w="8454" w:type="dxa"/>
        <w:jc w:val="left"/>
        <w:tblInd w:w="0" w:type="dxa"/>
        <w:tblLayout w:type="fixed"/>
        <w:tblCellMar>
          <w:top w:w="0" w:type="dxa"/>
          <w:left w:w="0" w:type="dxa"/>
          <w:bottom w:w="0" w:type="dxa"/>
          <w:right w:w="0" w:type="dxa"/>
        </w:tblCellMar>
      </w:tblPr>
      <w:tblGrid>
        <w:gridCol w:w="2926"/>
        <w:gridCol w:w="346"/>
        <w:gridCol w:w="1411"/>
        <w:gridCol w:w="109"/>
        <w:gridCol w:w="346"/>
        <w:gridCol w:w="3316"/>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858010" cy="175260"/>
                      <wp:effectExtent l="0" t="0" r="0" b="0"/>
                      <wp:wrapNone/>
                      <wp:docPr id="155" name="Frame154"/>
                      <a:graphic xmlns:a="http://schemas.openxmlformats.org/drawingml/2006/main">
                        <a:graphicData uri="http://schemas.microsoft.com/office/word/2010/wordprocessingShape">
                          <wps:wsp>
                            <wps:cNvSpPr txBox="1"/>
                            <wps:spPr>
                              <a:xfrm>
                                <a:off x="0" y="0"/>
                                <a:ext cx="1858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19710" cy="175260"/>
                      <wp:effectExtent l="0" t="0" r="0" b="0"/>
                      <wp:wrapNone/>
                      <wp:docPr id="156" name="Frame1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895985" cy="175260"/>
                      <wp:effectExtent l="0" t="0" r="0" b="0"/>
                      <wp:wrapNone/>
                      <wp:docPr id="157" name="Frame156"/>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9215" cy="175260"/>
                      <wp:effectExtent l="0" t="0" r="0" b="0"/>
                      <wp:wrapNone/>
                      <wp:docPr id="158" name="Frame1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19710" cy="175260"/>
                      <wp:effectExtent l="0" t="0" r="0" b="0"/>
                      <wp:wrapNone/>
                      <wp:docPr id="159" name="Frame1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105660" cy="175260"/>
                      <wp:effectExtent l="0" t="0" r="0" b="0"/>
                      <wp:wrapNone/>
                      <wp:docPr id="160" name="Frame159"/>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4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Shares</w:t>
            </w:r>
          </w:p>
        </w:tc>
        <w:tc>
          <w:tcPr>
            <w:tcW w:w="10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33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 Average Grant Date Fair Value</w:t>
            </w:r>
          </w:p>
        </w:tc>
      </w:tr>
      <w:tr>
        <w:trPr/>
        <w:tc>
          <w:tcPr>
            <w:tcW w:w="29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as of December 31, 2025</w:t>
            </w:r>
          </w:p>
        </w:tc>
        <w:tc>
          <w:tcPr>
            <w:tcW w:w="346" w:type="dxa"/>
            <w:tcBorders/>
            <w:shd w:fill="CCEEFF" w:val="clear"/>
            <w:vAlign w:val="center"/>
          </w:tcPr>
          <w:p>
            <w:pPr>
              <w:pStyle w:val="TableContents"/>
              <w:bidi w:val="0"/>
              <w:spacing w:before="0" w:after="1"/>
              <w:ind w:left="0" w:right="0" w:hanging="0"/>
              <w:jc w:val="left"/>
              <w:rPr/>
            </w:pPr>
            <w:r>
              <w:rPr/>
              <w:t>​</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599,675</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3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14.23</w:t>
            </w:r>
          </w:p>
        </w:tc>
      </w:tr>
      <w:tr>
        <w:trPr/>
        <w:tc>
          <w:tcPr>
            <w:tcW w:w="29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1"/>
              <w:ind w:left="0" w:right="0" w:hanging="0"/>
              <w:jc w:val="left"/>
              <w:rPr/>
            </w:pPr>
            <w:r>
              <w:rPr/>
              <w:t>​</w:t>
            </w:r>
          </w:p>
        </w:tc>
        <w:tc>
          <w:tcPr>
            <w:tcW w:w="14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848,100</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3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19.49</w:t>
            </w:r>
          </w:p>
        </w:tc>
      </w:tr>
      <w:tr>
        <w:trPr/>
        <w:tc>
          <w:tcPr>
            <w:tcW w:w="29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w:t>
            </w:r>
          </w:p>
        </w:tc>
        <w:tc>
          <w:tcPr>
            <w:tcW w:w="346" w:type="dxa"/>
            <w:tcBorders/>
            <w:shd w:fill="CCEEFF" w:val="clear"/>
            <w:vAlign w:val="center"/>
          </w:tcPr>
          <w:p>
            <w:pPr>
              <w:pStyle w:val="TableContents"/>
              <w:bidi w:val="0"/>
              <w:spacing w:before="0" w:after="1"/>
              <w:ind w:left="0" w:right="0" w:hanging="0"/>
              <w:jc w:val="left"/>
              <w:rPr/>
            </w:pPr>
            <w:r>
              <w:rPr/>
              <w:t>​</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(119,545)</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3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11.94</w:t>
            </w:r>
          </w:p>
        </w:tc>
      </w:tr>
      <w:tr>
        <w:trPr/>
        <w:tc>
          <w:tcPr>
            <w:tcW w:w="29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vAlign w:val="center"/>
          </w:tcPr>
          <w:p>
            <w:pPr>
              <w:pStyle w:val="TableContents"/>
              <w:bidi w:val="0"/>
              <w:spacing w:before="0" w:after="1"/>
              <w:ind w:left="0" w:right="0" w:hanging="0"/>
              <w:jc w:val="left"/>
              <w:rPr/>
            </w:pPr>
            <w:r>
              <w:rPr/>
              <w:t>​</w:t>
            </w:r>
          </w:p>
        </w:tc>
        <w:tc>
          <w:tcPr>
            <w:tcW w:w="14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(64,536)</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3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12.81</w:t>
            </w:r>
          </w:p>
        </w:tc>
      </w:tr>
      <w:tr>
        <w:trPr/>
        <w:tc>
          <w:tcPr>
            <w:tcW w:w="29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as of June 30, 2026</w:t>
            </w:r>
          </w:p>
        </w:tc>
        <w:tc>
          <w:tcPr>
            <w:tcW w:w="346" w:type="dxa"/>
            <w:tcBorders/>
            <w:shd w:fill="CCEEFF" w:val="clear"/>
            <w:vAlign w:val="center"/>
          </w:tcPr>
          <w:p>
            <w:pPr>
              <w:pStyle w:val="TableContents"/>
              <w:bidi w:val="0"/>
              <w:spacing w:before="0" w:after="1"/>
              <w:ind w:left="0" w:right="0" w:hanging="0"/>
              <w:jc w:val="left"/>
              <w:rPr/>
            </w:pPr>
            <w:r>
              <w:rPr/>
              <w:t>​</w:t>
            </w:r>
          </w:p>
        </w:tc>
        <w:tc>
          <w:tcPr>
            <w:tcW w:w="14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1,263,694</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31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18.05</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fair value of RSUs vested during the three and six months ended June 30, 2026 was $2.2 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005" w:name="Tc_23FwzhiIQ0-yHnzFRlznxg_5_11"/>
      <w:bookmarkStart w:id="1006" w:name="Tc_JMaZDKkOHESpkDeMr0ajvA_5_8"/>
      <w:bookmarkStart w:id="1007" w:name="Tc_WoIqreRDt0yFxV6CpjRzzg_5_5"/>
      <w:bookmarkStart w:id="1008" w:name="Tc_33G6piGexkO70MCO0bhYog_5_2"/>
      <w:bookmarkStart w:id="1009" w:name="Tc_g4cSl7eEoU6XSsBIhcBdng_5_0"/>
      <w:bookmarkStart w:id="1010" w:name="Tc_hw0yAunULk-exleBRuFV1Q_4_0"/>
      <w:bookmarkStart w:id="1011" w:name="Tc_W4U1G9Gs4U2AcN2XxgsJeA_3_8"/>
      <w:bookmarkStart w:id="1012" w:name="Tc_OW2vpvjEPEKlfkc52wlXtA_3_5"/>
      <w:bookmarkStart w:id="1013" w:name="Tc_jGD6glCnhkinM0AiJE6gfw_3_2"/>
      <w:bookmarkStart w:id="1014" w:name="Tc_sS1EbJObQEuQSLDtLhxRow_3_0"/>
      <w:bookmarkStart w:id="1015" w:name="Tc_JNVzijqYPE2zvApi6y8o4w_2_12"/>
      <w:bookmarkStart w:id="1016" w:name="Tc_vrTY7Bjw10Ge6ANZ3OG_Sg_2_9"/>
      <w:bookmarkStart w:id="1017" w:name="Tc_ggndB5XAZUOcsH58Eg4-MA_2_6"/>
      <w:bookmarkStart w:id="1018" w:name="Tc_aXr7GFtqi0qFksxOqTMsOQ_2_3"/>
      <w:bookmarkStart w:id="1019" w:name="Tc_uPoCGFF8cU-HrEelgwdVEQ_1_9"/>
      <w:bookmarkStart w:id="1020" w:name="Tc_ngUU2eSepkqKwP0kwxXxOA_1_3"/>
      <w:bookmarkStart w:id="1021" w:name="_7f21c2c9_1984_45c2_bcb8_666d23a07d02"/>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r>
        <w:rPr>
          <w:rFonts w:ascii="Times New Roman;Times;serif" w:hAnsi="Times New Roman;Times;serif"/>
          <w:sz w:val="20"/>
        </w:rPr>
        <w:t xml:space="preserve">As of June 30, 2026, unrecognized stock-based compensation expense was $109.6 million, which is expected to be recognized over a weighted-average period of 3.0 years.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recognized stock-based compensation expense related to the issuance of equity awards to employees and directors in the unaudited condensed consolidated statement of operations as follows (in thousands):</w:t>
      </w:r>
    </w:p>
    <w:tbl>
      <w:tblPr>
        <w:tblW w:w="8814" w:type="dxa"/>
        <w:jc w:val="left"/>
        <w:tblInd w:w="0" w:type="dxa"/>
        <w:tblLayout w:type="fixed"/>
        <w:tblCellMar>
          <w:top w:w="0" w:type="dxa"/>
          <w:left w:w="0" w:type="dxa"/>
          <w:bottom w:w="0" w:type="dxa"/>
          <w:right w:w="0" w:type="dxa"/>
        </w:tblCellMar>
      </w:tblPr>
      <w:tblGrid>
        <w:gridCol w:w="3451"/>
        <w:gridCol w:w="109"/>
        <w:gridCol w:w="211"/>
        <w:gridCol w:w="955"/>
        <w:gridCol w:w="182"/>
        <w:gridCol w:w="353"/>
        <w:gridCol w:w="955"/>
        <w:gridCol w:w="109"/>
        <w:gridCol w:w="211"/>
        <w:gridCol w:w="867"/>
        <w:gridCol w:w="139"/>
        <w:gridCol w:w="270"/>
        <w:gridCol w:w="1002"/>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191385" cy="175260"/>
                      <wp:effectExtent l="0" t="0" r="0" b="0"/>
                      <wp:wrapNone/>
                      <wp:docPr id="161" name="Frame160"/>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9215" cy="175260"/>
                      <wp:effectExtent l="0" t="0" r="0" b="0"/>
                      <wp:wrapNone/>
                      <wp:docPr id="162" name="Frame1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33985" cy="175260"/>
                      <wp:effectExtent l="0" t="0" r="0" b="0"/>
                      <wp:wrapNone/>
                      <wp:docPr id="163" name="Frame1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06425" cy="175260"/>
                      <wp:effectExtent l="0" t="0" r="0" b="0"/>
                      <wp:wrapNone/>
                      <wp:docPr id="164" name="Frame163"/>
                      <a:graphic xmlns:a="http://schemas.openxmlformats.org/drawingml/2006/main">
                        <a:graphicData uri="http://schemas.microsoft.com/office/word/2010/wordprocessingShape">
                          <wps:wsp>
                            <wps:cNvSpPr txBox="1"/>
                            <wps:spPr>
                              <a:xfrm>
                                <a:off x="0" y="0"/>
                                <a:ext cx="606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15570" cy="175260"/>
                      <wp:effectExtent l="0" t="0" r="0" b="0"/>
                      <wp:wrapNone/>
                      <wp:docPr id="165" name="Frame164"/>
                      <a:graphic xmlns:a="http://schemas.openxmlformats.org/drawingml/2006/main">
                        <a:graphicData uri="http://schemas.microsoft.com/office/word/2010/wordprocessingShape">
                          <wps:wsp>
                            <wps:cNvSpPr txBox="1"/>
                            <wps:spPr>
                              <a:xfrm>
                                <a:off x="0" y="0"/>
                                <a:ext cx="115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24155" cy="175260"/>
                      <wp:effectExtent l="0" t="0" r="0" b="0"/>
                      <wp:wrapNone/>
                      <wp:docPr id="166" name="Frame165"/>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06425" cy="175260"/>
                      <wp:effectExtent l="0" t="0" r="0" b="0"/>
                      <wp:wrapNone/>
                      <wp:docPr id="167" name="Frame166"/>
                      <a:graphic xmlns:a="http://schemas.openxmlformats.org/drawingml/2006/main">
                        <a:graphicData uri="http://schemas.microsoft.com/office/word/2010/wordprocessingShape">
                          <wps:wsp>
                            <wps:cNvSpPr txBox="1"/>
                            <wps:spPr>
                              <a:xfrm>
                                <a:off x="0" y="0"/>
                                <a:ext cx="606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9215" cy="175260"/>
                      <wp:effectExtent l="0" t="0" r="0" b="0"/>
                      <wp:wrapNone/>
                      <wp:docPr id="168" name="Frame1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33985" cy="175260"/>
                      <wp:effectExtent l="0" t="0" r="0" b="0"/>
                      <wp:wrapNone/>
                      <wp:docPr id="169" name="Frame1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550545" cy="175260"/>
                      <wp:effectExtent l="0" t="0" r="0" b="0"/>
                      <wp:wrapNone/>
                      <wp:docPr id="170" name="Frame169"/>
                      <a:graphic xmlns:a="http://schemas.openxmlformats.org/drawingml/2006/main">
                        <a:graphicData uri="http://schemas.microsoft.com/office/word/2010/wordprocessingShape">
                          <wps:wsp>
                            <wps:cNvSpPr txBox="1"/>
                            <wps:spPr>
                              <a:xfrm>
                                <a:off x="0" y="0"/>
                                <a:ext cx="550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88265" cy="175260"/>
                      <wp:effectExtent l="0" t="0" r="0" b="0"/>
                      <wp:wrapNone/>
                      <wp:docPr id="171" name="Frame170"/>
                      <a:graphic xmlns:a="http://schemas.openxmlformats.org/drawingml/2006/main">
                        <a:graphicData uri="http://schemas.microsoft.com/office/word/2010/wordprocessingShape">
                          <wps:wsp>
                            <wps:cNvSpPr txBox="1"/>
                            <wps:spPr>
                              <a:xfrm>
                                <a:off x="0" y="0"/>
                                <a:ext cx="882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71450" cy="175260"/>
                      <wp:effectExtent l="0" t="0" r="0" b="0"/>
                      <wp:wrapNone/>
                      <wp:docPr id="172" name="Frame171"/>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36270" cy="175260"/>
                      <wp:effectExtent l="0" t="0" r="0" b="0"/>
                      <wp:wrapNone/>
                      <wp:docPr id="173" name="Frame172"/>
                      <a:graphic xmlns:a="http://schemas.openxmlformats.org/drawingml/2006/main">
                        <a:graphicData uri="http://schemas.microsoft.com/office/word/2010/wordprocessingShape">
                          <wps:wsp>
                            <wps:cNvSpPr txBox="1"/>
                            <wps:spPr>
                              <a:xfrm>
                                <a:off x="0" y="0"/>
                                <a:ext cx="636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2445"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Three Months Ended June 30,</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227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Six Months Ended June 30,</w:t>
            </w:r>
          </w:p>
        </w:tc>
      </w:tr>
      <w:tr>
        <w:trPr/>
        <w:tc>
          <w:tcPr>
            <w:tcW w:w="345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5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182" w:type="dxa"/>
            <w:tcBorders/>
            <w:vAlign w:val="center"/>
          </w:tcPr>
          <w:p>
            <w:pPr>
              <w:pStyle w:val="TableContents"/>
              <w:bidi w:val="0"/>
              <w:spacing w:before="0" w:after="1"/>
              <w:ind w:left="0" w:right="0" w:hanging="0"/>
              <w:jc w:val="center"/>
              <w:rPr/>
            </w:pPr>
            <w:r>
              <w:rPr/>
              <w:t>​</w:t>
            </w:r>
          </w:p>
        </w:tc>
        <w:tc>
          <w:tcPr>
            <w:tcW w:w="353" w:type="dxa"/>
            <w:tcBorders/>
            <w:vAlign w:val="center"/>
          </w:tcPr>
          <w:p>
            <w:pPr>
              <w:pStyle w:val="TableContents"/>
              <w:bidi w:val="0"/>
              <w:spacing w:before="0" w:after="1"/>
              <w:ind w:left="0" w:right="0" w:hanging="0"/>
              <w:jc w:val="center"/>
              <w:rPr/>
            </w:pPr>
            <w:r>
              <w:rPr/>
              <w:t>​</w:t>
            </w:r>
          </w:p>
        </w:tc>
        <w:tc>
          <w:tcPr>
            <w:tcW w:w="95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6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139"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w:t>
            </w:r>
          </w:p>
        </w:tc>
        <w:tc>
          <w:tcPr>
            <w:tcW w:w="100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3,861</w:t>
            </w:r>
          </w:p>
        </w:tc>
        <w:tc>
          <w:tcPr>
            <w:tcW w:w="182"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6,957</w:t>
            </w:r>
          </w:p>
        </w:tc>
        <w:tc>
          <w:tcPr>
            <w:tcW w:w="139"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w:t>
            </w:r>
          </w:p>
        </w:tc>
        <w:tc>
          <w:tcPr>
            <w:tcW w:w="10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3,694</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5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4,758</w:t>
            </w:r>
          </w:p>
        </w:tc>
        <w:tc>
          <w:tcPr>
            <w:tcW w:w="182" w:type="dxa"/>
            <w:tcBorders/>
            <w:vAlign w:val="center"/>
          </w:tcPr>
          <w:p>
            <w:pPr>
              <w:pStyle w:val="TableContents"/>
              <w:bidi w:val="0"/>
              <w:spacing w:before="0" w:after="1"/>
              <w:ind w:left="0" w:right="0" w:hanging="0"/>
              <w:jc w:val="left"/>
              <w:rPr/>
            </w:pPr>
            <w:r>
              <w:rPr/>
              <w:t>​</w:t>
            </w:r>
          </w:p>
        </w:tc>
        <w:tc>
          <w:tcPr>
            <w:tcW w:w="353" w:type="dxa"/>
            <w:tcBorders/>
            <w:vAlign w:val="center"/>
          </w:tcPr>
          <w:p>
            <w:pPr>
              <w:pStyle w:val="TableContents"/>
              <w:bidi w:val="0"/>
              <w:spacing w:before="0" w:after="1"/>
              <w:ind w:left="0" w:right="0" w:hanging="0"/>
              <w:jc w:val="left"/>
              <w:rPr/>
            </w:pPr>
            <w:r>
              <w:rPr/>
              <w:t>​</w:t>
            </w:r>
          </w:p>
        </w:tc>
        <w:tc>
          <w:tcPr>
            <w:tcW w:w="95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3,932</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6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10,857</w:t>
            </w:r>
          </w:p>
        </w:tc>
        <w:tc>
          <w:tcPr>
            <w:tcW w:w="139"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w:t>
            </w:r>
          </w:p>
        </w:tc>
        <w:tc>
          <w:tcPr>
            <w:tcW w:w="100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7,737</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stock-based compensation expense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8,619</w:t>
            </w:r>
          </w:p>
        </w:tc>
        <w:tc>
          <w:tcPr>
            <w:tcW w:w="182"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6,045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17,814</w:t>
            </w:r>
          </w:p>
        </w:tc>
        <w:tc>
          <w:tcPr>
            <w:tcW w:w="139"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2"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11,431</w:t>
            </w:r>
          </w:p>
        </w:tc>
      </w:tr>
    </w:tbl>
    <w:p>
      <w:pPr>
        <w:pStyle w:val="TextBody"/>
        <w:bidi w:val="0"/>
        <w:spacing w:before="0" w:after="240"/>
        <w:ind w:left="0" w:right="0" w:hanging="0"/>
        <w:jc w:val="left"/>
        <w:rPr/>
      </w:pPr>
      <w:r>
        <w:rPr/>
        <w:t>​</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Employee Stock Purchase Plan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September 2024, the Board adopted the 2024 Employee Stock Purchase Plan (the “ESPP”), which became effective immediately prior to the effectiveness of the registration statement for the Company’s IPO. The number of shares of common stock available under the ESPP will automatically increase on January 1st of each year, beginning on January 1, 2025 through January 1, 2034, by the number of shares equal to the lesser of (i) one percent of the aggregate number of shares of common stock outstanding as of such date, and (ii) a number of shares as may be determined by the Board on or prior to such date, up to a maximum of 1,000,000 shares in the aggregate per year. On January 1, 2026, the number of shares of common stock authorized for issuance under the ESPP increased to 1,317,977. As of June 30, 2026, 1,273,608</w:t>
      </w:r>
      <w:r>
        <w:rPr>
          <w:rFonts w:ascii="Times New Roman;Times;serif" w:hAnsi="Times New Roman;Times;serif"/>
          <w:sz w:val="20"/>
          <w:shd w:fill="FFFF00" w:val="clear"/>
        </w:rPr>
        <w:t xml:space="preserve"> </w:t>
      </w:r>
      <w:r>
        <w:rPr>
          <w:rFonts w:ascii="Times New Roman;Times;serif" w:hAnsi="Times New Roman;Times;serif"/>
          <w:sz w:val="20"/>
        </w:rPr>
        <w:t>shares were available for future issuance under the ESPP.  During the three months ended June 30, 2026, there were no issuances under the ESPP. During the six months ended June 30, 2026, there were 44,369 shares issued under the ESPP.  </w:t>
      </w:r>
    </w:p>
    <w:p>
      <w:pPr>
        <w:pStyle w:val="TextBody"/>
        <w:bidi w:val="0"/>
        <w:spacing w:before="0" w:after="240"/>
        <w:ind w:left="0" w:right="0" w:hanging="0"/>
        <w:jc w:val="left"/>
        <w:rPr>
          <w:rFonts w:ascii="Times New Roman;Times;serif" w:hAnsi="Times New Roman;Times;serif"/>
          <w:b/>
          <w:sz w:val="20"/>
        </w:rPr>
      </w:pPr>
      <w:bookmarkStart w:id="1022" w:name="Tc_BC7UQINOfEasJKl8vwNnJQ_6_4"/>
      <w:bookmarkStart w:id="1023" w:name="Tc_JzMbX6ZM20mkRHeULrxDgA_6_0"/>
      <w:bookmarkStart w:id="1024" w:name="Tc_CCWvbOJOOk-ZFUbw_H1NBA_5_4"/>
      <w:bookmarkStart w:id="1025" w:name="Tc_4BU4saQsD0mTPbGF_9NZKQ_5_0"/>
      <w:bookmarkStart w:id="1026" w:name="Tc_HsFXzXwwdEmfi_l3h601iA_4_0"/>
      <w:bookmarkStart w:id="1027" w:name="Tc__jMj6I-PhkOUUWbm6LFTew_3_0"/>
      <w:bookmarkStart w:id="1028" w:name="Tc_L9dO1iZZ3kCl6tOMmzIEeA_2_4"/>
      <w:bookmarkStart w:id="1029" w:name="Tc_t-iLyQGcT0uebBpBjeGyVA_2_2"/>
      <w:bookmarkStart w:id="1030" w:name="Tc_5e8CkScxi0qspm4SMz65Jw_1_2"/>
      <w:bookmarkStart w:id="1031" w:name="_e953b94f_0253_415a_a564_2346a8d69ba3"/>
      <w:bookmarkEnd w:id="1022"/>
      <w:bookmarkEnd w:id="1023"/>
      <w:bookmarkEnd w:id="1024"/>
      <w:bookmarkEnd w:id="1025"/>
      <w:bookmarkEnd w:id="1026"/>
      <w:bookmarkEnd w:id="1027"/>
      <w:bookmarkEnd w:id="1028"/>
      <w:bookmarkEnd w:id="1029"/>
      <w:bookmarkEnd w:id="1030"/>
      <w:bookmarkEnd w:id="1031"/>
      <w:r>
        <w:rPr>
          <w:rFonts w:ascii="Times New Roman;Times;serif" w:hAnsi="Times New Roman;Times;serif"/>
          <w:b/>
          <w:i w:val="false"/>
          <w:caps w:val="false"/>
          <w:smallCaps w:val="false"/>
          <w:sz w:val="20"/>
        </w:rPr>
        <w:t>12.</w:t>
      </w:r>
      <w:r>
        <w:rPr>
          <w:rFonts w:ascii="Times New Roman;Times;serif" w:hAnsi="Times New Roman;Times;serif"/>
          <w:b/>
          <w:sz w:val="20"/>
        </w:rPr>
        <w:t xml:space="preserve">Net Loss Per Share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potentially dilutive securities, which include stock options, RSUs, convertible senior notes, and the 2,000,000 shares of common stock to be issued to InnoCare, have been excluded from the computation of diluted net loss per share as the effect would be to reduce the net loss per share. Therefore, the weighted-average number of common shares outstanding used to calculate both basic and diluted net loss per share is the same. The Company excluded the following shares from the computation of diluted net loss as of June 30, 2026 and 2025 because including them would have had an anti-dilutive effect:</w:t>
      </w:r>
    </w:p>
    <w:tbl>
      <w:tblPr>
        <w:tblW w:w="8456" w:type="dxa"/>
        <w:jc w:val="left"/>
        <w:tblInd w:w="0" w:type="dxa"/>
        <w:tblLayout w:type="fixed"/>
        <w:tblCellMar>
          <w:top w:w="0" w:type="dxa"/>
          <w:left w:w="0" w:type="dxa"/>
          <w:bottom w:w="0" w:type="dxa"/>
          <w:right w:w="0" w:type="dxa"/>
        </w:tblCellMar>
      </w:tblPr>
      <w:tblGrid>
        <w:gridCol w:w="6121"/>
        <w:gridCol w:w="109"/>
        <w:gridCol w:w="1036"/>
        <w:gridCol w:w="109"/>
        <w:gridCol w:w="1081"/>
      </w:tblGrid>
      <w:tr>
        <w:trPr/>
        <w:tc>
          <w:tcPr>
            <w:tcW w:w="6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3886835" cy="175260"/>
                      <wp:effectExtent l="0" t="0" r="0" b="0"/>
                      <wp:wrapNone/>
                      <wp:docPr id="174" name="Frame173"/>
                      <a:graphic xmlns:a="http://schemas.openxmlformats.org/drawingml/2006/main">
                        <a:graphicData uri="http://schemas.microsoft.com/office/word/2010/wordprocessingShape">
                          <wps:wsp>
                            <wps:cNvSpPr txBox="1"/>
                            <wps:spPr>
                              <a:xfrm>
                                <a:off x="0" y="0"/>
                                <a:ext cx="3886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9215" cy="175260"/>
                      <wp:effectExtent l="0" t="0" r="0" b="0"/>
                      <wp:wrapNone/>
                      <wp:docPr id="175" name="Frame1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57860" cy="175260"/>
                      <wp:effectExtent l="0" t="0" r="0" b="0"/>
                      <wp:wrapNone/>
                      <wp:docPr id="176" name="Frame17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9215" cy="175260"/>
                      <wp:effectExtent l="0" t="0" r="0" b="0"/>
                      <wp:wrapNone/>
                      <wp:docPr id="177" name="Frame17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86435" cy="175260"/>
                      <wp:effectExtent l="0" t="0" r="0" b="0"/>
                      <wp:wrapNone/>
                      <wp:docPr id="178" name="Frame177"/>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1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226"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June 30, </w:t>
            </w:r>
          </w:p>
        </w:tc>
      </w:tr>
      <w:tr>
        <w:trPr/>
        <w:tc>
          <w:tcPr>
            <w:tcW w:w="61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109" w:type="dxa"/>
            <w:tcBorders/>
            <w:vAlign w:val="center"/>
          </w:tcPr>
          <w:p>
            <w:pPr>
              <w:pStyle w:val="TableContents"/>
              <w:bidi w:val="0"/>
              <w:spacing w:before="0" w:after="1"/>
              <w:ind w:left="0" w:right="0" w:hanging="0"/>
              <w:jc w:val="center"/>
              <w:rPr/>
            </w:pPr>
            <w:r>
              <w:rPr/>
              <w:t>​</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61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Options to purchase common stock </w:t>
            </w:r>
          </w:p>
        </w:tc>
        <w:tc>
          <w:tcPr>
            <w:tcW w:w="109"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12,645,400</w:t>
            </w:r>
          </w:p>
        </w:tc>
        <w:tc>
          <w:tcPr>
            <w:tcW w:w="109"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10,615,469</w:t>
            </w:r>
          </w:p>
        </w:tc>
      </w:tr>
      <w:tr>
        <w:trPr/>
        <w:tc>
          <w:tcPr>
            <w:tcW w:w="61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RSUs</w:t>
            </w:r>
          </w:p>
        </w:tc>
        <w:tc>
          <w:tcPr>
            <w:tcW w:w="109"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1,263,694</w:t>
            </w:r>
          </w:p>
        </w:tc>
        <w:tc>
          <w:tcPr>
            <w:tcW w:w="109"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511,100</w:t>
            </w:r>
          </w:p>
        </w:tc>
      </w:tr>
      <w:tr>
        <w:trPr/>
        <w:tc>
          <w:tcPr>
            <w:tcW w:w="61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 to be issued to InnoCare</w:t>
            </w:r>
          </w:p>
        </w:tc>
        <w:tc>
          <w:tcPr>
            <w:tcW w:w="109"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2,000,000</w:t>
            </w:r>
          </w:p>
        </w:tc>
        <w:tc>
          <w:tcPr>
            <w:tcW w:w="109"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pPr>
            <w:r>
              <w:rPr/>
              <w:t>—</w:t>
            </w:r>
          </w:p>
        </w:tc>
      </w:tr>
      <w:tr>
        <w:trPr/>
        <w:tc>
          <w:tcPr>
            <w:tcW w:w="612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Shares of common stock underlying convertible senior notes outstanding</w:t>
            </w:r>
            <w:r>
              <w:rPr>
                <w:rFonts w:ascii="Times New Roman;Times;serif" w:hAnsi="Times New Roman;Times;serif"/>
                <w:sz w:val="15"/>
              </w:rPr>
              <w:t>1</w:t>
            </w:r>
          </w:p>
        </w:tc>
        <w:tc>
          <w:tcPr>
            <w:tcW w:w="109"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8,679,234</w:t>
            </w:r>
          </w:p>
        </w:tc>
        <w:tc>
          <w:tcPr>
            <w:tcW w:w="109"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both"/>
        <w:rPr/>
      </w:pPr>
      <w:r>
        <w:rPr/>
        <w:t>​</w:t>
      </w:r>
    </w:p>
    <w:p>
      <w:pPr>
        <w:pStyle w:val="TextBody"/>
        <w:bidi w:val="0"/>
        <w:spacing w:lineRule="auto" w:line="240" w:before="0" w:after="0"/>
        <w:ind w:left="0" w:right="0" w:hanging="0"/>
        <w:jc w:val="both"/>
        <w:rPr>
          <w:rFonts w:ascii="Times New Roman;Times;serif" w:hAnsi="Times New Roman;Times;serif"/>
          <w:sz w:val="16"/>
        </w:rPr>
      </w:pPr>
      <w:r>
        <w:rPr>
          <w:rFonts w:ascii="Times New Roman;Times;serif" w:hAnsi="Times New Roman;Times;serif"/>
          <w:sz w:val="15"/>
        </w:rPr>
        <w:t xml:space="preserve">1 </w:t>
      </w:r>
      <w:r>
        <w:rPr>
          <w:rFonts w:ascii="Times New Roman;Times;serif" w:hAnsi="Times New Roman;Times;serif"/>
          <w:sz w:val="16"/>
        </w:rPr>
        <w:t xml:space="preserve">Represents conversion rate, as of June 30, 2026, of 37.7358 shares of common stock per $1,000 principal amount of notes.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13.</w:t>
      </w:r>
      <w:r>
        <w:rPr>
          <w:rFonts w:ascii="Times New Roman;Times;serif" w:hAnsi="Times New Roman;Times;serif"/>
          <w:b/>
          <w:sz w:val="20"/>
        </w:rPr>
        <w:t xml:space="preserve">Commitments and Contingencies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Other Contracts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entered into agreements with certain vendors for the provision of services that the Company is not contractually able to terminate for convenience and thereby avoid any and all future obligations to the vendors. Under such agreements, the Company is contractually obligated to make certain minimum payments to the vendors, with the exact amounts in the event of termination to be based on the timing of the termination and the exact terms of the agreement. As of June 30, 2026, our total non-cancellable clinical manufacturing contract payment obligations are $15.8 million of which the full obligation is payable within 12 months.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Indemnification Agreements</w:t>
      </w:r>
    </w:p>
    <w:p>
      <w:pPr>
        <w:pStyle w:val="TextBody"/>
        <w:bidi w:val="0"/>
        <w:spacing w:before="0" w:after="240"/>
        <w:ind w:left="0" w:right="0" w:hanging="0"/>
        <w:jc w:val="both"/>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certain officers that will require the Company, among other things, to indemnify them against certain liabilities that may arise by reason of their status or services as directors. The maximum potential amount of future payments the Company could be required to make under these indemnification agreements is, in many cases, unlimited. To date, the Company has not incurred any material costs as a result of such indemnifications. The Company is not currently aware of any indemnification claims and had not accrued any liabilities related to such obligations in its unaudited condensed consolidated financial statements as of June 30, 2026.</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Litigation and Other Proceedings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may periodically become subject to legal proceedings and claims arising in the ordinary course of business. As of June 30, 2026, the Company was not subject to any material legal proceedings which would reasonably be expected to have a material adverse effect on the Company’s financial results.</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14.</w:t>
      </w:r>
      <w:r>
        <w:rPr>
          <w:rFonts w:ascii="Times New Roman;Times;serif" w:hAnsi="Times New Roman;Times;serif"/>
          <w:b/>
          <w:sz w:val="20"/>
        </w:rPr>
        <w:t>Related Party Transactions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Xencor, Inc.</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obtained exclusive, worldwide licenses from Xencor to research, develop, manufacture, market and sell three antibody product candidates pursuant to two license agreements. The Company has concluded that Xencor is a related party, due to the issuance of convertible preferred stock in December 2020 and April 2023. In connection with the completion of the IPO, in September 2024, all outstanding shares of preferred stock converted into shares of common stock. As of June 30, 2026, Xencor held less than 10% of the shares of the Company’s outstanding common stock.  </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 xml:space="preserve">Viridian Therapeutics, Inc.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has obtained a license from Viridian to research, develop, manufacture, market and sell an antibody product candidate in China. Prior to May 2026, the Company concluded that Viridian was a related party because although Fairmount Funds Management LLC owns less than 10% of shares of the Company’s outstanding common stock, they held a seat on the Board and are also a 10% or greater stockholder of Viridian and have two seats on Viridian’s board of directors. Effective May 2026, Fairmount Funds Management LLC no longer holds a seat on the Board and thus, the Company has determined that Viridian is no longer a related party. </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Zai Lab (Hong Kong) Limited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has granted a sublicense to Zai to develop, manufacture and commercialize ZB001 and related programs in greater China. The Company has concluded that Zai is a related party, as the Company’s CEO and Chairman is a member of Zai’s board of directors. </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InnoCare Pharma Inc.</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has obtained the exclusive rights from InnoCare to develop, manufacture and commercialize three product candidates pursuant to the InnoCare License Agreement. Though InnoCare does not hold any direct controlling interest in the Company, the Company has concluded that InnoCare is a related party, due to the 5,000,000 shares of common stock issued and the 2,000,000 shares of common stock to be issued pursuant to the InnoCare License Agreement. As of June 30, 2026, InnoCare held less than 10% of the shares of the Company’s outstanding common stock.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For additional information on these arrangements, please see </w:t>
      </w:r>
      <w:r>
        <w:rPr>
          <w:rFonts w:ascii="Times New Roman;Times;serif" w:hAnsi="Times New Roman;Times;serif"/>
          <w:i/>
          <w:sz w:val="20"/>
        </w:rPr>
        <w:t>Note 7, License and Collaboration Revenue</w:t>
      </w:r>
      <w:r>
        <w:rPr>
          <w:rFonts w:ascii="Times New Roman;Times;serif" w:hAnsi="Times New Roman;Times;serif"/>
          <w:sz w:val="20"/>
        </w:rPr>
        <w:t xml:space="preserve"> and </w:t>
      </w:r>
      <w:r>
        <w:rPr>
          <w:rFonts w:ascii="Times New Roman;Times;serif" w:hAnsi="Times New Roman;Times;serif"/>
          <w:i/>
          <w:sz w:val="20"/>
        </w:rPr>
        <w:t xml:space="preserve">Note 8, License Agreements, </w:t>
      </w:r>
      <w:r>
        <w:rPr>
          <w:rFonts w:ascii="Times New Roman;Times;serif" w:hAnsi="Times New Roman;Times;serif"/>
          <w:sz w:val="20"/>
        </w:rPr>
        <w:t xml:space="preserve">to these unaudited condensed consolidated financial statements.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032" w:name="Tc_iYYdy7goJEGmsPQKHttTFw_15_11"/>
      <w:bookmarkStart w:id="1033" w:name="Tc_bJZVn5opqUOtszZY5hDyDQ_15_8"/>
      <w:bookmarkStart w:id="1034" w:name="Tc_dsdP_I2HZkyuPs0ln4VhIA_15_5"/>
      <w:bookmarkStart w:id="1035" w:name="Tc_N7VNGOAWZUCahLkv1AKuyA_15_2"/>
      <w:bookmarkStart w:id="1036" w:name="Tc_WwyyiwJkrESyv8doBRCCYQ_15_0"/>
      <w:bookmarkStart w:id="1037" w:name="Tc_p-cca-E-K0ili5yyh66hRA_14_0"/>
      <w:bookmarkStart w:id="1038" w:name="Tc_XVBi3i0reUefk5kbuawm2Q_13_0"/>
      <w:bookmarkStart w:id="1039" w:name="Tc_NS4s6mvJGkWxRsRIhQTXJQ_12_12"/>
      <w:bookmarkStart w:id="1040" w:name="Tc_Su48vXpFqEi_Js-e0FH51g_12_6"/>
      <w:bookmarkStart w:id="1041" w:name="Tc_n1o_DQOw40-LFAFMFLSVuw_12_0"/>
      <w:bookmarkStart w:id="1042" w:name="Tc_9puWFo2PT0u1yrbN0fog-Q_11_0"/>
      <w:bookmarkStart w:id="1043" w:name="Tc_45rzDd6JcU-D716MtKYT-Q_10_0"/>
      <w:bookmarkStart w:id="1044" w:name="Tc_1y7xHMgopUmqhmRYfBeRcw_9_0"/>
      <w:bookmarkStart w:id="1045" w:name="Tc_i3B7eeRDpU6LrwytGZQMbA_8_0"/>
      <w:bookmarkStart w:id="1046" w:name="Tc_PNtd4DvmF0anUjnPbUW0hg_7_12"/>
      <w:bookmarkStart w:id="1047" w:name="Tc_rBYzFJ87bUGlj1n4Li_yJg_7_6"/>
      <w:bookmarkStart w:id="1048" w:name="Tc_2tWd56K2ZEqWUGCC4bEvYg_7_0"/>
      <w:bookmarkStart w:id="1049" w:name="Tc_FevWUr1Ihkafcx3n9Zyv6Q_6_0"/>
      <w:bookmarkStart w:id="1050" w:name="Tc_q5t6tI13GE2PBGzWJ5eTbA_5_0"/>
      <w:bookmarkStart w:id="1051" w:name="Tc_tsTj7EFXs0SZ4p5YR2LKQw_4_0"/>
      <w:bookmarkStart w:id="1052" w:name="Tc_PDmsT_4UOEyRGzqmjL6RLw_3_11"/>
      <w:bookmarkStart w:id="1053" w:name="Tc_bhc1aaHXM0eTewJveWlLdA_3_8"/>
      <w:bookmarkStart w:id="1054" w:name="Tc_AD3ixho8TEWvv4qP8tiLHA_3_6"/>
      <w:bookmarkStart w:id="1055" w:name="Tc_jw9wEVN380OrYf0kdctqFg_3_5"/>
      <w:bookmarkStart w:id="1056" w:name="Tc_BOtreVSLsUenIf2Y-VXkmg_3_2"/>
      <w:bookmarkStart w:id="1057" w:name="Tc_mHnIE7be40yAfFpnZanBAA_3_0"/>
      <w:bookmarkStart w:id="1058" w:name="Tc_tP9ZctFpm0yCDGCu2De8oQ_2_12"/>
      <w:bookmarkStart w:id="1059" w:name="Tc_qNGO51_esUG7z783pv5vwg_2_9"/>
      <w:bookmarkStart w:id="1060" w:name="Tc_0OUDMjEw3EOgOcxGDZEehw_2_6"/>
      <w:bookmarkStart w:id="1061" w:name="Tc_RDQjL5NQxEGK-wrBqzWU5g_2_3"/>
      <w:bookmarkStart w:id="1062" w:name="Tc_Anu0EjCSMk67DhXIwt-p3A_1_9"/>
      <w:bookmarkStart w:id="1063" w:name="Tc_p4w_BLjhN0CcjRDjOlEKGw_1_3"/>
      <w:bookmarkStart w:id="1064" w:name="_6b502678_49d6_4020_8e54_2a6918f0a321"/>
      <w:bookmarkStart w:id="1065" w:name="Narr_oI47tHHoEESiAMQFfAiXFg"/>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r>
        <w:rPr>
          <w:rFonts w:ascii="Times New Roman;Times;serif" w:hAnsi="Times New Roman;Times;serif"/>
          <w:b/>
          <w:i w:val="false"/>
          <w:caps w:val="false"/>
          <w:smallCaps w:val="false"/>
          <w:sz w:val="20"/>
        </w:rPr>
        <w:t>15.</w:t>
      </w:r>
      <w:r>
        <w:rPr>
          <w:rFonts w:ascii="Times New Roman;Times;serif" w:hAnsi="Times New Roman;Times;serif"/>
          <w:b/>
          <w:sz w:val="20"/>
        </w:rPr>
        <w:t xml:space="preserve">Segment Information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manages its operations on a consolidated basis as a </w:t>
      </w:r>
      <w:r>
        <w:rPr>
          <w:rFonts w:ascii="Times New Roman;Times;serif" w:hAnsi="Times New Roman;Times;serif"/>
          <w:b w:val="false"/>
          <w:i w:val="false"/>
          <w:caps w:val="false"/>
          <w:smallCaps w:val="false"/>
          <w:sz w:val="20"/>
        </w:rPr>
        <w:t>single</w:t>
      </w:r>
      <w:r>
        <w:rPr>
          <w:rFonts w:ascii="Times New Roman;Times;serif" w:hAnsi="Times New Roman;Times;serif"/>
          <w:sz w:val="20"/>
        </w:rPr>
        <w:t xml:space="preserve"> reportable segment focused on the research and development of immunology-based therapies. The accounting policies of the single reportable segment are identical to those described in </w:t>
      </w:r>
      <w:r>
        <w:rPr>
          <w:rFonts w:ascii="Times New Roman;Times;serif" w:hAnsi="Times New Roman;Times;serif"/>
          <w:i/>
          <w:sz w:val="20"/>
        </w:rPr>
        <w:t>Note 1, Nature of Business</w:t>
      </w:r>
      <w:r>
        <w:rPr>
          <w:rFonts w:ascii="Times New Roman;Times;serif" w:hAnsi="Times New Roman;Times;serif"/>
          <w:sz w:val="20"/>
        </w:rPr>
        <w:t xml:space="preserve">, to these unaudited condensed consolidated financial statements. When evaluating the Company’s financial performance, the Company’s chief operating decision-maker (the “CODM”), its Chief Executive Officer regularly reviews consolidated net loss, total expense and direct expenses by program and compared to budget. The CODM allocates resources based on the Company’s available cash resources, and forecasted expenditures on a consolidated basis, as well as an assessment of the probability of success of its research and development activities on a program basis. Segment asset information regularly provided to the CODM is consistent with that reported on the consolidated balance sheets with particular emphasis on the Company’s available liquidity, including its cash, cash equivalents and investment balances. Revenue is primarily attributed to individual countries based on the entity owning the license. During the three and six months ended June 30, 2026, the Company recognized $1.0 million of revenue, which was attributed to Zenas HK. During the three months ended June 30, 2025, the Company did not recognize any revenue and for the six months ended June 30, 2025, the Company recognized $10.0 million of revenue which was attributed to Zenas HK.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presents certain financial data for the Company’s reportable segment for the three and six months ended June 30, 2026 and 2025 (in thousands):</w:t>
      </w:r>
    </w:p>
    <w:tbl>
      <w:tblPr>
        <w:tblW w:w="9863" w:type="dxa"/>
        <w:jc w:val="left"/>
        <w:tblInd w:w="0" w:type="dxa"/>
        <w:tblLayout w:type="fixed"/>
        <w:tblCellMar>
          <w:top w:w="0" w:type="dxa"/>
          <w:left w:w="0" w:type="dxa"/>
          <w:bottom w:w="0" w:type="dxa"/>
          <w:right w:w="0" w:type="dxa"/>
        </w:tblCellMar>
      </w:tblPr>
      <w:tblGrid>
        <w:gridCol w:w="4891"/>
        <w:gridCol w:w="109"/>
        <w:gridCol w:w="211"/>
        <w:gridCol w:w="998"/>
        <w:gridCol w:w="120"/>
        <w:gridCol w:w="233"/>
        <w:gridCol w:w="882"/>
        <w:gridCol w:w="109"/>
        <w:gridCol w:w="211"/>
        <w:gridCol w:w="918"/>
        <w:gridCol w:w="111"/>
        <w:gridCol w:w="214"/>
        <w:gridCol w:w="856"/>
      </w:tblGrid>
      <w:tr>
        <w:trPr/>
        <w:tc>
          <w:tcPr>
            <w:tcW w:w="4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3105785" cy="175260"/>
                      <wp:effectExtent l="0" t="0" r="0" b="0"/>
                      <wp:wrapNone/>
                      <wp:docPr id="179" name="Frame178"/>
                      <a:graphic xmlns:a="http://schemas.openxmlformats.org/drawingml/2006/main">
                        <a:graphicData uri="http://schemas.microsoft.com/office/word/2010/wordprocessingShape">
                          <wps:wsp>
                            <wps:cNvSpPr txBox="1"/>
                            <wps:spPr>
                              <a:xfrm>
                                <a:off x="0" y="0"/>
                                <a:ext cx="3105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9215" cy="175260"/>
                      <wp:effectExtent l="0" t="0" r="0" b="0"/>
                      <wp:wrapNone/>
                      <wp:docPr id="180" name="Frame1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33985" cy="175260"/>
                      <wp:effectExtent l="0" t="0" r="0" b="0"/>
                      <wp:wrapNone/>
                      <wp:docPr id="181" name="Frame1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33730" cy="175260"/>
                      <wp:effectExtent l="0" t="0" r="0" b="0"/>
                      <wp:wrapNone/>
                      <wp:docPr id="182" name="Frame181"/>
                      <a:graphic xmlns:a="http://schemas.openxmlformats.org/drawingml/2006/main">
                        <a:graphicData uri="http://schemas.microsoft.com/office/word/2010/wordprocessingShape">
                          <wps:wsp>
                            <wps:cNvSpPr txBox="1"/>
                            <wps:spPr>
                              <a:xfrm>
                                <a:off x="0" y="0"/>
                                <a:ext cx="633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76200" cy="175260"/>
                      <wp:effectExtent l="0" t="0" r="0" b="0"/>
                      <wp:wrapNone/>
                      <wp:docPr id="183" name="Frame182"/>
                      <a:graphic xmlns:a="http://schemas.openxmlformats.org/drawingml/2006/main">
                        <a:graphicData uri="http://schemas.microsoft.com/office/word/2010/wordprocessingShape">
                          <wps:wsp>
                            <wps:cNvSpPr txBox="1"/>
                            <wps:spPr>
                              <a:xfrm>
                                <a:off x="0" y="0"/>
                                <a:ext cx="76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47955" cy="175260"/>
                      <wp:effectExtent l="0" t="0" r="0" b="0"/>
                      <wp:wrapNone/>
                      <wp:docPr id="184" name="Frame183"/>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560070" cy="175260"/>
                      <wp:effectExtent l="0" t="0" r="0" b="0"/>
                      <wp:wrapNone/>
                      <wp:docPr id="185" name="Frame184"/>
                      <a:graphic xmlns:a="http://schemas.openxmlformats.org/drawingml/2006/main">
                        <a:graphicData uri="http://schemas.microsoft.com/office/word/2010/wordprocessingShape">
                          <wps:wsp>
                            <wps:cNvSpPr txBox="1"/>
                            <wps:spPr>
                              <a:xfrm>
                                <a:off x="0" y="0"/>
                                <a:ext cx="5600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9215" cy="175260"/>
                      <wp:effectExtent l="0" t="0" r="0" b="0"/>
                      <wp:wrapNone/>
                      <wp:docPr id="186" name="Frame1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33985" cy="175260"/>
                      <wp:effectExtent l="0" t="0" r="0" b="0"/>
                      <wp:wrapNone/>
                      <wp:docPr id="187" name="Frame1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582930" cy="175260"/>
                      <wp:effectExtent l="0" t="0" r="0" b="0"/>
                      <wp:wrapNone/>
                      <wp:docPr id="188" name="Frame187"/>
                      <a:graphic xmlns:a="http://schemas.openxmlformats.org/drawingml/2006/main">
                        <a:graphicData uri="http://schemas.microsoft.com/office/word/2010/wordprocessingShape">
                          <wps:wsp>
                            <wps:cNvSpPr txBox="1"/>
                            <wps:spPr>
                              <a:xfrm>
                                <a:off x="0" y="0"/>
                                <a:ext cx="582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70485" cy="175260"/>
                      <wp:effectExtent l="0" t="0" r="0" b="0"/>
                      <wp:wrapNone/>
                      <wp:docPr id="189" name="Frame188"/>
                      <a:graphic xmlns:a="http://schemas.openxmlformats.org/drawingml/2006/main">
                        <a:graphicData uri="http://schemas.microsoft.com/office/word/2010/wordprocessingShape">
                          <wps:wsp>
                            <wps:cNvSpPr txBox="1"/>
                            <wps:spPr>
                              <a:xfrm>
                                <a:off x="0" y="0"/>
                                <a:ext cx="70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35890" cy="175260"/>
                      <wp:effectExtent l="0" t="0" r="0" b="0"/>
                      <wp:wrapNone/>
                      <wp:docPr id="190" name="Frame189"/>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543560" cy="175260"/>
                      <wp:effectExtent l="0" t="0" r="0" b="0"/>
                      <wp:wrapNone/>
                      <wp:docPr id="191" name="Frame190"/>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8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223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For the three months ended</w:t>
              <w:br/>
              <w:t>June 30,</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209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For the six months ended</w:t>
              <w:br/>
              <w:t>June 30,</w:t>
            </w:r>
          </w:p>
        </w:tc>
      </w:tr>
      <w:tr>
        <w:trPr/>
        <w:tc>
          <w:tcPr>
            <w:tcW w:w="48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9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120"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88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1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1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8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48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9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120"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882"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9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111"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w:t>
            </w:r>
          </w:p>
        </w:tc>
      </w:tr>
      <w:tr>
        <w:trPr/>
        <w:tc>
          <w:tcPr>
            <w:tcW w:w="48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998" w:type="dxa"/>
            <w:tcBorders/>
            <w:vAlign w:val="center"/>
          </w:tcPr>
          <w:p>
            <w:pPr>
              <w:pStyle w:val="TableContents"/>
              <w:bidi w:val="0"/>
              <w:spacing w:before="0" w:after="1"/>
              <w:ind w:left="0" w:right="0" w:hanging="0"/>
              <w:jc w:val="left"/>
              <w:rPr/>
            </w:pPr>
            <w:r>
              <w:rPr/>
              <w:t>​</w:t>
            </w:r>
          </w:p>
        </w:tc>
        <w:tc>
          <w:tcPr>
            <w:tcW w:w="120"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right"/>
              <w:rPr/>
            </w:pPr>
            <w:r>
              <w:rPr/>
              <w:t>​</w:t>
            </w:r>
          </w:p>
        </w:tc>
        <w:tc>
          <w:tcPr>
            <w:tcW w:w="88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918" w:type="dxa"/>
            <w:tcBorders/>
            <w:vAlign w:val="center"/>
          </w:tcPr>
          <w:p>
            <w:pPr>
              <w:pStyle w:val="TableContents"/>
              <w:bidi w:val="0"/>
              <w:spacing w:before="0" w:after="1"/>
              <w:ind w:left="0" w:right="0" w:hanging="0"/>
              <w:jc w:val="left"/>
              <w:rPr/>
            </w:pPr>
            <w:r>
              <w:rPr/>
              <w:t>​</w:t>
            </w:r>
          </w:p>
        </w:tc>
        <w:tc>
          <w:tcPr>
            <w:tcW w:w="111"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right"/>
              <w:rPr/>
            </w:pPr>
            <w:r>
              <w:rPr/>
              <w:t>​</w:t>
            </w:r>
          </w:p>
        </w:tc>
        <w:tc>
          <w:tcPr>
            <w:tcW w:w="856" w:type="dxa"/>
            <w:tcBorders/>
            <w:vAlign w:val="center"/>
          </w:tcPr>
          <w:p>
            <w:pPr>
              <w:pStyle w:val="TableContents"/>
              <w:bidi w:val="0"/>
              <w:spacing w:before="0" w:after="1"/>
              <w:ind w:left="0" w:right="0" w:hanging="0"/>
              <w:jc w:val="left"/>
              <w:rPr/>
            </w:pPr>
            <w:r>
              <w:rPr/>
              <w:t>​</w:t>
            </w:r>
          </w:p>
        </w:tc>
      </w:tr>
      <w:tr>
        <w:trPr/>
        <w:tc>
          <w:tcPr>
            <w:tcW w:w="489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Direct research and development expenses:</w:t>
            </w:r>
            <w:r>
              <w:rPr>
                <w:rFonts w:ascii="Times New Roman;Times;serif" w:hAnsi="Times New Roman;Times;serif"/>
                <w:sz w:val="15"/>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998" w:type="dxa"/>
            <w:tcBorders/>
            <w:shd w:fill="CCEEFF" w:val="clear"/>
            <w:vAlign w:val="center"/>
          </w:tcPr>
          <w:p>
            <w:pPr>
              <w:pStyle w:val="TableContents"/>
              <w:bidi w:val="0"/>
              <w:spacing w:before="0" w:after="1"/>
              <w:ind w:left="0" w:right="0" w:hanging="0"/>
              <w:jc w:val="left"/>
              <w:rPr/>
            </w:pPr>
            <w:r>
              <w:rPr/>
              <w:t>​</w:t>
            </w:r>
          </w:p>
        </w:tc>
        <w:tc>
          <w:tcPr>
            <w:tcW w:w="120"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right"/>
              <w:rPr/>
            </w:pPr>
            <w:r>
              <w:rPr/>
              <w:t>​</w:t>
            </w:r>
          </w:p>
        </w:tc>
        <w:tc>
          <w:tcPr>
            <w:tcW w:w="882"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918" w:type="dxa"/>
            <w:tcBorders/>
            <w:shd w:fill="CCEEFF" w:val="clear"/>
            <w:vAlign w:val="center"/>
          </w:tcPr>
          <w:p>
            <w:pPr>
              <w:pStyle w:val="TableContents"/>
              <w:bidi w:val="0"/>
              <w:spacing w:before="0" w:after="1"/>
              <w:ind w:left="0" w:right="0" w:hanging="0"/>
              <w:jc w:val="left"/>
              <w:rPr/>
            </w:pPr>
            <w:r>
              <w:rPr/>
              <w:t>​</w:t>
            </w:r>
          </w:p>
        </w:tc>
        <w:tc>
          <w:tcPr>
            <w:tcW w:w="111"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right"/>
              <w:rPr/>
            </w:pPr>
            <w:r>
              <w:rPr/>
              <w:t>​</w:t>
            </w:r>
          </w:p>
        </w:tc>
        <w:tc>
          <w:tcPr>
            <w:tcW w:w="856" w:type="dxa"/>
            <w:tcBorders/>
            <w:shd w:fill="CCEEFF" w:val="clear"/>
            <w:vAlign w:val="center"/>
          </w:tcPr>
          <w:p>
            <w:pPr>
              <w:pStyle w:val="TableContents"/>
              <w:bidi w:val="0"/>
              <w:spacing w:before="0" w:after="1"/>
              <w:ind w:left="0" w:right="0" w:hanging="0"/>
              <w:jc w:val="left"/>
              <w:rPr/>
            </w:pPr>
            <w:r>
              <w:rPr/>
              <w:t>​</w:t>
            </w:r>
          </w:p>
        </w:tc>
      </w:tr>
      <w:tr>
        <w:trPr/>
        <w:tc>
          <w:tcPr>
            <w:tcW w:w="48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Obexelimab</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29,394</w:t>
            </w:r>
          </w:p>
        </w:tc>
        <w:tc>
          <w:tcPr>
            <w:tcW w:w="120"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8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29,894</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61,154</w:t>
            </w:r>
          </w:p>
        </w:tc>
        <w:tc>
          <w:tcPr>
            <w:tcW w:w="111"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53,254</w:t>
            </w:r>
          </w:p>
        </w:tc>
      </w:tr>
      <w:tr>
        <w:trPr/>
        <w:tc>
          <w:tcPr>
            <w:tcW w:w="48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Orelabrutinib</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11,206</w:t>
            </w:r>
          </w:p>
        </w:tc>
        <w:tc>
          <w:tcPr>
            <w:tcW w:w="120"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882"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21,307</w:t>
            </w:r>
          </w:p>
        </w:tc>
        <w:tc>
          <w:tcPr>
            <w:tcW w:w="111"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pPr>
            <w:r>
              <w:rPr/>
              <w:t>—</w:t>
            </w:r>
          </w:p>
        </w:tc>
      </w:tr>
      <w:tr>
        <w:trPr/>
        <w:tc>
          <w:tcPr>
            <w:tcW w:w="48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programs (ZB002, ZB004, ZB014, ZB021 &amp; ZB022)</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1,458</w:t>
            </w:r>
          </w:p>
        </w:tc>
        <w:tc>
          <w:tcPr>
            <w:tcW w:w="120"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8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2,026</w:t>
            </w:r>
          </w:p>
        </w:tc>
        <w:tc>
          <w:tcPr>
            <w:tcW w:w="111"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736</w:t>
            </w:r>
          </w:p>
        </w:tc>
      </w:tr>
      <w:tr>
        <w:trPr/>
        <w:tc>
          <w:tcPr>
            <w:tcW w:w="48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Partnered regional programs (ZB001 &amp; ZB005)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120"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8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111"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489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Unallocated research and development</w:t>
            </w:r>
            <w:r>
              <w:rPr>
                <w:rFonts w:ascii="Times New Roman;Times;serif" w:hAnsi="Times New Roman;Times;serif"/>
                <w:sz w:val="15"/>
              </w:rPr>
              <w:t>2</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17,018</w:t>
            </w:r>
          </w:p>
        </w:tc>
        <w:tc>
          <w:tcPr>
            <w:tcW w:w="120"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8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10,757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31,932</w:t>
            </w:r>
          </w:p>
        </w:tc>
        <w:tc>
          <w:tcPr>
            <w:tcW w:w="111"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20,295</w:t>
            </w:r>
          </w:p>
        </w:tc>
      </w:tr>
      <w:tr>
        <w:trPr/>
        <w:tc>
          <w:tcPr>
            <w:tcW w:w="489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r>
              <w:rPr>
                <w:rFonts w:ascii="Times New Roman;Times;serif" w:hAnsi="Times New Roman;Times;serif"/>
                <w:sz w:val="15"/>
              </w:rPr>
              <w:t>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10,988</w:t>
            </w:r>
          </w:p>
        </w:tc>
        <w:tc>
          <w:tcPr>
            <w:tcW w:w="120"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8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8,204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21,800</w:t>
            </w:r>
          </w:p>
        </w:tc>
        <w:tc>
          <w:tcPr>
            <w:tcW w:w="111"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16,814</w:t>
            </w:r>
          </w:p>
        </w:tc>
      </w:tr>
      <w:tr>
        <w:trPr/>
        <w:tc>
          <w:tcPr>
            <w:tcW w:w="489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Acquired in-process research and development</w:t>
            </w:r>
            <w:r>
              <w:rPr>
                <w:rFonts w:ascii="Times New Roman;Times;serif" w:hAnsi="Times New Roman;Times;serif"/>
                <w:sz w:val="15"/>
              </w:rPr>
              <w:t>4</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30,000</w:t>
            </w:r>
          </w:p>
        </w:tc>
        <w:tc>
          <w:tcPr>
            <w:tcW w:w="120"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882"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30,000</w:t>
            </w:r>
          </w:p>
        </w:tc>
        <w:tc>
          <w:tcPr>
            <w:tcW w:w="111"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pPr>
            <w:r>
              <w:rPr/>
              <w:t>—</w:t>
            </w:r>
          </w:p>
        </w:tc>
      </w:tr>
      <w:tr>
        <w:trPr/>
        <w:tc>
          <w:tcPr>
            <w:tcW w:w="48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8,619</w:t>
            </w:r>
          </w:p>
        </w:tc>
        <w:tc>
          <w:tcPr>
            <w:tcW w:w="120"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8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6,045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17,814</w:t>
            </w:r>
          </w:p>
        </w:tc>
        <w:tc>
          <w:tcPr>
            <w:tcW w:w="111"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11,431</w:t>
            </w:r>
          </w:p>
        </w:tc>
      </w:tr>
      <w:tr>
        <w:trPr/>
        <w:tc>
          <w:tcPr>
            <w:tcW w:w="489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Other segment items</w:t>
            </w:r>
            <w:r>
              <w:rPr>
                <w:rFonts w:ascii="Times New Roman;Times;serif" w:hAnsi="Times New Roman;Times;serif"/>
                <w:sz w:val="15"/>
              </w:rPr>
              <w:t>4</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3,797</w:t>
            </w:r>
          </w:p>
        </w:tc>
        <w:tc>
          <w:tcPr>
            <w:tcW w:w="12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8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(2,940)</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7,434</w:t>
            </w:r>
          </w:p>
        </w:tc>
        <w:tc>
          <w:tcPr>
            <w:tcW w:w="111"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(6,697)</w:t>
            </w:r>
          </w:p>
        </w:tc>
      </w:tr>
      <w:tr>
        <w:trPr/>
        <w:tc>
          <w:tcPr>
            <w:tcW w:w="48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Segment net loss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99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(111,456)</w:t>
            </w:r>
          </w:p>
        </w:tc>
        <w:tc>
          <w:tcPr>
            <w:tcW w:w="1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88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(52,223)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91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(192,443)</w:t>
            </w:r>
          </w:p>
        </w:tc>
        <w:tc>
          <w:tcPr>
            <w:tcW w:w="111"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8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(85,796)</w:t>
            </w:r>
          </w:p>
        </w:tc>
      </w:tr>
    </w:tbl>
    <w:p>
      <w:pPr>
        <w:pStyle w:val="TextBody"/>
        <w:bidi w:val="0"/>
        <w:spacing w:before="0" w:after="240"/>
        <w:ind w:left="0" w:right="0" w:hanging="0"/>
        <w:jc w:val="both"/>
        <w:rPr/>
      </w:pPr>
      <w:r>
        <w:rPr/>
        <w:t>​</w:t>
      </w:r>
    </w:p>
    <w:p>
      <w:pPr>
        <w:pStyle w:val="TextBody"/>
        <w:bidi w:val="0"/>
        <w:spacing w:lineRule="auto" w:line="240" w:before="0" w:after="200"/>
        <w:ind w:left="0" w:right="0" w:hanging="0"/>
        <w:jc w:val="both"/>
        <w:rPr>
          <w:rFonts w:ascii="Times New Roman;Times;serif" w:hAnsi="Times New Roman;Times;serif"/>
          <w:sz w:val="14"/>
        </w:rPr>
      </w:pPr>
      <w:r>
        <w:rPr>
          <w:rFonts w:ascii="Times New Roman;Times;serif" w:hAnsi="Times New Roman;Times;serif"/>
          <w:sz w:val="12"/>
        </w:rPr>
        <w:t xml:space="preserve">1 </w:t>
      </w:r>
      <w:r>
        <w:rPr>
          <w:rFonts w:ascii="Times New Roman;Times;serif" w:hAnsi="Times New Roman;Times;serif"/>
          <w:sz w:val="15"/>
        </w:rPr>
        <w:t>Direct research and development expenses primarily consist of direct costs incurred to specific program research and development activities, including costs to conduct clinical trials and to manufacture clinical drug supply.</w:t>
      </w:r>
    </w:p>
    <w:p>
      <w:pPr>
        <w:pStyle w:val="TextBody"/>
        <w:bidi w:val="0"/>
        <w:spacing w:lineRule="auto" w:line="240" w:before="0" w:after="200"/>
        <w:ind w:left="0" w:right="0" w:hanging="0"/>
        <w:jc w:val="both"/>
        <w:rPr>
          <w:rFonts w:ascii="Times New Roman;Times;serif" w:hAnsi="Times New Roman;Times;serif"/>
          <w:sz w:val="14"/>
        </w:rPr>
      </w:pPr>
      <w:r>
        <w:rPr>
          <w:rFonts w:ascii="Times New Roman;Times;serif" w:hAnsi="Times New Roman;Times;serif"/>
          <w:sz w:val="12"/>
        </w:rPr>
        <w:t>2</w:t>
      </w:r>
      <w:r>
        <w:rPr>
          <w:rFonts w:ascii="Times New Roman;Times;serif" w:hAnsi="Times New Roman;Times;serif"/>
          <w:sz w:val="14"/>
        </w:rPr>
        <w:t xml:space="preserve"> </w:t>
      </w:r>
      <w:r>
        <w:rPr>
          <w:rFonts w:ascii="Times New Roman;Times;serif" w:hAnsi="Times New Roman;Times;serif"/>
          <w:sz w:val="15"/>
        </w:rPr>
        <w:t xml:space="preserve">Unallocated research and development expenses primarily consist of indirect costs incurred in support of overall research and development activities and non-specific programs, including activities that benefit multiple programs, such as personnel costs for employees involved in research and development activities, excluding stock-based compensation, as well as contract services not allocated to specific programs. </w:t>
      </w:r>
    </w:p>
    <w:p>
      <w:pPr>
        <w:pStyle w:val="TextBody"/>
        <w:bidi w:val="0"/>
        <w:spacing w:lineRule="auto" w:line="240" w:before="0" w:after="200"/>
        <w:ind w:left="0" w:right="0" w:hanging="0"/>
        <w:jc w:val="both"/>
        <w:rPr>
          <w:rFonts w:ascii="Times New Roman;Times;serif" w:hAnsi="Times New Roman;Times;serif"/>
          <w:sz w:val="14"/>
        </w:rPr>
      </w:pPr>
      <w:r>
        <w:rPr>
          <w:rFonts w:ascii="Times New Roman;Times;serif" w:hAnsi="Times New Roman;Times;serif"/>
          <w:sz w:val="12"/>
        </w:rPr>
        <w:t xml:space="preserve">3 </w:t>
      </w:r>
      <w:r>
        <w:rPr>
          <w:rFonts w:ascii="Times New Roman;Times;serif" w:hAnsi="Times New Roman;Times;serif"/>
          <w:sz w:val="15"/>
        </w:rPr>
        <w:t>General and administrative expenses primarily consist of professional fees, depreciation expense, facilities expenses as well as all other personnel costs, excluding stock-based compensation.</w:t>
      </w:r>
    </w:p>
    <w:p>
      <w:pPr>
        <w:pStyle w:val="TextBody"/>
        <w:bidi w:val="0"/>
        <w:spacing w:lineRule="auto" w:line="240" w:before="0" w:after="200"/>
        <w:ind w:left="0" w:right="0" w:hanging="0"/>
        <w:jc w:val="both"/>
        <w:rPr>
          <w:rFonts w:ascii="Times New Roman;Times;serif" w:hAnsi="Times New Roman;Times;serif"/>
          <w:sz w:val="14"/>
        </w:rPr>
      </w:pPr>
      <w:r>
        <w:rPr>
          <w:rFonts w:ascii="Times New Roman;Times;serif" w:hAnsi="Times New Roman;Times;serif"/>
          <w:sz w:val="12"/>
        </w:rPr>
        <w:t xml:space="preserve">4 </w:t>
      </w:r>
      <w:r>
        <w:rPr>
          <w:rFonts w:ascii="Times New Roman;Times;serif" w:hAnsi="Times New Roman;Times;serif"/>
          <w:sz w:val="15"/>
        </w:rPr>
        <w:t xml:space="preserve">Acquired -in- process research and development expenses consist of milestones achieved pursuant to the Xencor and InnoCare license agreements, for additional details see </w:t>
      </w:r>
      <w:r>
        <w:rPr>
          <w:rFonts w:ascii="Times New Roman;Times;serif" w:hAnsi="Times New Roman;Times;serif"/>
          <w:i/>
          <w:sz w:val="15"/>
        </w:rPr>
        <w:t xml:space="preserve">Note 8, License Agreements </w:t>
      </w:r>
      <w:r>
        <w:rPr>
          <w:rFonts w:ascii="Times New Roman;Times;serif" w:hAnsi="Times New Roman;Times;serif"/>
          <w:sz w:val="15"/>
        </w:rPr>
        <w:t xml:space="preserve">to these condensed consolidated financial statements. </w:t>
      </w:r>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12"/>
        </w:rPr>
        <w:t>5</w:t>
      </w:r>
      <w:r>
        <w:rPr>
          <w:rFonts w:ascii="Times New Roman;Times;serif" w:hAnsi="Times New Roman;Times;serif"/>
          <w:sz w:val="20"/>
        </w:rPr>
        <w:t xml:space="preserve"> </w:t>
      </w:r>
      <w:r>
        <w:rPr>
          <w:rFonts w:ascii="Times New Roman;Times;serif" w:hAnsi="Times New Roman;Times;serif"/>
          <w:sz w:val="15"/>
        </w:rPr>
        <w:t>Other segment items consist of other (income) expense, net, and income tax (benefit) provision. Other (income) expense, net consists of interest income, interest expense related to the royalty obligation, the senior secured term loan and convertible senior note as well as realized and unrealized gains and losses on foreign currency transactions.</w:t>
      </w:r>
      <w:r>
        <w:rPr>
          <w:rFonts w:ascii="Times New Roman;Times;serif" w:hAnsi="Times New Roman;Times;serif"/>
          <w:sz w:val="20"/>
        </w:rPr>
        <w:t xml:space="preserve">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16.</w:t>
      </w:r>
      <w:r>
        <w:rPr>
          <w:rFonts w:ascii="Times New Roman;Times;serif" w:hAnsi="Times New Roman;Times;serif"/>
          <w:sz w:val="20"/>
        </w:rPr>
        <w:t xml:space="preserve">Subsequent Events </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ATM Program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July 2026, the Company completed the sale of 1,818,181 shares of common stock under the 2025 ATM Program, with an average gross sales price of $27.50 per share, resulting in proceeds of $48.7 million, net of commissions. As of the issuance date of these financial statements, $46.8 million remained available under the 2025 ATM Program. </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Achievement of specified regulatory milestone pursuant to the BMS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2026, BMS announced the achievement of a specified regulatory milestone under the BMS Agreement, which requires BMS to make a milestone payment of $10.0 million to the Company. Due to the achievement of the specified regulatory milestone by BMS, the Company is obligated to make a milestone payment of $2.5 million to Xencor pursuant to the 2021 Xencor Agreement.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Amendment to 2026 Inducement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2026, the 2026 Inducement Plan was amended to increase the number of equity awards available for grant by 600,000.</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Achievement of Near-term Milestone pursuant to the InnoCare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2026, the Company achieved the Near-term Milestone and is obligated to make a milestone payment of $25.0 million and issue 2,000,000 shares of common stock to InnoCare.</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066" w:name="Item2ManagementsDiscussion_843044"/>
      <w:bookmarkStart w:id="1067" w:name="_820546e2_aef3_4cc8_9505_8c85d452e33c"/>
      <w:bookmarkEnd w:id="1066"/>
      <w:bookmarkEnd w:id="1067"/>
      <w:r>
        <w:rPr>
          <w:rFonts w:ascii="Times New Roman;Times;serif" w:hAnsi="Times New Roman;Times;serif"/>
          <w:b/>
          <w:sz w:val="20"/>
        </w:rPr>
        <w:t>Item 2. Management’s Discussion and Analysis of Financial Condition and Results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FINANCIAL CONDITION AND RESULTS OF OPERATIONS</w:t>
      </w:r>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The following information should be read in conjunction with the unaudited financial information and the notes thereto included in this Quarterly Report and the audited financial information and the notes thereto included in our Annual Report on Form 10-K that was filed with the Securities and Exchange Commission, or SEC, on March 16, 2026. This discussion and analysis contain forward-looking statements based upon current beliefs, plans, and expectations related to future events and our future performance that involve risks, uncertainties, and assumptions, such as statements regarding our intentions, plans, objectives, and expectations for our business. Our actual results and the timing of events could differ materially from those discussed in these forward-looking statements as a result of several factors, including those set forth in the section titled “Risk Factors” in this Quarterly Report on Form 10-Q and in our Annual Report on Form 10-K for the fiscal year ended December 31, 2025. See also the section titled “Special Note Regarding Forward-Looking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a clinical-stage global biopharmaceutical company committed to being a leader in the development and commercialization of transformative immunology-based therapies for patients in need. With the evolving understanding of the pathogenesis of autoimmune diseases, along with the expansion of promising immunology-based pharmacologic targets, we are building an immunology and inflammation (“I&amp;I”) focused biopharmaceutical company. Our core business strategy combines disciplined product candidate acquisition with strategic deployment of internal expertise and effective use of external resources. We leverage our experienced executive management team and our established networks throughout the biopharmaceutical industry to identify, acquire and develop product candidates that we believe can provide superior clinical benefits to patients living with autoimmune diseases.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lead I&amp;I product candidate, obexelimab, is a bifunctional monoclonal antibody designed to bind both CD19 and FcγRIIb, which are broadly present across B cell lineage, in order to inhibit the activity of cells that are implicated in many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autoimmune diseases without depleting them. Based on existing clinical data generated to date, we believe that targeting B cell lineage via CD19 and FcγRIIb can inhibit B cells and has been shown to be well-tolerated.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developing obexelimab as a potential I&amp;I franchise for patients in several autoimmune diseases, representing substantial commercial opportunities individually and in the aggregate. We are conducting clinical trials in IgG4-RD through a registration-directed Phase 3 trial which reported topline data in January 2026, relapsing multiple sclerosis (“RMS”) through an ongoing Phase 2, double-blind, randomized, placebo-controlled trial which reported topline data in October 2025 and systemic lupus erythematosus (“SLE”) through an ongoing Phase 2, double-blind, randomized, placebo-controlled trial, for which we expect  to report topline results, including biomarker data, in the fourth quarter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January 2026, we reported positive results from the Phase 3 trial of obexelimab in patients with IgG4-RD. Obexelimab met the primary endpoint, demonstrating a highly statistically significant and clinically meaningful 56% reduction in the risk of IgG4-RD flare compared to placebo (Hazard Ratio 0.44, p=0.0005) and also met and demonstrated highly statistically significant activity compared to placebo on all four key secondary endpoints. Obexelimab was well tolerated with a safety profile consistent with that observed in previously completed clinical trials. Based on these results, we submitted the obexelimab Biologics License Application (“BLA”) to the FDA for the treatment of IgG4-RD in May 2026. In August, the FDA accepted the Company’s BLA and assigned a Prescription Drug User Fee Act (“PDUFA”) target date of May 27, 2027. We intend to submit a Marketing Authorization Application to the European Medicines Agency in the second half of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2026, we announced that bioequivalence was established between obexelimab delivered via prefilled syringe and single-dose prefilled pen. The single-dose prefilled pen has the potential to offer a more convenient delivery option for patients. We intend to submit a supplemental application to obexelimab’s IgG4-RD BLA, if approved, and to include the bioequivalence data to a European MAA submission in the second half of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April 2026, we completed enrollment in the SunStone trial and expect to report topline results, including biomarker data, in the fourth quarter of 2026. Based on the outcome of the SunStone trial, and considering other factors, we may initiate a Phase 3 program in patients with SLE in the first half of 2027.</w:t>
      </w:r>
    </w:p>
    <w:p>
      <w:pPr>
        <w:pStyle w:val="TextBody"/>
        <w:bidi w:val="0"/>
        <w:spacing w:before="280" w:after="0"/>
        <w:ind w:left="0" w:right="0" w:hanging="0"/>
        <w:jc w:val="both"/>
        <w:rPr>
          <w:rFonts w:ascii="Times New Roman;Times;serif" w:hAnsi="Times New Roman;Times;serif"/>
          <w:sz w:val="20"/>
        </w:rPr>
      </w:pPr>
      <w:r>
        <w:rPr>
          <w:rFonts w:ascii="Times New Roman;Times;serif" w:hAnsi="Times New Roman;Times;serif"/>
          <w:sz w:val="20"/>
        </w:rPr>
        <w:t xml:space="preserve">In October 2025, we announced topline data from the MoonStone trial. Obexelimab met the primary endpoint, demonstrating a statistically significant 95% relative reduction in the cumulative number of new gadolinium-enhancing T1 hyperintense lesions, which are markers of active inflammation, over week 8 and week 12 compared with placebo (p=0.0009). In February 2026, we reported the 24-week data from the MoonStone trial which confirmed the reductions in new gadolinium enhancing (“GdE”) T1 hyperintense lesions observed with obexelimab over weeks 8 and 12 were maintained through week 24; unadjusted mean of new lesions per scan were 0.87 at baseline, 0.08 at week 12 and 0.04 at week 24 for obexelimab indicating a 95% reduction. The 24-week data from additional secondary and exploratory endpoints may inform obexelimab’s potential impact on disability progression and help the Company determine next steps for future development of obexelimab in RMS.  As we continue to evaluate the MoonStone data and consider next steps for clinical development in this indication, we will consider, among other items, the evolving treatment landscape in RMS, including existing therapies, current pivotal trial endpoints and prioritization of capital. </w:t>
      </w:r>
    </w:p>
    <w:p>
      <w:pPr>
        <w:pStyle w:val="TextBody"/>
        <w:bidi w:val="0"/>
        <w:spacing w:before="280" w:after="240"/>
        <w:ind w:left="0" w:right="0" w:hanging="0"/>
        <w:jc w:val="both"/>
        <w:rPr>
          <w:rFonts w:ascii="Times New Roman;Times;serif" w:hAnsi="Times New Roman;Times;serif"/>
          <w:sz w:val="20"/>
        </w:rPr>
      </w:pPr>
      <w:r>
        <w:rPr>
          <w:rFonts w:ascii="Times New Roman;Times;serif" w:hAnsi="Times New Roman;Times;serif"/>
          <w:sz w:val="20"/>
        </w:rPr>
        <w:t>In October 2025, we entered into a License Agreement (the “InnoCare License Agreement”) with InnoCare Pharma Inc. (“InnoCare”). pursuant to which we were granted exclusive rights to develop, manufacture, and commercialize orelabrutinib, a Bruton’s Tyrosine Kinase inhibitor (“BTK”), for multiple sclerosis (“MS”) worldwide, and in all non-oncology indications worldwide excluding mainland China, Hong Kong, Macau and Taiwan (“greater China”), and Brunei, Burma, Cambodia, Timor-Leste, Indonesia, Laos, Malaysia, Philippines, Singapore, Thailand and Vietnam (“Southeast Asia”), as well as two early-development product candidates: ZB021, an IL-17AA/AF inhibitor, in all fields of use worldwide excluding greater China and Southeast Asia, and ZB022, a TYK2 inhibitor, in all fields of use worldwide.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Orelabrutinib is a highly selective and central nervous system (“CNS”) penetrant, oral small molecule BTK inhibitor. Orelabrutinib is designed to bind irreversibly to BTK with minimal off-target effects, which may potentially reduce certain side effects. We believe orelabrutinib is designed to efficiently cross the blood-brain barrier, reaching therapeutic levels within the CNS to directly target inflammation in diseases like MS.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September 2025, the Phase 3 PriMroSe trial of orelabrutinib in patients with primary progressive multiple sclerosis (“PPMS”) was initiated. The PriMroSe trial is a global, multicenter, randomized, double-blind, placebo-controlled clinical trial evaluating the safety and efficacy of orelabrutinib dosed 80 mg once daily (“QD”) compared to placebo in patients with PPMS, with a primary endpoint of time to onset of 12-week composite confirmed disability progression. In March of 2026, we initiated a second global, Phase 3, multicenter, randomized, double-blind, placebo-controlled clinical trial evaluating orelabrutinib dosed 80 mg QD compared to placebo in patients with non-active secondary progressive multiple sclerosis (“naSPMS”), with a primary endpoint of time to onset of 24-week CDP.</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ZB021 is an oral IL-17AA/AF inhibitor designed to block both IL-17AA homodimer and IL-17AF heterodimer signaling. Preclinical studies for ZB021 have shown favorable PK and ADME properties. ZB021 achieved comparable activity in vivo to a reference anti-IL-17 biologic in a rat CIA model. We, along with our partner, InnoCare, initiated a Phase 1 clinical study in the second quarter of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ZB022 is an oral, brain-penetrant TYK2-JH2 inhibitor, currently in IND-enabling studies. Subject to the results of Investigational New Drug (“IND”) enabling studies, we expect to initiate a Phase 1 clinical study in 2027.</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also advancing ZB014, a half-life extended anti-CD-19 and FcγRIIb monoclonal antibody, currently in IND-enabling studies. Subject to the results of IND-enabling studies, we expect to initiate a Phase 1 clinical study in 2027.</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we have two other programs for the potential treatment of other I&amp;I indications that we may continue to advance and ultimately commercialize with partners. These consist of ZB002 and ZB004. We retain global rights for both assets. In addition, we hold the development and commercialization rights to one regional program, ZB001, and related programs, which were exclusively sublicensed to a partner in China, as discussed below.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September 2024, we completed our initial public offering (“IPO”) in which we issued and sold an aggregate of 15,220,588 shares of our common stock, including 1,985,294 shares of common stock sold pursuant to the full exercise of the underwriter’s option to purchase additional shares, at a public offering price of $17.00 per share, for aggregate gross proceeds of $258.7 million. We received $234.3 million in net proceeds after deducting underwriting discounts, commissions and other offering costs.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October 2024, we entered into the Novation Agreement with Tenacia Biotechnology (Hong Kong) Limited (“Tenacia”), under which we transferred our rights and obligations under our agreements with Dianthus to Tenacia for ZB005. As partial consideration for the Tenacia Agreement, we received a non-creditable, non-refundable upfront fee of $5.0 million from Tenacia. In June 2026, we recorded collaboration and license revenue of $1.0 million upon successful achievement of a development milestone. In addition, we are eligible to receive up to an additional $85.0 million upon the achievement of certain future regulatory and commercial milestones.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January 2025, we entered into the Zai License Agreement, with Zai Lab (Hong Kong) Limited (“Zai”), under which we granted to Zai an exclusive sublicense to develop and commercialize ZB001 and related programs in greater China. As partial consideration for the Zai License Agreement, we received an upfront fee of $10.0 million from Zai. In addition, we are eligible to receive up to $96.0 million upon the achievement of certain future development and commercial milestones and royalty percentage rates from the low to mid-single digits, net of pass-through obligations due to Viridian.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September 2025, we entered into the Revenue Participation Right and Sales Agreement (the “Royalty Purchase Agreement”), with Royalty Pharma Investments 2019 ICAV (“Royalty Pharma”), pursuant to which Royalty Pharma purchased the right to receive, for each calendar quarter, (i) 5.5% of net sales of obexelimab products sold by us and our affiliates worldwide, (ii) 5.5% of net sales of obexelimab products sold by licensees of us and our affiliates in the U.S., the United Kingdom and the European Union, (iii) 25% of royalty income payable to us or any of our affiliates on sales of obexelimab products in countries other than the U.S., the United Kingdom, and in the European Union by its licensees pursuant to out-licenses less royalty payments payable by us to Xencor Inc. and (iv) 25% of non-royalty income attributable to obexelimab products payable to us or any of our affiliates by its licensees (other than certain milestone payments payable by Bristol-Myers Squibb) pursuant to out-licenses and allocated to countries other than the U.S., the United Kingdom and in the European Union.</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October 2025, we entered into a License Agreement (the “InnoCare License Agreement”) with InnoCare Pharma Inc. (“InnoCare”), under which InnoCare granted to us the exclusive rights to develop, manufacture, and commercialize: i) orelabrutinib, in the MS field worldwide, and in all non-oncology indications outside greater China and Southeast Asia, ii) ZB021 in all fields of use worldwide, excluding greater China and Southeast Asia and iii) ZB022 in all fields of use worldwide. We also obtained certain non-exclusive rights to perform development and manufacturing activities in greater China and Southeast Asia. As consideration for the InnoCare License Agreement, we made a non-refundable upfront payment of $35.0 million. We also issued 5,000,000 shares of common stock to InnoCare in a private placement, and we may be required to issue an additional 2,000,000 shares of common stock in a private placement, upon the achievement of a specified development milestone related to a Phase 3 clinical trial for orelabrutinib in any indication other than PPMS. We are further obligated to pay future regulatory and commercial milestones of up to $723.0 million related to orelabrutinib and future development, regulatory, and commercial milestones of  up to $636.0 million for ZB021, and $656.0 million for ZB022. In addition, we may be obligated to pay royalties on net sales at rates ranging from high-single digits to high-teens for orelabrutinib, and mid-single digits to mid-teens for the preclinical compounds. </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Since inception, our operations have focused on research and development activities with respect to our product candidates as described above, as well as raising capital, business planning, organizing and staffing our company, establishing our intellectual property portfolio, establishing arrangements with third parties for the manufacture of our product candidates and related raw materials, and providing general and administrative support for these operations. We have financed our operations to date primarily with the proceeds from the issuance of convertible preferred stock, convertible senior notes, from the sale of common stock in our IPO completed in September 2024, private and public equity offerings, as well as from payments received under our license, collaboration and royalty purchase agreements and the senior secured term loan with Pharmakon Advisors, LP (“Pharmakon”). In October 2025, we closed our private investment in public equity (“PIPE”) of 6,311,030 shares of common stock for net proceeds of approximately $111.8 million, after deducting agent fees and other offering costs. Additionally, in October 2025, we entered into a sales agreement with Jefferies LLC (“Jefferies”) under which we may, from time to time, issue and sell shares of our common stock having aggregate sales proceeds of up to $200.0 million, in a series of one or more at-the-market (“ATM”) equity offerings (“2025 ATM Program”).  During the six months ended June 30, 2026, we sold 2,827,723 shares of common stock under the 2025 ATM Program, with proceeds of $71.5 million, net of commissions. As of June 30, 2026, $96.8 million remained available under the 2025 ATM Program. Further in March 2026, we entered into the Loan Agreement with </w:t>
      </w:r>
      <w:r>
        <w:rPr>
          <w:rFonts w:ascii="Times New Roman;Times;serif" w:hAnsi="Times New Roman;Times;serif"/>
          <w:spacing w:val="4"/>
          <w:sz w:val="20"/>
        </w:rPr>
        <w:t>the Collateral Agent, BPCR Limited Partnership and BioPharma Credit Investments V (Master) LP,</w:t>
      </w:r>
      <w:r>
        <w:rPr>
          <w:rFonts w:ascii="Times New Roman;Times;serif" w:hAnsi="Times New Roman;Times;serif"/>
          <w:sz w:val="20"/>
        </w:rPr>
        <w:t xml:space="preserve"> </w:t>
      </w:r>
      <w:r>
        <w:rPr>
          <w:rFonts w:ascii="Times New Roman;Times;serif" w:hAnsi="Times New Roman;Times;serif"/>
          <w:spacing w:val="4"/>
          <w:sz w:val="20"/>
        </w:rPr>
        <w:t xml:space="preserve">which are funds managed by </w:t>
      </w:r>
      <w:r>
        <w:rPr>
          <w:rFonts w:ascii="Times New Roman;Times;serif" w:hAnsi="Times New Roman;Times;serif"/>
          <w:sz w:val="20"/>
        </w:rPr>
        <w:t>Pharmakon, providing for up to a $250.0 million term loan facility consisting of several tranches of loans that will become available upon the achievement of certain milestones.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incurred significant operating losses and negative cash flows since inception. Our ability to generate product revenue sufficient to achieve profitability will depend heavily on the successful development and eventual commercialization of one or more of our product candidates. Our net losses for the three and six months ended June 30, 2026 were $111.5 million and $192.4 million, respectively, and we recorded net loss of $52.2 million and $85.8 million, for the three and six months ended June 30, 2025. As of June 30, 2026, we had an accumulated deficit of $957.6 million. We expect to continue to incur significant and increasing losses for the foreseeable future. We expect that our expenses and capital requirements will increase substantially in connection with our ongoing activities, particularly if and as we:</w:t>
      </w:r>
    </w:p>
    <w:tbl>
      <w:tblPr>
        <w:tblW w:w="7371" w:type="dxa"/>
        <w:jc w:val="left"/>
        <w:tblInd w:w="0" w:type="dxa"/>
        <w:tblLayout w:type="fixed"/>
        <w:tblCellMar>
          <w:top w:w="28" w:type="dxa"/>
          <w:left w:w="28" w:type="dxa"/>
          <w:bottom w:w="28" w:type="dxa"/>
          <w:right w:w="28" w:type="dxa"/>
        </w:tblCellMar>
      </w:tblPr>
      <w:tblGrid>
        <w:gridCol w:w="124"/>
        <w:gridCol w:w="256"/>
        <w:gridCol w:w="69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clinical development of obexelimab, orelabrutinib and our other programs;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 our obexelimab and orelabrutinib programs and our other product candidates through preclinical development and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additional product candidates and acquire rights from third parties to those product candidates through licenses or acquisitions and conduct development activities, including preclinical studies and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royalty, milestone or other payments under current, and any future, license, synthetic royalty or collaboration agreements;</w:t>
            </w:r>
          </w:p>
        </w:tc>
      </w:tr>
    </w:tbl>
    <w:tbl>
      <w:tblPr>
        <w:tblW w:w="8196" w:type="dxa"/>
        <w:jc w:val="left"/>
        <w:tblInd w:w="0" w:type="dxa"/>
        <w:tblLayout w:type="fixed"/>
        <w:tblCellMar>
          <w:top w:w="28" w:type="dxa"/>
          <w:left w:w="28" w:type="dxa"/>
          <w:bottom w:w="28" w:type="dxa"/>
          <w:right w:w="28" w:type="dxa"/>
        </w:tblCellMar>
      </w:tblPr>
      <w:tblGrid>
        <w:gridCol w:w="124"/>
        <w:gridCol w:w="256"/>
        <w:gridCol w:w="78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make payments under current, and any future, secured term loans and convertible senior notes.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procure the manufacturing of preclinical, clinical and commercial supply of our current or any future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 marketing regulatory approvals for our current or any future product candidates that successfully complete clinical trials;</w:t>
            </w:r>
          </w:p>
        </w:tc>
      </w:tr>
    </w:tbl>
    <w:tbl>
      <w:tblPr>
        <w:tblW w:w="6396" w:type="dxa"/>
        <w:jc w:val="left"/>
        <w:tblInd w:w="0" w:type="dxa"/>
        <w:tblLayout w:type="fixed"/>
        <w:tblCellMar>
          <w:top w:w="28" w:type="dxa"/>
          <w:left w:w="28" w:type="dxa"/>
          <w:bottom w:w="28" w:type="dxa"/>
          <w:right w:w="28" w:type="dxa"/>
        </w:tblCellMar>
      </w:tblPr>
      <w:tblGrid>
        <w:gridCol w:w="124"/>
        <w:gridCol w:w="256"/>
        <w:gridCol w:w="6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commercialize our current or any future product candidates, if approved;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take steps toward our goal of being an integrated biopharma company capable of supporting commercial activities, including establishing sales, marketing and distribution infrastructure;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to develop, maintain and defend our intellectual property portfolio, including against third-party interference, infringement and other intellectual property claims, if any;</w:t>
            </w:r>
          </w:p>
        </w:tc>
      </w:tr>
    </w:tbl>
    <w:tbl>
      <w:tblPr>
        <w:tblW w:w="8466" w:type="dxa"/>
        <w:jc w:val="left"/>
        <w:tblInd w:w="0" w:type="dxa"/>
        <w:tblLayout w:type="fixed"/>
        <w:tblCellMar>
          <w:top w:w="28" w:type="dxa"/>
          <w:left w:w="28" w:type="dxa"/>
          <w:bottom w:w="28" w:type="dxa"/>
          <w:right w:w="28" w:type="dxa"/>
        </w:tblCellMar>
      </w:tblPr>
      <w:tblGrid>
        <w:gridCol w:w="124"/>
        <w:gridCol w:w="256"/>
        <w:gridCol w:w="80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 to attract, hire and retain qualified clinical, scientific, operations and management personnel;</w:t>
            </w:r>
          </w:p>
        </w:tc>
      </w:tr>
    </w:tbl>
    <w:tbl>
      <w:tblPr>
        <w:tblW w:w="6891" w:type="dxa"/>
        <w:jc w:val="left"/>
        <w:tblInd w:w="0" w:type="dxa"/>
        <w:tblLayout w:type="fixed"/>
        <w:tblCellMar>
          <w:top w:w="28" w:type="dxa"/>
          <w:left w:w="28" w:type="dxa"/>
          <w:bottom w:w="28" w:type="dxa"/>
          <w:right w:w="28" w:type="dxa"/>
        </w:tblCellMar>
      </w:tblPr>
      <w:tblGrid>
        <w:gridCol w:w="124"/>
        <w:gridCol w:w="256"/>
        <w:gridCol w:w="65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and maintain operational, financial and information management systems;</w:t>
            </w:r>
          </w:p>
        </w:tc>
      </w:tr>
    </w:tbl>
    <w:tbl>
      <w:tblPr>
        <w:tblW w:w="6231" w:type="dxa"/>
        <w:jc w:val="left"/>
        <w:tblInd w:w="0" w:type="dxa"/>
        <w:tblLayout w:type="fixed"/>
        <w:tblCellMar>
          <w:top w:w="28" w:type="dxa"/>
          <w:left w:w="28" w:type="dxa"/>
          <w:bottom w:w="28" w:type="dxa"/>
          <w:right w:w="28" w:type="dxa"/>
        </w:tblCellMar>
      </w:tblPr>
      <w:tblGrid>
        <w:gridCol w:w="124"/>
        <w:gridCol w:w="256"/>
        <w:gridCol w:w="58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attempt to address any competing therapies and market developments;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experience delays in our preclinical studies, clinical trials or regulatory approval for our current or any future product candidates, including with respect to failed studies, inconclusive results, safety issues or other regulatory challenges;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 agreements with contract research organizations (“CROs”) and contract manufacturing organizations (“CMOs”);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incur additional costs associated with being a public company, including audit, legal, regulatory, and tax-related services associated with maintaining compliance with an exchange listing and SEC requirements, director and officer insurance premiums and investor relations costs.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will not generate revenue from product sales unless and until we successfully complete clinical development and obtain regulatory approval for a product candidate, and we cannot assure investors that we will ever generate significant revenue or profits. In addition, if we obtain regulatory approval for a product candidate and do not enter into a third-party commercialization partnership, we expect to incur significant expenses related to developing our commercialization capability to support product sales, marketing, manufacturing and distribution activities. We expect to continue to incur significant losses for the foreseeable future as we continue to advance the development of our product candidates and incur additional costs associated with being a public company. Our net losses may fluctuate significantly from period to period, depending on the timing of our planned clinical studies and expenditures related to our research and development activities. Cash used to fund operating expenses is impacted by the timing of when we pay these expenses, as reflected in the change in our accounts payable and accrued research and development and other current liabilities.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will need to continue to raise substantial additional capital to support our continuing operations and pursue our growth strategy as a public company. Until such time as we can generate significant revenue from product sales, if ever, we expect to finance our operations through a combination of public or private equity financings, debt financings or other capital sources, which could include collaborations with other companies, or other strategic transactions and licensing agreements. We may be unable to obtain financing on acceptable terms, or at all, and we may be unable to enter into collaborations or other arrangements. Our failure to raise capital or enter into such agreements as, and when, needed, could have a material adverse effect on our business, prospects, results of operations, and financial condition, including requiring us to have to delay, reduce or eliminate product development or future commercialization efforts, or grant rights to develop and market potential future product candidates that we would otherwise prefer to develop and market ourselves.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there are numerous risks and uncertainties associated with development of I&amp;I therapeutics, we are unable to predict the timing or amount of increased expenses, or when or if we will be able to achieve or maintain profitability. Even if we are able to generate product sales, we may not become profitable. We will need to generate significant revenue to achieve profitability, and we may never do so. If we fail to become profitable or are unable to sustain profitability on a continuing basis, then we may be unable to continue our operations at planned levels and be forced to reduce or terminate our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2026, we had $673.9 million in cash, cash equivalents and investments. We expect that our existing cash, cash equivalents and investments will be sufficient to fund our capital and operating expenditures for at least twelve months from the date of the issuance of these unaudited condensed consolidated financial statements. We estimate that our existing cash, cash equivalents and investments will be sufficient to fund our projected operations and capital expenditure requirements into 2029. Assuming receipt of the potential $75 million milestone payment from Royalty Pharma combined with the potential $75 million from the senior secured term loan with Pharmakon associated with achieving FDA marketing approval of obexelimab for IgG4-RD, we expect our cash, cash equivalents and investments will fund our operating expenses and capital expenditure requirements at least through the second quarter of 2029. We have based this estimate on our current assumptions, which may prove to be wrong, and we may exhaust our available capital resources sooner than we expect. See section titled “Liquidity and Capital Resources.”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Significant Risks and Uncertainties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current geopolitical, trade, regulatory and economic environment, including, but not limited to imposition of new tariffs or increases in tariff rates and other trade measures, may materially affect our business and operating results by increasing the costs of our clinical trial materials and supplies, which in turn increase our overhead costs. Additionally, the ongoing recession risk together with the foregoing, could result in further economic uncertainty and volatility in the capital markets in the near term and, as a result could negatively affect our operations. Furthermore, such economic conditions have produced downward pressure on share prices. Such economic conditions could increase our operating costs, including our labor costs and research and development costs. For example, we import drug products and other components from and into China for use in the manufacturing process and in our clinical studies, and such components and products are subject to tariffs, which we anticipate will result in increased costs. Our operating and labor costs and research and development costs may also be negatively impacted due to supply chain constraints, global geopolitical tensions, worsening macroeconomic conditions and employee availability and wage increases, which may result in additional stress on our working capital.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Additionally, we are subject to other challenges and risks specific to our business and our ability to execute on our strategy, as well as risks and uncertainties common to companies in the clinical stage biopharmaceutical industry.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Components of Our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date, we have no product candidates approved for commercial sale in any country, and we have not generated any revenues from the sale of products. Our revenue has been derived from collaboration arrangements and license fees.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License and Collaboration Revenue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License and collaboration revenue may be generated from milestones achieved under our BMS Agreement, our Tenacia Agreement and our Zai License Agreement.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Pursuant to the BMS Agreement, we sublicensed the rights to develop and commercialize obexelimab in Japan, South Korea, Taiwan, Singapore, Hong Kong and Australia (the “BMS Territory”). We retain exclusive rights to commercialize the licensed products containing obexelimab outside of the BMS Territory. The revenue recognized to date pursuant to this arrangement relates to the license of obexelimab and the related technology transfer, which was recognized upon delivery of the license. This arrangement includes the participation by BMS in certain joint global studies of obexelimab in accordance with the terms of the BMS Agreement, in which BMS will reimburse us for its share of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related study costs. Such reimbursements will be classified as a reduction to research and development expense in the period such costs are incurred. We will recognize development and regulatory milestones defined in the BMS Agreement when the achievement of the underlying milestone events is deemed probable, which is expected to be upon achievement. Sales milestones and royalties on future sales will be recognized in the period the related sales occur.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Pursuant to the Tenacia Agreement, we transferred our rights, title, interest, liabilities, duties and obligations under the Option and License Agreements with Dianthus to Tenacia for ZB005. The revenue recognized to date pursuant to this arrangement relates to the novation of the ZB005 license, asset transfer and technology transfer, which was recognized upon delivery of the license, related assets and technology transfer as well as revenue related to a certain development milestone which was recognized upon achievement of such milestone. We will recognize additional development and regulatory milestones as defined in the Tenacia Agreement when the achievement of the underlying milestone events is deemed probable, which is expected to be upon achievement. Sales milestones and royalties on future sales will be recognized in the period the related sales occur.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Pursuant to the Zai License Agreement, we granted Zai an exclusive sublicense to develop and commercialize ZB001 and related programs in greater China. As partial consideration for the Zai License Agreement, we received an upfront fee of $10.0 million from Zai. In addition, we are eligible to receive up to $96.0 million upon the achievement of certain development and commercial milestones and royalty percentage rates from the low to mid-single digits, net of pass-through obligations due to Viridian.</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For a more detailed description of these agreements, see </w:t>
      </w:r>
      <w:r>
        <w:rPr>
          <w:rFonts w:ascii="Times New Roman;Times;serif" w:hAnsi="Times New Roman;Times;serif"/>
          <w:i/>
          <w:sz w:val="20"/>
        </w:rPr>
        <w:t xml:space="preserve">Note 7, License and Collaboration Revenue, </w:t>
      </w:r>
      <w:r>
        <w:rPr>
          <w:rFonts w:ascii="Times New Roman;Times;serif" w:hAnsi="Times New Roman;Times;serif"/>
          <w:sz w:val="20"/>
        </w:rPr>
        <w:t xml:space="preserve">to our unaudited condensed consolidated financial statements in this Quarterly Report.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operating expenses consist of (i) research and development expenses, (ii) general and administrative expenses and (iii) acquired in-process research and development expenses.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Research and Development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Research and development expenses account for a significant portion of our operating expenses and consist primarily of external and internal costs incurred in connection with the preclinical and clinical development of our product candidates, and include:</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Direct Costs: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external research and development expenses incurred under agreements with CROs and consultants that conduct our clinical studies and other scientific development services;</w:t>
            </w:r>
          </w:p>
        </w:tc>
      </w:tr>
    </w:tbl>
    <w:tbl>
      <w:tblPr>
        <w:tblW w:w="9936" w:type="dxa"/>
        <w:jc w:val="left"/>
        <w:tblInd w:w="0" w:type="dxa"/>
        <w:tblLayout w:type="fixed"/>
        <w:tblCellMar>
          <w:top w:w="28" w:type="dxa"/>
          <w:left w:w="28" w:type="dxa"/>
          <w:bottom w:w="28" w:type="dxa"/>
          <w:right w:w="28" w:type="dxa"/>
        </w:tblCellMar>
      </w:tblPr>
      <w:tblGrid>
        <w:gridCol w:w="124"/>
        <w:gridCol w:w="256"/>
        <w:gridCol w:w="95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incurred under agreements with CMOs for manufacturing material for our preclinical studies and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to obtain and maintain licenses to intellectual property, and related future payments should milestones described in those agreements be achieved; and</w:t>
            </w:r>
          </w:p>
        </w:tc>
      </w:tr>
    </w:tbl>
    <w:tbl>
      <w:tblPr>
        <w:tblW w:w="5166" w:type="dxa"/>
        <w:jc w:val="left"/>
        <w:tblInd w:w="0" w:type="dxa"/>
        <w:tblLayout w:type="fixed"/>
        <w:tblCellMar>
          <w:top w:w="28" w:type="dxa"/>
          <w:left w:w="28" w:type="dxa"/>
          <w:bottom w:w="28" w:type="dxa"/>
          <w:right w:w="28" w:type="dxa"/>
        </w:tblCellMar>
      </w:tblPr>
      <w:tblGrid>
        <w:gridCol w:w="124"/>
        <w:gridCol w:w="256"/>
        <w:gridCol w:w="4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related to compliance with regulatory requirements.</w:t>
            </w:r>
          </w:p>
        </w:tc>
      </w:tr>
    </w:tbl>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Indirect Costs: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employee-related expenses including salaries, bonuses, benefits, stock-based compensation and other related costs for those employees involved in research and development activities; and</w:t>
            </w:r>
          </w:p>
        </w:tc>
      </w:tr>
    </w:tbl>
    <w:tbl>
      <w:tblPr>
        <w:tblW w:w="8946" w:type="dxa"/>
        <w:jc w:val="left"/>
        <w:tblInd w:w="0" w:type="dxa"/>
        <w:tblLayout w:type="fixed"/>
        <w:tblCellMar>
          <w:top w:w="28" w:type="dxa"/>
          <w:left w:w="28" w:type="dxa"/>
          <w:bottom w:w="28" w:type="dxa"/>
          <w:right w:w="28" w:type="dxa"/>
        </w:tblCellMar>
      </w:tblPr>
      <w:tblGrid>
        <w:gridCol w:w="124"/>
        <w:gridCol w:w="256"/>
        <w:gridCol w:w="85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outside consultants, including their fees, stock-based compensation and related travel expenses.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expense research and development costs as incurred. We recognize external development costs based on an evaluation of the progress to completion of specific tasks using information provided to us by our vendors or our estimate of the level of service that has been performed at each reporting date. Payments for these external development activities are based on the terms of the individual agreements, which may differ from the pattern of costs incurred, and are reflected in our condensed consolidated financial statements as prepaid expenses or accrued expenses. Nonrefundable advance payments for goods or services to be received in the future for use in research and development activities are deferred and capitalized, even when there is no alternative future use for the research and development. The capitalized amounts are expensed as the related goods are delivered or the services are performed.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significant portion of our research and development costs have been external costs, which we track on an individual product candidate basis after a clinical product candidate has been identified. We utilize third party contractors for our research and development activities and CMOs for our manufacturing activities and we do not have our own laboratory or manufacturing facilities. Therefore, we have no material facilities expenses attributed to research and development. Our internal research and development costs are primarily personnel-related costs and other indirect costs. We do not track internal costs on a program specific or stage of program basis because these costs are deployed across multiple programs and, as such, are not separately classified.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Where we share costs with our collaboration partners, such as in our BMS Agreement, research and development expenses may include cost sharing reimbursements from our partners.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Research and development activities are central to our business model. We expect that our research and development expenses will continue to increase for the foreseeable future as we advance clinical trials for our product candidates, pursue additional indications, continue to develop additional product candidates, expand our headcount and maintain, expand and enforce our intellectual property portfolio. We also expect our manufacturing costs to increase with our CMOs as we scale up our processes for commercial manufacturing. Product candidates in later stages of clinical development will generally have higher development costs than those in earlier stages of clinical development, primarily due to the increased size and duration of later-stage clinical trials and additional manufacturing activities. There are numerous factors associated with the successful development and commercialization of any product candidates we may develop, including the safety and efficacy of our product candidates, investment in our clinical programs, manufacturing capability and competition with other products, and future commercial and regulatory factors beyond our control that will impact our clinical development program and plans.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successful development of our current product candidates, or any product candidates we may develop in the future is highly uncertain. Therefore, we cannot reasonably estimate or know the nature, timing and estimated costs of the efforts that will be necessary to complete the development and commercialization of our product candidates, if approved, and any other product candidates that we may develop. We are also unable to predict when, if ever, material net cash inflows will commence from the sale of any current or future product candidate, if approved. This is due to the numerous risks and uncertainties associated with product development, including the uncertainty of:</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timing and progress of our ongoing clinical studies and other research and development activities associated with the development of our current and future product candidates;</w:t>
            </w:r>
          </w:p>
        </w:tc>
      </w:tr>
    </w:tbl>
    <w:tbl>
      <w:tblPr>
        <w:tblW w:w="6936" w:type="dxa"/>
        <w:jc w:val="left"/>
        <w:tblInd w:w="0" w:type="dxa"/>
        <w:tblLayout w:type="fixed"/>
        <w:tblCellMar>
          <w:top w:w="28" w:type="dxa"/>
          <w:left w:w="28" w:type="dxa"/>
          <w:bottom w:w="28" w:type="dxa"/>
          <w:right w:w="28" w:type="dxa"/>
        </w:tblCellMar>
      </w:tblPr>
      <w:tblGrid>
        <w:gridCol w:w="124"/>
        <w:gridCol w:w="256"/>
        <w:gridCol w:w="65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and scope of preclinical and clinical programs we decide to pursue;</w:t>
            </w:r>
          </w:p>
        </w:tc>
      </w:tr>
    </w:tbl>
    <w:tbl>
      <w:tblPr>
        <w:tblW w:w="8796" w:type="dxa"/>
        <w:jc w:val="left"/>
        <w:tblInd w:w="0" w:type="dxa"/>
        <w:tblLayout w:type="fixed"/>
        <w:tblCellMar>
          <w:top w:w="28" w:type="dxa"/>
          <w:left w:w="28" w:type="dxa"/>
          <w:bottom w:w="28" w:type="dxa"/>
          <w:right w:w="28" w:type="dxa"/>
        </w:tblCellMar>
      </w:tblPr>
      <w:tblGrid>
        <w:gridCol w:w="124"/>
        <w:gridCol w:w="256"/>
        <w:gridCol w:w="84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our current research and development programs and to establish new programs;</w:t>
            </w:r>
          </w:p>
        </w:tc>
      </w:tr>
    </w:tbl>
    <w:tbl>
      <w:tblPr>
        <w:tblW w:w="8796" w:type="dxa"/>
        <w:jc w:val="left"/>
        <w:tblInd w:w="0" w:type="dxa"/>
        <w:tblLayout w:type="fixed"/>
        <w:tblCellMar>
          <w:top w:w="28" w:type="dxa"/>
          <w:left w:w="28" w:type="dxa"/>
          <w:bottom w:w="28" w:type="dxa"/>
          <w:right w:w="28" w:type="dxa"/>
        </w:tblCellMar>
      </w:tblPr>
      <w:tblGrid>
        <w:gridCol w:w="124"/>
        <w:gridCol w:w="256"/>
        <w:gridCol w:w="84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and successful patient enrollment in, and the initiation and completion of,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successful completion of clinical trials with safety, tolerability and efficacy profiles that are satisfactory to the FDA, or any comparable foreign regulatory authority;</w:t>
            </w:r>
          </w:p>
        </w:tc>
      </w:tr>
    </w:tbl>
    <w:tbl>
      <w:tblPr>
        <w:tblW w:w="8286" w:type="dxa"/>
        <w:jc w:val="left"/>
        <w:tblInd w:w="0" w:type="dxa"/>
        <w:tblLayout w:type="fixed"/>
        <w:tblCellMar>
          <w:top w:w="28" w:type="dxa"/>
          <w:left w:w="28" w:type="dxa"/>
          <w:bottom w:w="28" w:type="dxa"/>
          <w:right w:w="28" w:type="dxa"/>
        </w:tblCellMar>
      </w:tblPr>
      <w:tblGrid>
        <w:gridCol w:w="124"/>
        <w:gridCol w:w="256"/>
        <w:gridCol w:w="7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receipt and terms of any marketing approvals from applicable regulatory authorities;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066" w:type="dxa"/>
        <w:jc w:val="left"/>
        <w:tblInd w:w="0" w:type="dxa"/>
        <w:tblLayout w:type="fixed"/>
        <w:tblCellMar>
          <w:top w:w="28" w:type="dxa"/>
          <w:left w:w="28" w:type="dxa"/>
          <w:bottom w:w="28" w:type="dxa"/>
          <w:right w:w="28" w:type="dxa"/>
        </w:tblCellMar>
      </w:tblPr>
      <w:tblGrid>
        <w:gridCol w:w="124"/>
        <w:gridCol w:w="256"/>
        <w:gridCol w:w="56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new licensing or collaboration arrangements;</w:t>
            </w:r>
          </w:p>
        </w:tc>
      </w:tr>
    </w:tbl>
    <w:tbl>
      <w:tblPr>
        <w:tblW w:w="4611" w:type="dxa"/>
        <w:jc w:val="left"/>
        <w:tblInd w:w="0" w:type="dxa"/>
        <w:tblLayout w:type="fixed"/>
        <w:tblCellMar>
          <w:top w:w="28" w:type="dxa"/>
          <w:left w:w="28" w:type="dxa"/>
          <w:bottom w:w="28" w:type="dxa"/>
          <w:right w:w="28" w:type="dxa"/>
        </w:tblCellMar>
      </w:tblPr>
      <w:tblGrid>
        <w:gridCol w:w="124"/>
        <w:gridCol w:w="256"/>
        <w:gridCol w:w="42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performance of our future collaborators, if 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and maintain arrangements with third-party manufacturers for the commercial supply of products that receive marketing approval, if 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and timely delivery of commercial-grade drug formulations that can be used in our planned clinical trials and for commercialization;</w:t>
            </w:r>
          </w:p>
        </w:tc>
      </w:tr>
    </w:tbl>
    <w:tbl>
      <w:tblPr>
        <w:tblW w:w="8706" w:type="dxa"/>
        <w:jc w:val="left"/>
        <w:tblInd w:w="0" w:type="dxa"/>
        <w:tblLayout w:type="fixed"/>
        <w:tblCellMar>
          <w:top w:w="28" w:type="dxa"/>
          <w:left w:w="28" w:type="dxa"/>
          <w:bottom w:w="28" w:type="dxa"/>
          <w:right w:w="28" w:type="dxa"/>
        </w:tblCellMar>
      </w:tblPr>
      <w:tblGrid>
        <w:gridCol w:w="124"/>
        <w:gridCol w:w="256"/>
        <w:gridCol w:w="83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maintaining, defending and enforcing patent claims and other intellectual property rights;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hire additional personnel and consultants as our business grows, including additional executive officers and clinical development, regulatory, chemistry, manufacturing, and controls, quality and commercial personnel;</w:t>
            </w:r>
          </w:p>
        </w:tc>
      </w:tr>
    </w:tbl>
    <w:tbl>
      <w:tblPr>
        <w:tblW w:w="8301" w:type="dxa"/>
        <w:jc w:val="left"/>
        <w:tblInd w:w="0" w:type="dxa"/>
        <w:tblLayout w:type="fixed"/>
        <w:tblCellMar>
          <w:top w:w="28" w:type="dxa"/>
          <w:left w:w="28" w:type="dxa"/>
          <w:bottom w:w="28" w:type="dxa"/>
          <w:right w:w="28" w:type="dxa"/>
        </w:tblCellMar>
      </w:tblPr>
      <w:tblGrid>
        <w:gridCol w:w="124"/>
        <w:gridCol w:w="256"/>
        <w:gridCol w:w="79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commercializing product candidates, if approved, whether alone or in collaboration with others;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and timing of establishing or securing sales and marketing capabilities for our product candidates if approved;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imposition of new laws and regulations, including those relating to labor conditions and safety standards, information and data transfer, imports, duties, taxes, and other charges on imports, as well as trade restrictions and restrictions on currency exchange or the transfer of funds, particularly new or increased tariffs imposed on imports, and as a result supply-related costs, from countries where our suppliers operate, as well as tariffs that impact the biopharmaceutical industry generally;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achieve sufficient market acceptance, coverage and adequate reimbursement from third-party payors and adequate market share and revenue for any approved products; and</w:t>
            </w:r>
          </w:p>
        </w:tc>
      </w:tr>
    </w:tbl>
    <w:tbl>
      <w:tblPr>
        <w:tblW w:w="8301" w:type="dxa"/>
        <w:jc w:val="left"/>
        <w:tblInd w:w="0" w:type="dxa"/>
        <w:tblLayout w:type="fixed"/>
        <w:tblCellMar>
          <w:top w:w="28" w:type="dxa"/>
          <w:left w:w="28" w:type="dxa"/>
          <w:bottom w:w="28" w:type="dxa"/>
          <w:right w:w="28" w:type="dxa"/>
        </w:tblCellMar>
      </w:tblPr>
      <w:tblGrid>
        <w:gridCol w:w="124"/>
        <w:gridCol w:w="256"/>
        <w:gridCol w:w="79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maintaining a continued acceptable safety profile of the product candidates following approval.</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Any changes in the outcome of any of these variables with respect to the development of our current product candidates or any future product candidates in preclinical and clinical development could mean a significant change in the costs and timing associated with the development of these product candidates. For example, if the Food and Drug Administration (“FDA”) or another regulatory authority were to delay our planned start of clinical trials or require us to conduct clinical trials or other testing beyond those that we currently anticipate would be required for the completion of clinical development, or if we experience significant delays in enrollment in any clinical trials following the FDA’s acceptance and clearance of an IND, we could be required to expend significant additional financial resources and time to complete clinical development than we currently expect. We may never obtain regulatory approval for any product candidates that we develop.</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General and administrative expenses consist primarily of personnel-related expenses, including salaries, bonuses, benefits, and stock-based compensation expenses for personnel in executive, finance, accounting, human resources and other administrative functions. Other significant general and administrative expenses include legal fees relating to intellectual property and corporate matters, professional fees paid for accounting, auditing, tax and consulting and other professional services, and expenses for rent, insurance and other operating costs not otherwise classified as research and development expenses.</w:t>
      </w:r>
    </w:p>
    <w:p>
      <w:pPr>
        <w:pStyle w:val="TextBody"/>
        <w:bidi w:val="0"/>
        <w:spacing w:before="280" w:after="0"/>
        <w:ind w:left="0" w:right="0" w:hanging="0"/>
        <w:jc w:val="both"/>
        <w:rPr>
          <w:rFonts w:ascii="Times New Roman;Times;serif" w:hAnsi="Times New Roman;Times;serif"/>
          <w:sz w:val="20"/>
        </w:rPr>
      </w:pPr>
      <w:r>
        <w:rPr>
          <w:rFonts w:ascii="Times New Roman;Times;serif" w:hAnsi="Times New Roman;Times;serif"/>
          <w:sz w:val="20"/>
        </w:rPr>
        <w:t xml:space="preserve">We anticipate that our general and administrative expenses will increase in the next few years as we increase our headcount to support our continued research and development activities of our product candidates. These increases will likely include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increased costs related to the hiring of additional personnel and fees to outside consultants, among other expenses. We also anticipate increased expenses associated with being a public company, including costs for accounting, audit, legal, regulatory and tax-related services associated with maintaining compliance with the rules and regulations of the SEC, listing standards applicable to companies listed on a national securities exchange, director and officer insurance costs, and investor and public relations costs. In addition, if we obtain regulatory approval for our current product candidates or any product candidates we may develop in the future and do not enter into a third-party commercialization collaboration, we expect to incur significant expenses related to building a sales and marketing team to support product sales, marketing and distribution activities. We will also incur pre-commercialization expenses to facilitate commercial readiness, as we prepare for a potential product candidate approval. </w:t>
      </w:r>
    </w:p>
    <w:p>
      <w:pPr>
        <w:pStyle w:val="TextBody"/>
        <w:bidi w:val="0"/>
        <w:spacing w:before="280" w:after="240"/>
        <w:ind w:left="0" w:right="0" w:hanging="0"/>
        <w:jc w:val="left"/>
        <w:rPr>
          <w:rFonts w:ascii="Times New Roman;Times;serif" w:hAnsi="Times New Roman;Times;serif"/>
          <w:i/>
          <w:sz w:val="20"/>
        </w:rPr>
      </w:pPr>
      <w:r>
        <w:rPr>
          <w:rFonts w:ascii="Times New Roman;Times;serif" w:hAnsi="Times New Roman;Times;serif"/>
          <w:i/>
          <w:sz w:val="20"/>
        </w:rPr>
        <w:t>Acquired In-Process Research and Development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expense acquisition costs for assets purchased for use in research and development activities that have no alternative future use as in-process research and development (“IPR&amp;D”) expenses as of the acquisition date. When we become obligated to make contingent milestone payments under the terms of the agreements by which we acquired the IPR&amp;D assets, we will recognize additional IPR&amp;D expense. We measure and recognize contingent consideration in the period in which the related milestone is achieved and becomes payable. Certain agreements may require the payment of milestones in shares of our common stock, which if determined not to be a derivative or liability are recognized as acquired IPR&amp;D expense and a component of equity based on the fair value of the shares at execution.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Total Other Income (Expense), Net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Other Income (Expense), Net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Other income (expense), net primarily consists of interest expense related to our royalty obligation, our senior secured term loan and our convertible senior notes, income generated from cash equivalents and investments as well as realized and unrealized gains and losses on foreign currency transactions.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Since our inception, we have not recorded income tax benefits for any of our deferred tax assets, including the net operating losses (“NOLs”) incurred or the research and development tax credits generated in each year, as we have concluded that it is more likely than not that these deferred tax assets will not be realized.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Comparison of the Three Months Ended June 30, 2026 and 2025</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summarizes our results of operations for each of the periods presented (in thousands):</w:t>
      </w:r>
    </w:p>
    <w:p>
      <w:pPr>
        <w:pStyle w:val="TextBody"/>
        <w:bidi w:val="0"/>
        <w:spacing w:before="0" w:after="240"/>
        <w:ind w:left="0" w:right="0" w:hanging="0"/>
        <w:jc w:val="both"/>
        <w:rPr/>
      </w:pPr>
      <w:r>
        <w:rPr/>
        <w:t>​</w:t>
      </w:r>
    </w:p>
    <w:tbl>
      <w:tblPr>
        <w:tblW w:w="8586" w:type="dxa"/>
        <w:jc w:val="left"/>
        <w:tblInd w:w="0" w:type="dxa"/>
        <w:tblLayout w:type="fixed"/>
        <w:tblCellMar>
          <w:top w:w="0" w:type="dxa"/>
          <w:left w:w="0" w:type="dxa"/>
          <w:bottom w:w="0" w:type="dxa"/>
          <w:right w:w="0" w:type="dxa"/>
        </w:tblCellMar>
      </w:tblPr>
      <w:tblGrid>
        <w:gridCol w:w="3901"/>
        <w:gridCol w:w="286"/>
        <w:gridCol w:w="214"/>
        <w:gridCol w:w="916"/>
        <w:gridCol w:w="290"/>
        <w:gridCol w:w="214"/>
        <w:gridCol w:w="809"/>
        <w:gridCol w:w="109"/>
        <w:gridCol w:w="211"/>
        <w:gridCol w:w="1636"/>
      </w:tblGrid>
      <w:tr>
        <w:trPr/>
        <w:tc>
          <w:tcPr>
            <w:tcW w:w="3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477135" cy="175260"/>
                      <wp:effectExtent l="0" t="0" r="0" b="0"/>
                      <wp:wrapNone/>
                      <wp:docPr id="192" name="Frame191"/>
                      <a:graphic xmlns:a="http://schemas.openxmlformats.org/drawingml/2006/main">
                        <a:graphicData uri="http://schemas.microsoft.com/office/word/2010/wordprocessingShape">
                          <wps:wsp>
                            <wps:cNvSpPr txBox="1"/>
                            <wps:spPr>
                              <a:xfrm>
                                <a:off x="0" y="0"/>
                                <a:ext cx="2477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81610" cy="175260"/>
                      <wp:effectExtent l="0" t="0" r="0" b="0"/>
                      <wp:wrapNone/>
                      <wp:docPr id="193" name="Frame192"/>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35890" cy="175260"/>
                      <wp:effectExtent l="0" t="0" r="0" b="0"/>
                      <wp:wrapNone/>
                      <wp:docPr id="194" name="Frame193"/>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581660" cy="175260"/>
                      <wp:effectExtent l="0" t="0" r="0" b="0"/>
                      <wp:wrapNone/>
                      <wp:docPr id="195" name="Frame194"/>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84150" cy="175260"/>
                      <wp:effectExtent l="0" t="0" r="0" b="0"/>
                      <wp:wrapNone/>
                      <wp:docPr id="196" name="Frame195"/>
                      <a:graphic xmlns:a="http://schemas.openxmlformats.org/drawingml/2006/main">
                        <a:graphicData uri="http://schemas.microsoft.com/office/word/2010/wordprocessingShape">
                          <wps:wsp>
                            <wps:cNvSpPr txBox="1"/>
                            <wps:spPr>
                              <a:xfrm>
                                <a:off x="0" y="0"/>
                                <a:ext cx="184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35890" cy="175260"/>
                      <wp:effectExtent l="0" t="0" r="0" b="0"/>
                      <wp:wrapNone/>
                      <wp:docPr id="197" name="Frame196"/>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513715" cy="175260"/>
                      <wp:effectExtent l="0" t="0" r="0" b="0"/>
                      <wp:wrapNone/>
                      <wp:docPr id="198" name="Frame197"/>
                      <a:graphic xmlns:a="http://schemas.openxmlformats.org/drawingml/2006/main">
                        <a:graphicData uri="http://schemas.microsoft.com/office/word/2010/wordprocessingShape">
                          <wps:wsp>
                            <wps:cNvSpPr txBox="1"/>
                            <wps:spPr>
                              <a:xfrm>
                                <a:off x="0" y="0"/>
                                <a:ext cx="513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9215" cy="175260"/>
                      <wp:effectExtent l="0" t="0" r="0" b="0"/>
                      <wp:wrapNone/>
                      <wp:docPr id="199" name="Frame1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33985" cy="175260"/>
                      <wp:effectExtent l="0" t="0" r="0" b="0"/>
                      <wp:wrapNone/>
                      <wp:docPr id="200" name="Frame1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038860" cy="175260"/>
                      <wp:effectExtent l="0" t="0" r="0" b="0"/>
                      <wp:wrapNone/>
                      <wp:docPr id="201" name="Frame200"/>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01"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center"/>
              <w:rPr/>
            </w:pPr>
            <w:r>
              <w:rPr/>
              <w:t>​</w:t>
            </w:r>
          </w:p>
        </w:tc>
        <w:tc>
          <w:tcPr>
            <w:tcW w:w="244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Three Months Ended June 30,</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636" w:type="dxa"/>
            <w:tcBorders/>
            <w:vAlign w:val="center"/>
          </w:tcPr>
          <w:p>
            <w:pPr>
              <w:pStyle w:val="TableContents"/>
              <w:bidi w:val="0"/>
              <w:spacing w:before="0" w:after="1"/>
              <w:ind w:left="0" w:right="0" w:hanging="0"/>
              <w:jc w:val="left"/>
              <w:rPr/>
            </w:pPr>
            <w:r>
              <w:rPr/>
              <w:t>​</w:t>
            </w:r>
          </w:p>
        </w:tc>
      </w:tr>
      <w:tr>
        <w:trPr/>
        <w:tc>
          <w:tcPr>
            <w:tcW w:w="3901"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center"/>
              <w:rPr/>
            </w:pPr>
            <w:r>
              <w:rPr/>
              <w:t>​</w:t>
            </w:r>
          </w:p>
        </w:tc>
        <w:tc>
          <w:tcPr>
            <w:tcW w:w="11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290" w:type="dxa"/>
            <w:tcBorders/>
            <w:vAlign w:val="center"/>
          </w:tcPr>
          <w:p>
            <w:pPr>
              <w:pStyle w:val="TableContents"/>
              <w:bidi w:val="0"/>
              <w:spacing w:before="0" w:after="1"/>
              <w:ind w:left="0" w:right="0" w:hanging="0"/>
              <w:jc w:val="center"/>
              <w:rPr/>
            </w:pPr>
            <w:r>
              <w:rPr/>
              <w:t>​</w:t>
            </w:r>
          </w:p>
        </w:tc>
        <w:tc>
          <w:tcPr>
            <w:tcW w:w="102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6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Increase (Decrease)</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w:t>
            </w:r>
          </w:p>
        </w:tc>
        <w:tc>
          <w:tcPr>
            <w:tcW w:w="286" w:type="dxa"/>
            <w:tcBorders/>
            <w:shd w:fill="CCEEFF" w:val="clear"/>
            <w:vAlign w:val="center"/>
          </w:tcPr>
          <w:p>
            <w:pPr>
              <w:pStyle w:val="TableContents"/>
              <w:bidi w:val="0"/>
              <w:spacing w:before="0" w:after="1"/>
              <w:ind w:left="0" w:right="0" w:hanging="0"/>
              <w:jc w:val="center"/>
              <w:rPr/>
            </w:pPr>
            <w:r>
              <w:rPr/>
              <w:t>​</w:t>
            </w:r>
          </w:p>
        </w:tc>
        <w:tc>
          <w:tcPr>
            <w:tcW w:w="214" w:type="dxa"/>
            <w:tcBorders/>
            <w:shd w:fill="CCEEFF" w:val="clear"/>
            <w:vAlign w:val="center"/>
          </w:tcPr>
          <w:p>
            <w:pPr>
              <w:pStyle w:val="TableContents"/>
              <w:bidi w:val="0"/>
              <w:spacing w:before="0" w:after="1"/>
              <w:ind w:left="0" w:right="0" w:hanging="0"/>
              <w:jc w:val="center"/>
              <w:rPr/>
            </w:pPr>
            <w:r>
              <w:rPr/>
              <w:t>​</w:t>
            </w:r>
          </w:p>
        </w:tc>
        <w:tc>
          <w:tcPr>
            <w:tcW w:w="916" w:type="dxa"/>
            <w:tcBorders/>
            <w:shd w:fill="CCEEFF" w:val="clear"/>
            <w:vAlign w:val="center"/>
          </w:tcPr>
          <w:p>
            <w:pPr>
              <w:pStyle w:val="TableContents"/>
              <w:bidi w:val="0"/>
              <w:spacing w:before="0" w:after="1"/>
              <w:ind w:left="0" w:right="0" w:hanging="0"/>
              <w:jc w:val="center"/>
              <w:rPr/>
            </w:pPr>
            <w:r>
              <w:rPr/>
              <w:t>​</w:t>
            </w:r>
          </w:p>
        </w:tc>
        <w:tc>
          <w:tcPr>
            <w:tcW w:w="290" w:type="dxa"/>
            <w:tcBorders/>
            <w:shd w:fill="CCEEFF" w:val="clear"/>
            <w:vAlign w:val="center"/>
          </w:tcPr>
          <w:p>
            <w:pPr>
              <w:pStyle w:val="TableContents"/>
              <w:bidi w:val="0"/>
              <w:spacing w:before="0" w:after="1"/>
              <w:ind w:left="0" w:right="0" w:hanging="0"/>
              <w:jc w:val="center"/>
              <w:rPr/>
            </w:pPr>
            <w:r>
              <w:rPr/>
              <w:t>​</w:t>
            </w:r>
          </w:p>
        </w:tc>
        <w:tc>
          <w:tcPr>
            <w:tcW w:w="214" w:type="dxa"/>
            <w:tcBorders/>
            <w:shd w:fill="CCEEFF" w:val="clear"/>
            <w:vAlign w:val="center"/>
          </w:tcPr>
          <w:p>
            <w:pPr>
              <w:pStyle w:val="TableContents"/>
              <w:bidi w:val="0"/>
              <w:spacing w:before="0" w:after="1"/>
              <w:ind w:left="0" w:right="0" w:hanging="0"/>
              <w:jc w:val="center"/>
              <w:rPr/>
            </w:pPr>
            <w:r>
              <w:rPr/>
              <w:t>​</w:t>
            </w:r>
          </w:p>
        </w:tc>
        <w:tc>
          <w:tcPr>
            <w:tcW w:w="809"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1636" w:type="dxa"/>
            <w:tcBorders/>
            <w:shd w:fill="CCEEFF" w:val="clear"/>
            <w:vAlign w:val="center"/>
          </w:tcPr>
          <w:p>
            <w:pPr>
              <w:pStyle w:val="TableContents"/>
              <w:bidi w:val="0"/>
              <w:spacing w:before="0" w:after="1"/>
              <w:ind w:left="0" w:right="0" w:hanging="0"/>
              <w:jc w:val="center"/>
              <w:rPr/>
            </w:pPr>
            <w:r>
              <w:rPr/>
              <w:t>​</w:t>
            </w:r>
          </w:p>
        </w:tc>
      </w:tr>
      <w:tr>
        <w:trPr/>
        <w:tc>
          <w:tcPr>
            <w:tcW w:w="39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License and collaboration revenue</w:t>
            </w:r>
          </w:p>
        </w:tc>
        <w:tc>
          <w:tcPr>
            <w:tcW w:w="286" w:type="dxa"/>
            <w:tcBorders/>
            <w:vAlign w:val="center"/>
          </w:tcPr>
          <w:p>
            <w:pPr>
              <w:pStyle w:val="TableContents"/>
              <w:bidi w:val="0"/>
              <w:spacing w:before="0" w:after="1"/>
              <w:ind w:left="0" w:right="0" w:hanging="0"/>
              <w:jc w:val="center"/>
              <w:rPr/>
            </w:pPr>
            <w:r>
              <w:rPr/>
              <w:t>  ​ ​</w:t>
            </w:r>
          </w:p>
        </w:tc>
        <w:tc>
          <w:tcPr>
            <w:tcW w:w="21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290" w:type="dxa"/>
            <w:tcBorders/>
            <w:vAlign w:val="center"/>
          </w:tcPr>
          <w:p>
            <w:pPr>
              <w:pStyle w:val="TableContents"/>
              <w:bidi w:val="0"/>
              <w:spacing w:before="0" w:after="1"/>
              <w:ind w:left="0" w:right="0" w:hanging="0"/>
              <w:jc w:val="center"/>
              <w:rPr/>
            </w:pPr>
            <w:r>
              <w:rPr/>
              <w:t>  ​ ​</w:t>
            </w:r>
          </w:p>
        </w:tc>
        <w:tc>
          <w:tcPr>
            <w:tcW w:w="21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6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28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290"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8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6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r>
      <w:tr>
        <w:trPr/>
        <w:tc>
          <w:tcPr>
            <w:tcW w:w="39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28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290"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80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636" w:type="dxa"/>
            <w:tcBorders/>
            <w:vAlign w:val="center"/>
          </w:tcPr>
          <w:p>
            <w:pPr>
              <w:pStyle w:val="TableContents"/>
              <w:bidi w:val="0"/>
              <w:spacing w:before="0" w:after="1"/>
              <w:ind w:left="0" w:right="0" w:hanging="0"/>
              <w:jc w:val="right"/>
              <w:rPr/>
            </w:pPr>
            <w:r>
              <w:rPr/>
              <w:t>​</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28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62,913</w:t>
            </w:r>
          </w:p>
        </w:tc>
        <w:tc>
          <w:tcPr>
            <w:tcW w:w="290"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43,027</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6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19,886</w:t>
            </w:r>
          </w:p>
        </w:tc>
      </w:tr>
      <w:tr>
        <w:trPr/>
        <w:tc>
          <w:tcPr>
            <w:tcW w:w="39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28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15,746</w:t>
            </w:r>
          </w:p>
        </w:tc>
        <w:tc>
          <w:tcPr>
            <w:tcW w:w="290"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8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12,136</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6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3,610</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Acquired in-process research and development</w:t>
            </w:r>
          </w:p>
        </w:tc>
        <w:tc>
          <w:tcPr>
            <w:tcW w:w="28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30,000</w:t>
            </w:r>
          </w:p>
        </w:tc>
        <w:tc>
          <w:tcPr>
            <w:tcW w:w="290"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8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6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30,000</w:t>
            </w:r>
          </w:p>
        </w:tc>
      </w:tr>
      <w:tr>
        <w:trPr/>
        <w:tc>
          <w:tcPr>
            <w:tcW w:w="39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28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108,659</w:t>
            </w:r>
          </w:p>
        </w:tc>
        <w:tc>
          <w:tcPr>
            <w:tcW w:w="290"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80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55,163</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6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53,496</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28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(107,659)</w:t>
            </w:r>
          </w:p>
        </w:tc>
        <w:tc>
          <w:tcPr>
            <w:tcW w:w="290"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8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(55,163)</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6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(52,496)</w:t>
            </w:r>
          </w:p>
        </w:tc>
      </w:tr>
      <w:tr>
        <w:trPr/>
        <w:tc>
          <w:tcPr>
            <w:tcW w:w="39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28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  ​</w:t>
            </w:r>
          </w:p>
        </w:tc>
        <w:tc>
          <w:tcPr>
            <w:tcW w:w="290"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809" w:type="dxa"/>
            <w:tcBorders/>
            <w:vAlign w:val="center"/>
          </w:tcPr>
          <w:p>
            <w:pPr>
              <w:pStyle w:val="TableContents"/>
              <w:bidi w:val="0"/>
              <w:spacing w:before="0" w:after="1"/>
              <w:ind w:left="0" w:right="0" w:hanging="0"/>
              <w:jc w:val="right"/>
              <w:rPr/>
            </w:pPr>
            <w:r>
              <w:rPr/>
              <w:t>  ​</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636" w:type="dxa"/>
            <w:tcBorders/>
            <w:vAlign w:val="center"/>
          </w:tcPr>
          <w:p>
            <w:pPr>
              <w:pStyle w:val="TableContents"/>
              <w:bidi w:val="0"/>
              <w:spacing w:before="0" w:after="1"/>
              <w:ind w:left="0" w:right="0" w:hanging="0"/>
              <w:jc w:val="right"/>
              <w:rPr/>
            </w:pPr>
            <w:r>
              <w:rPr/>
              <w:t>​</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 on royalty obligation</w:t>
            </w:r>
          </w:p>
        </w:tc>
        <w:tc>
          <w:tcPr>
            <w:tcW w:w="28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(6,837)</w:t>
            </w:r>
          </w:p>
        </w:tc>
        <w:tc>
          <w:tcPr>
            <w:tcW w:w="290"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80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6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(6,837)</w:t>
            </w:r>
          </w:p>
        </w:tc>
      </w:tr>
      <w:tr>
        <w:trPr/>
        <w:tc>
          <w:tcPr>
            <w:tcW w:w="39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 on senior secured term loan</w:t>
            </w:r>
          </w:p>
        </w:tc>
        <w:tc>
          <w:tcPr>
            <w:tcW w:w="28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(1,720)</w:t>
            </w:r>
          </w:p>
        </w:tc>
        <w:tc>
          <w:tcPr>
            <w:tcW w:w="290"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80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6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(1,720)</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 on convertible note</w:t>
            </w:r>
          </w:p>
        </w:tc>
        <w:tc>
          <w:tcPr>
            <w:tcW w:w="28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(1,745)</w:t>
            </w:r>
          </w:p>
        </w:tc>
        <w:tc>
          <w:tcPr>
            <w:tcW w:w="290"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80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6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(1,745)</w:t>
            </w:r>
          </w:p>
        </w:tc>
      </w:tr>
      <w:tr>
        <w:trPr/>
        <w:tc>
          <w:tcPr>
            <w:tcW w:w="39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28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6,603</w:t>
            </w:r>
          </w:p>
        </w:tc>
        <w:tc>
          <w:tcPr>
            <w:tcW w:w="290"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8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2,743</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6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3,860</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28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290"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8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6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w:t>
            </w:r>
          </w:p>
        </w:tc>
      </w:tr>
      <w:tr>
        <w:trPr/>
        <w:tc>
          <w:tcPr>
            <w:tcW w:w="39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income (expense), net</w:t>
            </w:r>
          </w:p>
        </w:tc>
        <w:tc>
          <w:tcPr>
            <w:tcW w:w="28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(3,683)</w:t>
            </w:r>
          </w:p>
        </w:tc>
        <w:tc>
          <w:tcPr>
            <w:tcW w:w="290"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80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2,960</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6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(6,643)</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before income taxes</w:t>
            </w:r>
          </w:p>
        </w:tc>
        <w:tc>
          <w:tcPr>
            <w:tcW w:w="28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(111,342)</w:t>
            </w:r>
          </w:p>
        </w:tc>
        <w:tc>
          <w:tcPr>
            <w:tcW w:w="290"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8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(52,203)</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6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(59,139)</w:t>
            </w:r>
          </w:p>
        </w:tc>
      </w:tr>
      <w:tr>
        <w:trPr/>
        <w:tc>
          <w:tcPr>
            <w:tcW w:w="39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provision (benefit)</w:t>
            </w:r>
          </w:p>
        </w:tc>
        <w:tc>
          <w:tcPr>
            <w:tcW w:w="28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w:t>
            </w:r>
          </w:p>
        </w:tc>
        <w:tc>
          <w:tcPr>
            <w:tcW w:w="290"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80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6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28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(111,456)</w:t>
            </w:r>
          </w:p>
        </w:tc>
        <w:tc>
          <w:tcPr>
            <w:tcW w:w="290"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(52,223)</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6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(59,233)</w:t>
            </w:r>
          </w:p>
        </w:tc>
      </w:tr>
    </w:tbl>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Revenue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For the three months ended June 30, 2026, we recognized license and collaboration revenue of $1.0 million, related to the achievement of a development milestone under the Tenacia Agreement. For the three months ended June 30, 2025, we did not recognize any license and collaboration revenue.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Research and Development Expenses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summarizes our research and development expenses for each of the periods presented (in thousands):</w:t>
      </w:r>
    </w:p>
    <w:p>
      <w:pPr>
        <w:pStyle w:val="TextBody"/>
        <w:bidi w:val="0"/>
        <w:spacing w:before="0" w:after="240"/>
        <w:ind w:left="0" w:right="0" w:hanging="0"/>
        <w:jc w:val="both"/>
        <w:rPr/>
      </w:pPr>
      <w:r>
        <w:rPr/>
        <w:t>​</w:t>
      </w:r>
    </w:p>
    <w:tbl>
      <w:tblPr>
        <w:tblW w:w="10105" w:type="dxa"/>
        <w:jc w:val="left"/>
        <w:tblInd w:w="0" w:type="dxa"/>
        <w:tblLayout w:type="fixed"/>
        <w:tblCellMar>
          <w:top w:w="0" w:type="dxa"/>
          <w:left w:w="0" w:type="dxa"/>
          <w:bottom w:w="0" w:type="dxa"/>
          <w:right w:w="0" w:type="dxa"/>
        </w:tblCellMar>
      </w:tblPr>
      <w:tblGrid>
        <w:gridCol w:w="5446"/>
        <w:gridCol w:w="346"/>
        <w:gridCol w:w="211"/>
        <w:gridCol w:w="676"/>
        <w:gridCol w:w="346"/>
        <w:gridCol w:w="211"/>
        <w:gridCol w:w="676"/>
        <w:gridCol w:w="346"/>
        <w:gridCol w:w="211"/>
        <w:gridCol w:w="1636"/>
      </w:tblGrid>
      <w:tr>
        <w:trPr/>
        <w:tc>
          <w:tcPr>
            <w:tcW w:w="5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3458210" cy="175260"/>
                      <wp:effectExtent l="0" t="0" r="0" b="0"/>
                      <wp:wrapNone/>
                      <wp:docPr id="202" name="Frame201"/>
                      <a:graphic xmlns:a="http://schemas.openxmlformats.org/drawingml/2006/main">
                        <a:graphicData uri="http://schemas.microsoft.com/office/word/2010/wordprocessingShape">
                          <wps:wsp>
                            <wps:cNvSpPr txBox="1"/>
                            <wps:spPr>
                              <a:xfrm>
                                <a:off x="0" y="0"/>
                                <a:ext cx="3458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19710" cy="175260"/>
                      <wp:effectExtent l="0" t="0" r="0" b="0"/>
                      <wp:wrapNone/>
                      <wp:docPr id="203" name="Frame2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33985" cy="175260"/>
                      <wp:effectExtent l="0" t="0" r="0" b="0"/>
                      <wp:wrapNone/>
                      <wp:docPr id="204" name="Frame2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429260" cy="175260"/>
                      <wp:effectExtent l="0" t="0" r="0" b="0"/>
                      <wp:wrapNone/>
                      <wp:docPr id="205" name="Frame20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19710" cy="175260"/>
                      <wp:effectExtent l="0" t="0" r="0" b="0"/>
                      <wp:wrapNone/>
                      <wp:docPr id="206" name="Frame2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33985" cy="175260"/>
                      <wp:effectExtent l="0" t="0" r="0" b="0"/>
                      <wp:wrapNone/>
                      <wp:docPr id="207" name="Frame2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429260" cy="175260"/>
                      <wp:effectExtent l="0" t="0" r="0" b="0"/>
                      <wp:wrapNone/>
                      <wp:docPr id="208" name="Frame20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19710" cy="175260"/>
                      <wp:effectExtent l="0" t="0" r="0" b="0"/>
                      <wp:wrapNone/>
                      <wp:docPr id="209" name="Frame2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33985" cy="175260"/>
                      <wp:effectExtent l="0" t="0" r="0" b="0"/>
                      <wp:wrapNone/>
                      <wp:docPr id="210" name="Frame2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038860" cy="175260"/>
                      <wp:effectExtent l="0" t="0" r="0" b="0"/>
                      <wp:wrapNone/>
                      <wp:docPr id="211" name="Frame210"/>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4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466" w:type="dxa"/>
            <w:gridSpan w:val="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Three Months Ended June 30,</w:t>
            </w:r>
          </w:p>
        </w:tc>
        <w:tc>
          <w:tcPr>
            <w:tcW w:w="211" w:type="dxa"/>
            <w:tcBorders/>
            <w:vAlign w:val="center"/>
          </w:tcPr>
          <w:p>
            <w:pPr>
              <w:pStyle w:val="TableContents"/>
              <w:bidi w:val="0"/>
              <w:spacing w:before="0" w:after="1"/>
              <w:ind w:left="0" w:right="0" w:hanging="0"/>
              <w:jc w:val="center"/>
              <w:rPr/>
            </w:pPr>
            <w:r>
              <w:rPr/>
              <w:t>​</w:t>
            </w:r>
          </w:p>
        </w:tc>
        <w:tc>
          <w:tcPr>
            <w:tcW w:w="1636" w:type="dxa"/>
            <w:tcBorders/>
            <w:vAlign w:val="center"/>
          </w:tcPr>
          <w:p>
            <w:pPr>
              <w:pStyle w:val="TableContents"/>
              <w:bidi w:val="0"/>
              <w:spacing w:before="0" w:after="1"/>
              <w:ind w:left="0" w:right="0" w:hanging="0"/>
              <w:jc w:val="left"/>
              <w:rPr/>
            </w:pPr>
            <w:r>
              <w:rPr/>
              <w:t>​</w:t>
            </w:r>
          </w:p>
        </w:tc>
      </w:tr>
      <w:tr>
        <w:trPr/>
        <w:tc>
          <w:tcPr>
            <w:tcW w:w="54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1"/>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6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Increase (Decrease)</w:t>
            </w:r>
          </w:p>
        </w:tc>
      </w:tr>
      <w:tr>
        <w:trPr/>
        <w:tc>
          <w:tcPr>
            <w:tcW w:w="54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Direct research and development expenses by program:</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636" w:type="dxa"/>
            <w:tcBorders/>
            <w:shd w:fill="CCEEFF" w:val="clear"/>
            <w:vAlign w:val="center"/>
          </w:tcPr>
          <w:p>
            <w:pPr>
              <w:pStyle w:val="TableContents"/>
              <w:bidi w:val="0"/>
              <w:spacing w:before="0" w:after="1"/>
              <w:ind w:left="0" w:right="0" w:hanging="0"/>
              <w:jc w:val="left"/>
              <w:rPr/>
            </w:pPr>
            <w:r>
              <w:rPr/>
              <w:t>​</w:t>
            </w:r>
          </w:p>
        </w:tc>
      </w:tr>
      <w:tr>
        <w:trPr/>
        <w:tc>
          <w:tcPr>
            <w:tcW w:w="54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Obexelimab</w:t>
            </w:r>
          </w:p>
        </w:tc>
        <w:tc>
          <w:tcPr>
            <w:tcW w:w="346" w:type="dxa"/>
            <w:tcBorders/>
            <w:vAlign w:val="center"/>
          </w:tcPr>
          <w:p>
            <w:pPr>
              <w:pStyle w:val="TableContents"/>
              <w:bidi w:val="0"/>
              <w:spacing w:before="0" w:after="1"/>
              <w:ind w:left="0" w:right="0" w:hanging="0"/>
              <w:jc w:val="left"/>
              <w:rPr/>
            </w:pPr>
            <w:r>
              <w:rPr/>
              <w:t>  ​ ​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29,394</w:t>
            </w:r>
          </w:p>
        </w:tc>
        <w:tc>
          <w:tcPr>
            <w:tcW w:w="346" w:type="dxa"/>
            <w:tcBorders/>
            <w:vAlign w:val="center"/>
          </w:tcPr>
          <w:p>
            <w:pPr>
              <w:pStyle w:val="TableContents"/>
              <w:bidi w:val="0"/>
              <w:spacing w:before="0" w:after="1"/>
              <w:ind w:left="0" w:right="0" w:hanging="0"/>
              <w:jc w:val="left"/>
              <w:rPr/>
            </w:pPr>
            <w:r>
              <w:rPr/>
              <w:t>  ​ ​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29,894</w:t>
            </w:r>
          </w:p>
        </w:tc>
        <w:tc>
          <w:tcPr>
            <w:tcW w:w="346" w:type="dxa"/>
            <w:tcBorders/>
            <w:vAlign w:val="center"/>
          </w:tcPr>
          <w:p>
            <w:pPr>
              <w:pStyle w:val="TableContents"/>
              <w:bidi w:val="0"/>
              <w:spacing w:before="0" w:after="1"/>
              <w:ind w:left="0" w:right="0" w:hanging="0"/>
              <w:jc w:val="left"/>
              <w:rPr/>
            </w:pPr>
            <w:r>
              <w:rPr/>
              <w:t>  ​ ​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6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w:t>
            </w:r>
          </w:p>
        </w:tc>
      </w:tr>
      <w:tr>
        <w:trPr/>
        <w:tc>
          <w:tcPr>
            <w:tcW w:w="54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Orelabrutinib</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11,206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6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11,206</w:t>
            </w:r>
          </w:p>
        </w:tc>
      </w:tr>
      <w:tr>
        <w:trPr/>
        <w:tc>
          <w:tcPr>
            <w:tcW w:w="54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programs (ZB002, ZB004, ZB014, ZB021 &amp; ZB022)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6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1,058</w:t>
            </w:r>
          </w:p>
        </w:tc>
      </w:tr>
      <w:tr>
        <w:trPr/>
        <w:tc>
          <w:tcPr>
            <w:tcW w:w="54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Partnered regional programs (ZB001 &amp; ZB005)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6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w:t>
            </w:r>
          </w:p>
        </w:tc>
      </w:tr>
      <w:tr>
        <w:trPr/>
        <w:tc>
          <w:tcPr>
            <w:tcW w:w="54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Unallocated research and development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636" w:type="dxa"/>
            <w:tcBorders/>
            <w:vAlign w:val="center"/>
          </w:tcPr>
          <w:p>
            <w:pPr>
              <w:pStyle w:val="TableContents"/>
              <w:bidi w:val="0"/>
              <w:spacing w:before="0" w:after="1"/>
              <w:ind w:left="0" w:right="0" w:hanging="0"/>
              <w:jc w:val="right"/>
              <w:rPr/>
            </w:pPr>
            <w:r>
              <w:rPr/>
              <w:t>​</w:t>
            </w:r>
          </w:p>
        </w:tc>
      </w:tr>
      <w:tr>
        <w:trPr/>
        <w:tc>
          <w:tcPr>
            <w:tcW w:w="54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Personnel related expenses (including stock-based compensation)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18,481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12,303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6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6,178</w:t>
            </w:r>
          </w:p>
        </w:tc>
      </w:tr>
      <w:tr>
        <w:trPr/>
        <w:tc>
          <w:tcPr>
            <w:tcW w:w="54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6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1,831</w:t>
            </w:r>
          </w:p>
        </w:tc>
      </w:tr>
      <w:tr>
        <w:trPr/>
        <w:tc>
          <w:tcPr>
            <w:tcW w:w="54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research and development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62,913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43,027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63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19,886</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Research and development expenses were $62.9 million for the three months ended June 30, 2026, compared to $43.0 million for the three months ended June 30, 2025. The increase of $19.9 million was primarily attributable to the following:</w:t>
      </w:r>
    </w:p>
    <w:p>
      <w:pPr>
        <w:pStyle w:val="TextBody"/>
        <w:bidi w:val="0"/>
        <w:spacing w:before="0" w:after="24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 million decrease in costs related to the development of obexelimab, our lead product candidate, driven by $0.8 million decrease in manufacturing costs for clinical trial materials offset by a $0.3 million increase in clinical trial, development and regulatory costs;</w:t>
            </w:r>
          </w:p>
        </w:tc>
      </w:tr>
    </w:tbl>
    <w:p>
      <w:pPr>
        <w:pStyle w:val="TextBody"/>
        <w:bidi w:val="0"/>
        <w:spacing w:before="0" w:after="0"/>
        <w:ind w:left="72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$11.2 million increase in costs related to the development of orelabrutinib, driven by clinical trial and regulatory costs;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$6.2 million increase in personnel costs, including a $4.3 million increase in salary and benefit related expense, due to an increase in headcount, a $1.7 million increase in stock-based compensation expense, and a $0.2 million increase in external contractor expenses and other personnel costs.</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pBdr/>
        <w:bidi w:val="0"/>
        <w:spacing w:before="0" w:after="0"/>
        <w:ind w:left="0" w:right="0" w:hanging="360"/>
        <w:jc w:val="both"/>
        <w:rPr>
          <w:rFonts w:ascii="Times New Roman;Times;serif" w:hAnsi="Times New Roman;Times;serif"/>
          <w:sz w:val="20"/>
        </w:rPr>
      </w:pPr>
      <w:r>
        <w:rPr>
          <w:rFonts w:ascii="Times New Roman;Times;serif" w:hAnsi="Times New Roman;Times;serif"/>
          <w:sz w:val="20"/>
        </w:rPr>
        <w:t>The following table summarizes our general and administrative expenses for each of the periods presented (in thousands):</w:t>
      </w:r>
    </w:p>
    <w:p>
      <w:pPr>
        <w:pStyle w:val="TextBody"/>
        <w:pBdr/>
        <w:bidi w:val="0"/>
        <w:spacing w:before="0" w:after="240"/>
        <w:ind w:left="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5285"/>
        <w:gridCol w:w="346"/>
        <w:gridCol w:w="245"/>
        <w:gridCol w:w="750"/>
        <w:gridCol w:w="432"/>
        <w:gridCol w:w="245"/>
        <w:gridCol w:w="750"/>
        <w:gridCol w:w="346"/>
        <w:gridCol w:w="196"/>
        <w:gridCol w:w="1610"/>
      </w:tblGrid>
      <w:tr>
        <w:trPr/>
        <w:tc>
          <w:tcPr>
            <w:tcW w:w="5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3355975" cy="175260"/>
                      <wp:effectExtent l="0" t="0" r="0" b="0"/>
                      <wp:wrapNone/>
                      <wp:docPr id="212" name="Frame211"/>
                      <a:graphic xmlns:a="http://schemas.openxmlformats.org/drawingml/2006/main">
                        <a:graphicData uri="http://schemas.microsoft.com/office/word/2010/wordprocessingShape">
                          <wps:wsp>
                            <wps:cNvSpPr txBox="1"/>
                            <wps:spPr>
                              <a:xfrm>
                                <a:off x="0" y="0"/>
                                <a:ext cx="3355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19710" cy="175260"/>
                      <wp:effectExtent l="0" t="0" r="0" b="0"/>
                      <wp:wrapNone/>
                      <wp:docPr id="213" name="Frame2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55575" cy="175260"/>
                      <wp:effectExtent l="0" t="0" r="0" b="0"/>
                      <wp:wrapNone/>
                      <wp:docPr id="214" name="Frame213"/>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476250" cy="175260"/>
                      <wp:effectExtent l="0" t="0" r="0" b="0"/>
                      <wp:wrapNone/>
                      <wp:docPr id="215" name="Frame214"/>
                      <a:graphic xmlns:a="http://schemas.openxmlformats.org/drawingml/2006/main">
                        <a:graphicData uri="http://schemas.microsoft.com/office/word/2010/wordprocessingShape">
                          <wps:wsp>
                            <wps:cNvSpPr txBox="1"/>
                            <wps:spPr>
                              <a:xfrm>
                                <a:off x="0" y="0"/>
                                <a:ext cx="476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74320" cy="175260"/>
                      <wp:effectExtent l="0" t="0" r="0" b="0"/>
                      <wp:wrapNone/>
                      <wp:docPr id="216" name="Frame215"/>
                      <a:graphic xmlns:a="http://schemas.openxmlformats.org/drawingml/2006/main">
                        <a:graphicData uri="http://schemas.microsoft.com/office/word/2010/wordprocessingShape">
                          <wps:wsp>
                            <wps:cNvSpPr txBox="1"/>
                            <wps:spPr>
                              <a:xfrm>
                                <a:off x="0" y="0"/>
                                <a:ext cx="274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55575" cy="175260"/>
                      <wp:effectExtent l="0" t="0" r="0" b="0"/>
                      <wp:wrapNone/>
                      <wp:docPr id="217" name="Frame216"/>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476250" cy="175260"/>
                      <wp:effectExtent l="0" t="0" r="0" b="0"/>
                      <wp:wrapNone/>
                      <wp:docPr id="218" name="Frame217"/>
                      <a:graphic xmlns:a="http://schemas.openxmlformats.org/drawingml/2006/main">
                        <a:graphicData uri="http://schemas.microsoft.com/office/word/2010/wordprocessingShape">
                          <wps:wsp>
                            <wps:cNvSpPr txBox="1"/>
                            <wps:spPr>
                              <a:xfrm>
                                <a:off x="0" y="0"/>
                                <a:ext cx="476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19710" cy="175260"/>
                      <wp:effectExtent l="0" t="0" r="0" b="0"/>
                      <wp:wrapNone/>
                      <wp:docPr id="219" name="Frame2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24460" cy="175260"/>
                      <wp:effectExtent l="0" t="0" r="0" b="0"/>
                      <wp:wrapNone/>
                      <wp:docPr id="220" name="Frame21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022350" cy="175260"/>
                      <wp:effectExtent l="0" t="0" r="0" b="0"/>
                      <wp:wrapNone/>
                      <wp:docPr id="221" name="Frame220"/>
                      <a:graphic xmlns:a="http://schemas.openxmlformats.org/drawingml/2006/main">
                        <a:graphicData uri="http://schemas.microsoft.com/office/word/2010/wordprocessingShape">
                          <wps:wsp>
                            <wps:cNvSpPr txBox="1"/>
                            <wps:spPr>
                              <a:xfrm>
                                <a:off x="0" y="0"/>
                                <a:ext cx="10223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28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42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Three Months Ended June 30,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1610" w:type="dxa"/>
            <w:tcBorders/>
            <w:vAlign w:val="center"/>
          </w:tcPr>
          <w:p>
            <w:pPr>
              <w:pStyle w:val="TableContents"/>
              <w:bidi w:val="0"/>
              <w:spacing w:before="0" w:after="1"/>
              <w:ind w:left="0" w:right="0" w:hanging="0"/>
              <w:jc w:val="left"/>
              <w:rPr/>
            </w:pPr>
            <w:r>
              <w:rPr/>
              <w:t>​</w:t>
            </w:r>
          </w:p>
        </w:tc>
      </w:tr>
      <w:tr>
        <w:trPr/>
        <w:tc>
          <w:tcPr>
            <w:tcW w:w="528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432" w:type="dxa"/>
            <w:tcBorders/>
            <w:vAlign w:val="center"/>
          </w:tcPr>
          <w:p>
            <w:pPr>
              <w:pStyle w:val="TableContents"/>
              <w:bidi w:val="0"/>
              <w:spacing w:before="0" w:after="1"/>
              <w:ind w:left="0" w:right="0" w:hanging="0"/>
              <w:jc w:val="center"/>
              <w:rPr/>
            </w:pPr>
            <w:r>
              <w:rPr/>
              <w:t>​</w:t>
            </w:r>
          </w:p>
        </w:tc>
        <w:tc>
          <w:tcPr>
            <w:tcW w:w="9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161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Increase (Decrease)</w:t>
            </w:r>
          </w:p>
        </w:tc>
      </w:tr>
      <w:tr>
        <w:trPr/>
        <w:tc>
          <w:tcPr>
            <w:tcW w:w="528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Personnel related expenses (including stock-based compensation)</w:t>
            </w:r>
          </w:p>
        </w:tc>
        <w:tc>
          <w:tcPr>
            <w:tcW w:w="346" w:type="dxa"/>
            <w:tcBorders/>
            <w:shd w:fill="CCEEFF" w:val="clear"/>
            <w:vAlign w:val="center"/>
          </w:tcPr>
          <w:p>
            <w:pPr>
              <w:pStyle w:val="TableContents"/>
              <w:bidi w:val="0"/>
              <w:spacing w:before="0" w:after="1"/>
              <w:ind w:left="0" w:right="0" w:hanging="0"/>
              <w:jc w:val="center"/>
              <w:rPr/>
            </w:pPr>
            <w:r>
              <w:rPr/>
              <w:t>  ​ ​ ​</w:t>
            </w:r>
          </w:p>
        </w:tc>
        <w:tc>
          <w:tcPr>
            <w:tcW w:w="24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10,808</w:t>
            </w:r>
          </w:p>
        </w:tc>
        <w:tc>
          <w:tcPr>
            <w:tcW w:w="432" w:type="dxa"/>
            <w:tcBorders/>
            <w:shd w:fill="CCEEFF" w:val="clear"/>
            <w:vAlign w:val="center"/>
          </w:tcPr>
          <w:p>
            <w:pPr>
              <w:pStyle w:val="TableContents"/>
              <w:bidi w:val="0"/>
              <w:spacing w:before="0" w:after="1"/>
              <w:ind w:left="0" w:right="0" w:hanging="0"/>
              <w:jc w:val="center"/>
              <w:rPr/>
            </w:pPr>
            <w:r>
              <w:rPr/>
              <w:t>  ​ ​ ​</w:t>
            </w:r>
          </w:p>
        </w:tc>
        <w:tc>
          <w:tcPr>
            <w:tcW w:w="24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8,508</w:t>
            </w:r>
          </w:p>
        </w:tc>
        <w:tc>
          <w:tcPr>
            <w:tcW w:w="346" w:type="dxa"/>
            <w:tcBorders/>
            <w:shd w:fill="CCEEFF" w:val="clear"/>
            <w:vAlign w:val="center"/>
          </w:tcPr>
          <w:p>
            <w:pPr>
              <w:pStyle w:val="TableContents"/>
              <w:bidi w:val="0"/>
              <w:spacing w:before="0" w:after="1"/>
              <w:ind w:left="0" w:right="0" w:hanging="0"/>
              <w:jc w:val="center"/>
              <w:rPr/>
            </w:pPr>
            <w:r>
              <w:rPr/>
              <w:t>  ​ ​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61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2,300</w:t>
            </w:r>
          </w:p>
        </w:tc>
      </w:tr>
      <w:tr>
        <w:trPr/>
        <w:tc>
          <w:tcPr>
            <w:tcW w:w="528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Legal and professional fees</w:t>
            </w:r>
          </w:p>
        </w:tc>
        <w:tc>
          <w:tcPr>
            <w:tcW w:w="34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 </w:t>
            </w:r>
          </w:p>
        </w:tc>
        <w:tc>
          <w:tcPr>
            <w:tcW w:w="75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4,447</w:t>
            </w:r>
          </w:p>
        </w:tc>
        <w:tc>
          <w:tcPr>
            <w:tcW w:w="432"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 </w:t>
            </w:r>
          </w:p>
        </w:tc>
        <w:tc>
          <w:tcPr>
            <w:tcW w:w="75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2,073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61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2,374</w:t>
            </w:r>
          </w:p>
        </w:tc>
      </w:tr>
      <w:tr>
        <w:trPr/>
        <w:tc>
          <w:tcPr>
            <w:tcW w:w="528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Facilities and other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 </w:t>
            </w:r>
          </w:p>
        </w:tc>
        <w:tc>
          <w:tcPr>
            <w:tcW w:w="75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491</w:t>
            </w:r>
          </w:p>
        </w:tc>
        <w:tc>
          <w:tcPr>
            <w:tcW w:w="432"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 </w:t>
            </w:r>
          </w:p>
        </w:tc>
        <w:tc>
          <w:tcPr>
            <w:tcW w:w="75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1,555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6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(1,064)</w:t>
            </w:r>
          </w:p>
        </w:tc>
      </w:tr>
      <w:tr>
        <w:trPr/>
        <w:tc>
          <w:tcPr>
            <w:tcW w:w="528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general and administrative expenses</w:t>
            </w:r>
          </w:p>
        </w:tc>
        <w:tc>
          <w:tcPr>
            <w:tcW w:w="34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15,746</w:t>
            </w:r>
          </w:p>
        </w:tc>
        <w:tc>
          <w:tcPr>
            <w:tcW w:w="432"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12,136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610"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3,610</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General and administrative expenses were $15.7 million for the three months ended June 30, 2026, compared to $12.1 million for the three months ended June 30, 2025. The increase of $3.6 million was primarily attributable to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$2.3 million increase in personnel costs, including a $1.7 million increase in salary and benefit related expense, primarily due to an increase in headcount to support pre-commercialization efforts, a $0.8 million increase in stock-based compensation expense, offset by a $0.1 million decrease in external contractor expense and other personnel costs, and a $0.1 million decrease in recruiting expense;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$2.4 million increase in legal and professional fees, including consulting, pre-commercialization efforts, audit and tax expenses, primarily attributable to company growth and continued operations as a public company.</w:t>
            </w:r>
          </w:p>
        </w:tc>
      </w:tr>
    </w:tbl>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Acquired In-Process Research and Development Expenses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the three months ended June 30, 2026, acquired IPR&amp;D expenses were $30.0 million, which included $10.0 million, related to the achievement of a milestone under the Xencor Agreement and related to the completion of the FDA marketing authorization submission for obexelimab and $20.0 million, related to the achievement of a Regulatory Milestone under the InnoCare Agreement. The Company did not recognize any acquired IPR&amp;D expenses for the three months ended June 30, 2025.</w:t>
      </w:r>
    </w:p>
    <w:p>
      <w:pPr>
        <w:pStyle w:val="TextBody"/>
        <w:pBdr/>
        <w:bidi w:val="0"/>
        <w:spacing w:before="0" w:after="240"/>
        <w:ind w:left="0" w:right="0" w:hanging="360"/>
        <w:jc w:val="both"/>
        <w:rPr/>
      </w:pPr>
      <w:r>
        <w:rPr/>
        <w:t>​</w:t>
      </w:r>
    </w:p>
    <w:p>
      <w:pPr>
        <w:pStyle w:val="TextBody"/>
        <w:pBdr/>
        <w:bidi w:val="0"/>
        <w:spacing w:before="0" w:after="0"/>
        <w:ind w:left="0" w:right="0" w:hanging="360"/>
        <w:jc w:val="both"/>
        <w:rPr>
          <w:rFonts w:ascii="Times New Roman;Times;serif" w:hAnsi="Times New Roman;Times;serif"/>
          <w:i/>
          <w:sz w:val="20"/>
        </w:rPr>
      </w:pPr>
      <w:r>
        <w:rPr>
          <w:rFonts w:ascii="Times New Roman;Times;serif" w:hAnsi="Times New Roman;Times;serif"/>
          <w:i/>
          <w:sz w:val="20"/>
        </w:rPr>
        <w:t>Total Other Income (Expense), Net</w:t>
      </w:r>
    </w:p>
    <w:p>
      <w:pPr>
        <w:pStyle w:val="TextBody"/>
        <w:pBdr/>
        <w:bidi w:val="0"/>
        <w:spacing w:before="0" w:after="240"/>
        <w:ind w:left="0" w:right="0" w:hanging="36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For the three months ended June 30, 2026, total other income (expense), net was $3.7 million of expense, compared to $3.0 million of income for the three months ended June 30, 2025. The change of $6.6 million is primarily related to an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increase in interest expense of $10.3 million related to our royalty obligation, senior secured term loan and convertible senior notes, partially offset by interest income related to higher cash, cash equivalents and investments balances.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Comparison of the Six Months Ended June 30, 2026 and 2025</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summarizes our results of operations for each of the periods presented (in thousands):</w:t>
      </w:r>
    </w:p>
    <w:p>
      <w:pPr>
        <w:pStyle w:val="TextBody"/>
        <w:bidi w:val="0"/>
        <w:spacing w:before="0" w:after="240"/>
        <w:ind w:left="0" w:right="0" w:hanging="0"/>
        <w:jc w:val="both"/>
        <w:rPr/>
      </w:pPr>
      <w:r>
        <w:rPr/>
        <w:t>​</w:t>
      </w:r>
    </w:p>
    <w:tbl>
      <w:tblPr>
        <w:tblW w:w="8548" w:type="dxa"/>
        <w:jc w:val="left"/>
        <w:tblInd w:w="0" w:type="dxa"/>
        <w:tblLayout w:type="fixed"/>
        <w:tblCellMar>
          <w:top w:w="0" w:type="dxa"/>
          <w:left w:w="0" w:type="dxa"/>
          <w:bottom w:w="0" w:type="dxa"/>
          <w:right w:w="0" w:type="dxa"/>
        </w:tblCellMar>
      </w:tblPr>
      <w:tblGrid>
        <w:gridCol w:w="3901"/>
        <w:gridCol w:w="286"/>
        <w:gridCol w:w="211"/>
        <w:gridCol w:w="901"/>
        <w:gridCol w:w="286"/>
        <w:gridCol w:w="211"/>
        <w:gridCol w:w="796"/>
        <w:gridCol w:w="109"/>
        <w:gridCol w:w="211"/>
        <w:gridCol w:w="1636"/>
      </w:tblGrid>
      <w:tr>
        <w:trPr/>
        <w:tc>
          <w:tcPr>
            <w:tcW w:w="3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477135" cy="175260"/>
                      <wp:effectExtent l="0" t="0" r="0" b="0"/>
                      <wp:wrapNone/>
                      <wp:docPr id="222" name="Frame221"/>
                      <a:graphic xmlns:a="http://schemas.openxmlformats.org/drawingml/2006/main">
                        <a:graphicData uri="http://schemas.microsoft.com/office/word/2010/wordprocessingShape">
                          <wps:wsp>
                            <wps:cNvSpPr txBox="1"/>
                            <wps:spPr>
                              <a:xfrm>
                                <a:off x="0" y="0"/>
                                <a:ext cx="2477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81610" cy="175260"/>
                      <wp:effectExtent l="0" t="0" r="0" b="0"/>
                      <wp:wrapNone/>
                      <wp:docPr id="223" name="Frame222"/>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33985" cy="175260"/>
                      <wp:effectExtent l="0" t="0" r="0" b="0"/>
                      <wp:wrapNone/>
                      <wp:docPr id="224" name="Frame2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572135" cy="175260"/>
                      <wp:effectExtent l="0" t="0" r="0" b="0"/>
                      <wp:wrapNone/>
                      <wp:docPr id="225" name="Frame224"/>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81610" cy="175260"/>
                      <wp:effectExtent l="0" t="0" r="0" b="0"/>
                      <wp:wrapNone/>
                      <wp:docPr id="226" name="Frame225"/>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33985" cy="175260"/>
                      <wp:effectExtent l="0" t="0" r="0" b="0"/>
                      <wp:wrapNone/>
                      <wp:docPr id="227" name="Frame2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505460" cy="175260"/>
                      <wp:effectExtent l="0" t="0" r="0" b="0"/>
                      <wp:wrapNone/>
                      <wp:docPr id="228" name="Frame22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9215" cy="175260"/>
                      <wp:effectExtent l="0" t="0" r="0" b="0"/>
                      <wp:wrapNone/>
                      <wp:docPr id="229" name="Frame2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33985" cy="175260"/>
                      <wp:effectExtent l="0" t="0" r="0" b="0"/>
                      <wp:wrapNone/>
                      <wp:docPr id="230" name="Frame2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038860" cy="175260"/>
                      <wp:effectExtent l="0" t="0" r="0" b="0"/>
                      <wp:wrapNone/>
                      <wp:docPr id="231" name="Frame230"/>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01"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center"/>
              <w:rPr/>
            </w:pPr>
            <w:r>
              <w:rPr/>
              <w:t>​</w:t>
            </w:r>
          </w:p>
        </w:tc>
        <w:tc>
          <w:tcPr>
            <w:tcW w:w="240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Six Months Ended June 30,</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636" w:type="dxa"/>
            <w:tcBorders/>
            <w:vAlign w:val="center"/>
          </w:tcPr>
          <w:p>
            <w:pPr>
              <w:pStyle w:val="TableContents"/>
              <w:bidi w:val="0"/>
              <w:spacing w:before="0" w:after="1"/>
              <w:ind w:left="0" w:right="0" w:hanging="0"/>
              <w:jc w:val="left"/>
              <w:rPr/>
            </w:pPr>
            <w:r>
              <w:rPr/>
              <w:t>​</w:t>
            </w:r>
          </w:p>
        </w:tc>
      </w:tr>
      <w:tr>
        <w:trPr/>
        <w:tc>
          <w:tcPr>
            <w:tcW w:w="3901"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center"/>
              <w:rPr/>
            </w:pPr>
            <w:r>
              <w:rPr/>
              <w:t>​</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286" w:type="dxa"/>
            <w:tcBorders/>
            <w:vAlign w:val="center"/>
          </w:tcPr>
          <w:p>
            <w:pPr>
              <w:pStyle w:val="TableContents"/>
              <w:bidi w:val="0"/>
              <w:spacing w:before="0" w:after="1"/>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6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Increase (Decrease)</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w:t>
            </w:r>
          </w:p>
        </w:tc>
        <w:tc>
          <w:tcPr>
            <w:tcW w:w="28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901" w:type="dxa"/>
            <w:tcBorders/>
            <w:shd w:fill="CCEEFF" w:val="clear"/>
            <w:vAlign w:val="center"/>
          </w:tcPr>
          <w:p>
            <w:pPr>
              <w:pStyle w:val="TableContents"/>
              <w:bidi w:val="0"/>
              <w:spacing w:before="0" w:after="1"/>
              <w:ind w:left="0" w:right="0" w:hanging="0"/>
              <w:jc w:val="center"/>
              <w:rPr/>
            </w:pPr>
            <w:r>
              <w:rPr/>
              <w:t>​</w:t>
            </w:r>
          </w:p>
        </w:tc>
        <w:tc>
          <w:tcPr>
            <w:tcW w:w="28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9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1636" w:type="dxa"/>
            <w:tcBorders/>
            <w:shd w:fill="CCEEFF" w:val="clear"/>
            <w:vAlign w:val="center"/>
          </w:tcPr>
          <w:p>
            <w:pPr>
              <w:pStyle w:val="TableContents"/>
              <w:bidi w:val="0"/>
              <w:spacing w:before="0" w:after="1"/>
              <w:ind w:left="0" w:right="0" w:hanging="0"/>
              <w:jc w:val="center"/>
              <w:rPr/>
            </w:pPr>
            <w:r>
              <w:rPr/>
              <w:t>​</w:t>
            </w:r>
          </w:p>
        </w:tc>
      </w:tr>
      <w:tr>
        <w:trPr/>
        <w:tc>
          <w:tcPr>
            <w:tcW w:w="39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License and collaboration revenue</w:t>
            </w:r>
          </w:p>
        </w:tc>
        <w:tc>
          <w:tcPr>
            <w:tcW w:w="286" w:type="dxa"/>
            <w:tcBorders/>
            <w:vAlign w:val="center"/>
          </w:tcPr>
          <w:p>
            <w:pPr>
              <w:pStyle w:val="TableContents"/>
              <w:bidi w:val="0"/>
              <w:spacing w:before="0" w:after="1"/>
              <w:ind w:left="0" w:right="0" w:hanging="0"/>
              <w:jc w:val="center"/>
              <w:rPr/>
            </w:pPr>
            <w:r>
              <w:rPr/>
              <w:t>  ​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286" w:type="dxa"/>
            <w:tcBorders/>
            <w:vAlign w:val="center"/>
          </w:tcPr>
          <w:p>
            <w:pPr>
              <w:pStyle w:val="TableContents"/>
              <w:bidi w:val="0"/>
              <w:spacing w:before="0" w:after="1"/>
              <w:ind w:left="0" w:right="0" w:hanging="0"/>
              <w:jc w:val="center"/>
              <w:rPr/>
            </w:pPr>
            <w:r>
              <w:rPr/>
              <w:t>  ​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6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(9,000)</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6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(9,000)</w:t>
            </w:r>
          </w:p>
        </w:tc>
      </w:tr>
      <w:tr>
        <w:trPr/>
        <w:tc>
          <w:tcPr>
            <w:tcW w:w="39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636" w:type="dxa"/>
            <w:tcBorders/>
            <w:vAlign w:val="center"/>
          </w:tcPr>
          <w:p>
            <w:pPr>
              <w:pStyle w:val="TableContents"/>
              <w:bidi w:val="0"/>
              <w:spacing w:before="0" w:after="1"/>
              <w:ind w:left="0" w:right="0" w:hanging="0"/>
              <w:jc w:val="right"/>
              <w:rPr/>
            </w:pPr>
            <w:r>
              <w:rPr/>
              <w:t>​</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123,352</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77,942</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6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45,410</w:t>
            </w:r>
          </w:p>
        </w:tc>
      </w:tr>
      <w:tr>
        <w:trPr/>
        <w:tc>
          <w:tcPr>
            <w:tcW w:w="39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32,657</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24,551</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6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8,106</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Acquired in-process research and development</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30,000</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6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30,000</w:t>
            </w:r>
          </w:p>
        </w:tc>
      </w:tr>
      <w:tr>
        <w:trPr/>
        <w:tc>
          <w:tcPr>
            <w:tcW w:w="39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186,009</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102,493</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6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83,516</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(185,009)</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(92,493)</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6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(92,516)</w:t>
            </w:r>
          </w:p>
        </w:tc>
      </w:tr>
      <w:tr>
        <w:trPr/>
        <w:tc>
          <w:tcPr>
            <w:tcW w:w="39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  ​</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  ​</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636" w:type="dxa"/>
            <w:tcBorders/>
            <w:vAlign w:val="center"/>
          </w:tcPr>
          <w:p>
            <w:pPr>
              <w:pStyle w:val="TableContents"/>
              <w:bidi w:val="0"/>
              <w:spacing w:before="0" w:after="1"/>
              <w:ind w:left="0" w:right="0" w:hanging="0"/>
              <w:jc w:val="right"/>
              <w:rPr/>
            </w:pPr>
            <w:r>
              <w:rPr/>
              <w:t>​</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 on royalty obligation</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(13,100)</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6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(13,100)</w:t>
            </w:r>
          </w:p>
        </w:tc>
      </w:tr>
      <w:tr>
        <w:trPr/>
        <w:tc>
          <w:tcPr>
            <w:tcW w:w="39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 on senior secured term loan</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(2,088)</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6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(2,088)</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 on convertible note</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(1,745)</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6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(1,745)</w:t>
            </w:r>
          </w:p>
        </w:tc>
      </w:tr>
      <w:tr>
        <w:trPr/>
        <w:tc>
          <w:tcPr>
            <w:tcW w:w="39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9,621</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6,136</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6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3,485</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(expense) income, net</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376</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6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(384)</w:t>
            </w:r>
          </w:p>
        </w:tc>
      </w:tr>
      <w:tr>
        <w:trPr/>
        <w:tc>
          <w:tcPr>
            <w:tcW w:w="39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income (expense), net</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(7,320)</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6,512</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6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(13,832)</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before income taxes</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(192,329)</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(85,981)</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6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(106,348)</w:t>
            </w:r>
          </w:p>
        </w:tc>
      </w:tr>
      <w:tr>
        <w:trPr/>
        <w:tc>
          <w:tcPr>
            <w:tcW w:w="39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provision (benefit)</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6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(192,443)</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(85,796)</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6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(106,647)</w:t>
            </w:r>
          </w:p>
        </w:tc>
      </w:tr>
    </w:tbl>
    <w:p>
      <w:pPr>
        <w:pStyle w:val="TextBody"/>
        <w:bidi w:val="0"/>
        <w:spacing w:before="0" w:after="240"/>
        <w:ind w:left="0" w:right="0" w:hanging="0"/>
        <w:jc w:val="left"/>
        <w:rPr>
          <w:caps w:val="false"/>
          <w:smallCaps w:val="false"/>
        </w:rPr>
      </w:pPr>
      <w:r>
        <w:rPr>
          <w:caps w:val="false"/>
          <w:smallCaps w:val="false"/>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Revenue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six months ended June 30, 2026, we recognized license and collaboration revenue of $1.0 million, related to the achievement of a development milestone under the Tenacia Agreement. For the six months ended June 30, 2025, we recognized revenue of $10.0 million related to the one-time non-refundable upfront cash payment under the Zai License Agreement that was recognized upon delivery of the license and related technology transfer.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Research and Development Expenses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summarizes our research and development expenses for each of the periods presented (in thousands):</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5441"/>
        <w:gridCol w:w="346"/>
        <w:gridCol w:w="211"/>
        <w:gridCol w:w="781"/>
        <w:gridCol w:w="346"/>
        <w:gridCol w:w="211"/>
        <w:gridCol w:w="676"/>
        <w:gridCol w:w="346"/>
        <w:gridCol w:w="211"/>
        <w:gridCol w:w="1636"/>
      </w:tblGrid>
      <w:tr>
        <w:trPr/>
        <w:tc>
          <w:tcPr>
            <w:tcW w:w="5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3455035" cy="175260"/>
                      <wp:effectExtent l="0" t="0" r="0" b="0"/>
                      <wp:wrapNone/>
                      <wp:docPr id="232" name="Frame231"/>
                      <a:graphic xmlns:a="http://schemas.openxmlformats.org/drawingml/2006/main">
                        <a:graphicData uri="http://schemas.microsoft.com/office/word/2010/wordprocessingShape">
                          <wps:wsp>
                            <wps:cNvSpPr txBox="1"/>
                            <wps:spPr>
                              <a:xfrm>
                                <a:off x="0" y="0"/>
                                <a:ext cx="3455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19710" cy="175260"/>
                      <wp:effectExtent l="0" t="0" r="0" b="0"/>
                      <wp:wrapNone/>
                      <wp:docPr id="233" name="Frame2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33985" cy="175260"/>
                      <wp:effectExtent l="0" t="0" r="0" b="0"/>
                      <wp:wrapNone/>
                      <wp:docPr id="234" name="Frame2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495935" cy="175260"/>
                      <wp:effectExtent l="0" t="0" r="0" b="0"/>
                      <wp:wrapNone/>
                      <wp:docPr id="235" name="Frame23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19710" cy="175260"/>
                      <wp:effectExtent l="0" t="0" r="0" b="0"/>
                      <wp:wrapNone/>
                      <wp:docPr id="236" name="Frame2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33985" cy="175260"/>
                      <wp:effectExtent l="0" t="0" r="0" b="0"/>
                      <wp:wrapNone/>
                      <wp:docPr id="237" name="Frame2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429260" cy="175260"/>
                      <wp:effectExtent l="0" t="0" r="0" b="0"/>
                      <wp:wrapNone/>
                      <wp:docPr id="238" name="Frame23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19710" cy="175260"/>
                      <wp:effectExtent l="0" t="0" r="0" b="0"/>
                      <wp:wrapNone/>
                      <wp:docPr id="239" name="Frame2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33985" cy="175260"/>
                      <wp:effectExtent l="0" t="0" r="0" b="0"/>
                      <wp:wrapNone/>
                      <wp:docPr id="240" name="Frame2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038860" cy="175260"/>
                      <wp:effectExtent l="0" t="0" r="0" b="0"/>
                      <wp:wrapNone/>
                      <wp:docPr id="241" name="Frame240"/>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4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571" w:type="dxa"/>
            <w:gridSpan w:val="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Six Months Ended June 30,</w:t>
            </w:r>
          </w:p>
        </w:tc>
        <w:tc>
          <w:tcPr>
            <w:tcW w:w="211" w:type="dxa"/>
            <w:tcBorders/>
            <w:vAlign w:val="center"/>
          </w:tcPr>
          <w:p>
            <w:pPr>
              <w:pStyle w:val="TableContents"/>
              <w:bidi w:val="0"/>
              <w:spacing w:before="0" w:after="1"/>
              <w:ind w:left="0" w:right="0" w:hanging="0"/>
              <w:jc w:val="center"/>
              <w:rPr/>
            </w:pPr>
            <w:r>
              <w:rPr/>
              <w:t>​</w:t>
            </w:r>
          </w:p>
        </w:tc>
        <w:tc>
          <w:tcPr>
            <w:tcW w:w="1636" w:type="dxa"/>
            <w:tcBorders/>
            <w:vAlign w:val="center"/>
          </w:tcPr>
          <w:p>
            <w:pPr>
              <w:pStyle w:val="TableContents"/>
              <w:bidi w:val="0"/>
              <w:spacing w:before="0" w:after="1"/>
              <w:ind w:left="0" w:right="0" w:hanging="0"/>
              <w:jc w:val="left"/>
              <w:rPr/>
            </w:pPr>
            <w:r>
              <w:rPr/>
              <w:t>​</w:t>
            </w:r>
          </w:p>
        </w:tc>
      </w:tr>
      <w:tr>
        <w:trPr/>
        <w:tc>
          <w:tcPr>
            <w:tcW w:w="54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1"/>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6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Increase (Decrease)</w:t>
            </w:r>
          </w:p>
        </w:tc>
      </w:tr>
      <w:tr>
        <w:trPr/>
        <w:tc>
          <w:tcPr>
            <w:tcW w:w="5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Direct research and development expenses by program:</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636" w:type="dxa"/>
            <w:tcBorders/>
            <w:shd w:fill="CCEEFF" w:val="clear"/>
            <w:vAlign w:val="center"/>
          </w:tcPr>
          <w:p>
            <w:pPr>
              <w:pStyle w:val="TableContents"/>
              <w:bidi w:val="0"/>
              <w:spacing w:before="0" w:after="1"/>
              <w:ind w:left="0" w:right="0" w:hanging="0"/>
              <w:jc w:val="left"/>
              <w:rPr/>
            </w:pPr>
            <w:r>
              <w:rPr/>
              <w:t>​</w:t>
            </w:r>
          </w:p>
        </w:tc>
      </w:tr>
      <w:tr>
        <w:trPr/>
        <w:tc>
          <w:tcPr>
            <w:tcW w:w="5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Obexelimab</w:t>
            </w:r>
          </w:p>
        </w:tc>
        <w:tc>
          <w:tcPr>
            <w:tcW w:w="346" w:type="dxa"/>
            <w:tcBorders/>
            <w:vAlign w:val="center"/>
          </w:tcPr>
          <w:p>
            <w:pPr>
              <w:pStyle w:val="TableContents"/>
              <w:bidi w:val="0"/>
              <w:spacing w:before="0" w:after="1"/>
              <w:ind w:left="0" w:right="0" w:hanging="0"/>
              <w:jc w:val="left"/>
              <w:rPr/>
            </w:pPr>
            <w:r>
              <w:rPr/>
              <w:t>  ​ ​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61,154</w:t>
            </w:r>
          </w:p>
        </w:tc>
        <w:tc>
          <w:tcPr>
            <w:tcW w:w="346" w:type="dxa"/>
            <w:tcBorders/>
            <w:vAlign w:val="center"/>
          </w:tcPr>
          <w:p>
            <w:pPr>
              <w:pStyle w:val="TableContents"/>
              <w:bidi w:val="0"/>
              <w:spacing w:before="0" w:after="1"/>
              <w:ind w:left="0" w:right="0" w:hanging="0"/>
              <w:jc w:val="left"/>
              <w:rPr/>
            </w:pPr>
            <w:r>
              <w:rPr/>
              <w:t>  ​ ​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53,254</w:t>
            </w:r>
          </w:p>
        </w:tc>
        <w:tc>
          <w:tcPr>
            <w:tcW w:w="346" w:type="dxa"/>
            <w:tcBorders/>
            <w:vAlign w:val="center"/>
          </w:tcPr>
          <w:p>
            <w:pPr>
              <w:pStyle w:val="TableContents"/>
              <w:bidi w:val="0"/>
              <w:spacing w:before="0" w:after="1"/>
              <w:ind w:left="0" w:right="0" w:hanging="0"/>
              <w:jc w:val="left"/>
              <w:rPr/>
            </w:pPr>
            <w:r>
              <w:rPr/>
              <w:t>  ​ ​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6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7,900</w:t>
            </w:r>
          </w:p>
        </w:tc>
      </w:tr>
      <w:tr>
        <w:trPr/>
        <w:tc>
          <w:tcPr>
            <w:tcW w:w="5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Orelabrutinib</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21,307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6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21,307</w:t>
            </w:r>
          </w:p>
        </w:tc>
      </w:tr>
      <w:tr>
        <w:trPr/>
        <w:tc>
          <w:tcPr>
            <w:tcW w:w="5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programs (ZB002, ZB004, ZB014, ZB021 &amp; ZB022)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6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1,290</w:t>
            </w:r>
          </w:p>
        </w:tc>
      </w:tr>
      <w:tr>
        <w:trPr/>
        <w:tc>
          <w:tcPr>
            <w:tcW w:w="5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Partnered regional programs (ZB001 &amp; ZB005)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6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5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Unallocated research and development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636" w:type="dxa"/>
            <w:tcBorders/>
            <w:vAlign w:val="center"/>
          </w:tcPr>
          <w:p>
            <w:pPr>
              <w:pStyle w:val="TableContents"/>
              <w:bidi w:val="0"/>
              <w:spacing w:before="0" w:after="1"/>
              <w:ind w:left="0" w:right="0" w:hanging="0"/>
              <w:jc w:val="right"/>
              <w:rPr/>
            </w:pPr>
            <w:r>
              <w:rPr/>
              <w:t>​</w:t>
            </w:r>
          </w:p>
        </w:tc>
      </w:tr>
      <w:tr>
        <w:trPr/>
        <w:tc>
          <w:tcPr>
            <w:tcW w:w="5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Personnel related expenses (including stock-based compensation)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35,040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23,081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6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11,959</w:t>
            </w:r>
          </w:p>
        </w:tc>
      </w:tr>
      <w:tr>
        <w:trPr/>
        <w:tc>
          <w:tcPr>
            <w:tcW w:w="5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3,849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6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2,941</w:t>
            </w:r>
          </w:p>
        </w:tc>
      </w:tr>
      <w:tr>
        <w:trPr/>
        <w:tc>
          <w:tcPr>
            <w:tcW w:w="5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research and development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123,352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77,942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63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45,410</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Research and development expenses were $123.4 million for the six months ended June 30, 2026, compared to $78.0 million for the six months ended June 30, 2025. The increase of $45.4 million was primarily attributable to the following:</w:t>
      </w:r>
    </w:p>
    <w:p>
      <w:pPr>
        <w:pStyle w:val="TextBody"/>
        <w:bidi w:val="0"/>
        <w:spacing w:before="0" w:after="24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$7.9 million increase in costs related to the development of obexelimab, our lead product candidate, driven by a $4.2 million increase in clinical trial, development and regulatory costs and a $3.7 million increase in manufacturing costs for clinical trial materials;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$21.3 million increase in costs related to the development of orelabrutinib, driven by clinical trial and regulatory costs; and</w:t>
            </w:r>
          </w:p>
        </w:tc>
      </w:tr>
    </w:tbl>
    <w:p>
      <w:pPr>
        <w:pStyle w:val="TextBody"/>
        <w:bidi w:val="0"/>
        <w:spacing w:before="0" w:after="0"/>
        <w:ind w:left="72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$12.0 million increase in personnel costs, including a $8.2 million increase in salary and benefit related expense, due to an increase in headcount, a $3.3 million increase in stock-based compensation expense, and a $0.5 million increase in external contractor expenses and other personnel costs.</w:t>
            </w:r>
          </w:p>
        </w:tc>
      </w:tr>
    </w:tbl>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pBdr/>
        <w:bidi w:val="0"/>
        <w:spacing w:before="0" w:after="0"/>
        <w:ind w:left="0" w:right="0" w:hanging="360"/>
        <w:jc w:val="both"/>
        <w:rPr>
          <w:rFonts w:ascii="Times New Roman;Times;serif" w:hAnsi="Times New Roman;Times;serif"/>
          <w:sz w:val="20"/>
        </w:rPr>
      </w:pPr>
      <w:r>
        <w:rPr>
          <w:rFonts w:ascii="Times New Roman;Times;serif" w:hAnsi="Times New Roman;Times;serif"/>
          <w:sz w:val="20"/>
        </w:rPr>
        <w:t>The following table summarizes our general and administrative expenses for each of the periods presented (in thousands):</w:t>
      </w:r>
    </w:p>
    <w:p>
      <w:pPr>
        <w:pStyle w:val="TextBody"/>
        <w:bidi w:val="0"/>
        <w:spacing w:before="0" w:after="240"/>
        <w:ind w:left="0" w:right="0" w:hanging="0"/>
        <w:jc w:val="both"/>
        <w:rPr/>
      </w:pPr>
      <w:r>
        <w:rPr/>
        <w:t>​</w:t>
      </w:r>
    </w:p>
    <w:tbl>
      <w:tblPr>
        <w:tblW w:w="10202" w:type="dxa"/>
        <w:jc w:val="left"/>
        <w:tblInd w:w="0" w:type="dxa"/>
        <w:tblLayout w:type="fixed"/>
        <w:tblCellMar>
          <w:top w:w="0" w:type="dxa"/>
          <w:left w:w="0" w:type="dxa"/>
          <w:bottom w:w="0" w:type="dxa"/>
          <w:right w:w="0" w:type="dxa"/>
        </w:tblCellMar>
      </w:tblPr>
      <w:tblGrid>
        <w:gridCol w:w="5446"/>
        <w:gridCol w:w="346"/>
        <w:gridCol w:w="225"/>
        <w:gridCol w:w="692"/>
        <w:gridCol w:w="398"/>
        <w:gridCol w:w="225"/>
        <w:gridCol w:w="692"/>
        <w:gridCol w:w="346"/>
        <w:gridCol w:w="196"/>
        <w:gridCol w:w="1636"/>
      </w:tblGrid>
      <w:tr>
        <w:trPr/>
        <w:tc>
          <w:tcPr>
            <w:tcW w:w="5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3458210" cy="175260"/>
                      <wp:effectExtent l="0" t="0" r="0" b="0"/>
                      <wp:wrapNone/>
                      <wp:docPr id="242" name="Frame241"/>
                      <a:graphic xmlns:a="http://schemas.openxmlformats.org/drawingml/2006/main">
                        <a:graphicData uri="http://schemas.microsoft.com/office/word/2010/wordprocessingShape">
                          <wps:wsp>
                            <wps:cNvSpPr txBox="1"/>
                            <wps:spPr>
                              <a:xfrm>
                                <a:off x="0" y="0"/>
                                <a:ext cx="3458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19710" cy="175260"/>
                      <wp:effectExtent l="0" t="0" r="0" b="0"/>
                      <wp:wrapNone/>
                      <wp:docPr id="243" name="Frame2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42875" cy="175260"/>
                      <wp:effectExtent l="0" t="0" r="0" b="0"/>
                      <wp:wrapNone/>
                      <wp:docPr id="244" name="Frame243"/>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439420" cy="175260"/>
                      <wp:effectExtent l="0" t="0" r="0" b="0"/>
                      <wp:wrapNone/>
                      <wp:docPr id="245" name="Frame244"/>
                      <a:graphic xmlns:a="http://schemas.openxmlformats.org/drawingml/2006/main">
                        <a:graphicData uri="http://schemas.microsoft.com/office/word/2010/wordprocessingShape">
                          <wps:wsp>
                            <wps:cNvSpPr txBox="1"/>
                            <wps:spPr>
                              <a:xfrm>
                                <a:off x="0" y="0"/>
                                <a:ext cx="439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52730" cy="175260"/>
                      <wp:effectExtent l="0" t="0" r="0" b="0"/>
                      <wp:wrapNone/>
                      <wp:docPr id="246" name="Frame245"/>
                      <a:graphic xmlns:a="http://schemas.openxmlformats.org/drawingml/2006/main">
                        <a:graphicData uri="http://schemas.microsoft.com/office/word/2010/wordprocessingShape">
                          <wps:wsp>
                            <wps:cNvSpPr txBox="1"/>
                            <wps:spPr>
                              <a:xfrm>
                                <a:off x="0" y="0"/>
                                <a:ext cx="252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42875" cy="175260"/>
                      <wp:effectExtent l="0" t="0" r="0" b="0"/>
                      <wp:wrapNone/>
                      <wp:docPr id="247" name="Frame246"/>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439420" cy="175260"/>
                      <wp:effectExtent l="0" t="0" r="0" b="0"/>
                      <wp:wrapNone/>
                      <wp:docPr id="248" name="Frame247"/>
                      <a:graphic xmlns:a="http://schemas.openxmlformats.org/drawingml/2006/main">
                        <a:graphicData uri="http://schemas.microsoft.com/office/word/2010/wordprocessingShape">
                          <wps:wsp>
                            <wps:cNvSpPr txBox="1"/>
                            <wps:spPr>
                              <a:xfrm>
                                <a:off x="0" y="0"/>
                                <a:ext cx="439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19710" cy="175260"/>
                      <wp:effectExtent l="0" t="0" r="0" b="0"/>
                      <wp:wrapNone/>
                      <wp:docPr id="249" name="Frame2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24460" cy="175260"/>
                      <wp:effectExtent l="0" t="0" r="0" b="0"/>
                      <wp:wrapNone/>
                      <wp:docPr id="250" name="Frame24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038860" cy="175260"/>
                      <wp:effectExtent l="0" t="0" r="0" b="0"/>
                      <wp:wrapNone/>
                      <wp:docPr id="251" name="Frame250"/>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4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23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Six Months Ended June 30,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1636" w:type="dxa"/>
            <w:tcBorders/>
            <w:vAlign w:val="center"/>
          </w:tcPr>
          <w:p>
            <w:pPr>
              <w:pStyle w:val="TableContents"/>
              <w:bidi w:val="0"/>
              <w:spacing w:before="0" w:after="1"/>
              <w:ind w:left="0" w:right="0" w:hanging="0"/>
              <w:jc w:val="left"/>
              <w:rPr/>
            </w:pPr>
            <w:r>
              <w:rPr/>
              <w:t>​</w:t>
            </w:r>
          </w:p>
        </w:tc>
      </w:tr>
      <w:tr>
        <w:trPr/>
        <w:tc>
          <w:tcPr>
            <w:tcW w:w="54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98" w:type="dxa"/>
            <w:tcBorders/>
            <w:vAlign w:val="center"/>
          </w:tcPr>
          <w:p>
            <w:pPr>
              <w:pStyle w:val="TableContents"/>
              <w:bidi w:val="0"/>
              <w:spacing w:before="0" w:after="1"/>
              <w:ind w:left="0" w:right="0" w:hanging="0"/>
              <w:jc w:val="center"/>
              <w:rPr/>
            </w:pPr>
            <w:r>
              <w:rPr/>
              <w:t>​</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16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Increase (Decrease)</w:t>
            </w:r>
          </w:p>
        </w:tc>
      </w:tr>
      <w:tr>
        <w:trPr/>
        <w:tc>
          <w:tcPr>
            <w:tcW w:w="54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Personnel related expenses (including stock-based compensation)</w:t>
            </w:r>
          </w:p>
        </w:tc>
        <w:tc>
          <w:tcPr>
            <w:tcW w:w="346" w:type="dxa"/>
            <w:tcBorders/>
            <w:shd w:fill="CCEEFF" w:val="clear"/>
            <w:vAlign w:val="center"/>
          </w:tcPr>
          <w:p>
            <w:pPr>
              <w:pStyle w:val="TableContents"/>
              <w:bidi w:val="0"/>
              <w:spacing w:before="0" w:after="1"/>
              <w:ind w:left="0" w:right="0" w:hanging="0"/>
              <w:jc w:val="center"/>
              <w:rPr/>
            </w:pPr>
            <w:r>
              <w:rPr/>
              <w:t>  ​ ​ ​</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23,413</w:t>
            </w:r>
          </w:p>
        </w:tc>
        <w:tc>
          <w:tcPr>
            <w:tcW w:w="398" w:type="dxa"/>
            <w:tcBorders/>
            <w:shd w:fill="CCEEFF" w:val="clear"/>
            <w:vAlign w:val="center"/>
          </w:tcPr>
          <w:p>
            <w:pPr>
              <w:pStyle w:val="TableContents"/>
              <w:bidi w:val="0"/>
              <w:spacing w:before="0" w:after="1"/>
              <w:ind w:left="0" w:right="0" w:hanging="0"/>
              <w:jc w:val="center"/>
              <w:rPr/>
            </w:pPr>
            <w:r>
              <w:rPr/>
              <w:t>  ​ ​ ​</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17,216</w:t>
            </w:r>
          </w:p>
        </w:tc>
        <w:tc>
          <w:tcPr>
            <w:tcW w:w="346" w:type="dxa"/>
            <w:tcBorders/>
            <w:shd w:fill="CCEEFF" w:val="clear"/>
            <w:vAlign w:val="center"/>
          </w:tcPr>
          <w:p>
            <w:pPr>
              <w:pStyle w:val="TableContents"/>
              <w:bidi w:val="0"/>
              <w:spacing w:before="0" w:after="1"/>
              <w:ind w:left="0" w:right="0" w:hanging="0"/>
              <w:jc w:val="center"/>
              <w:rPr/>
            </w:pPr>
            <w:r>
              <w:rPr/>
              <w:t>  ​ ​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6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6,197</w:t>
            </w:r>
          </w:p>
        </w:tc>
      </w:tr>
      <w:tr>
        <w:trPr/>
        <w:tc>
          <w:tcPr>
            <w:tcW w:w="54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Legal and professional fees</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69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8,140</w:t>
            </w:r>
          </w:p>
        </w:tc>
        <w:tc>
          <w:tcPr>
            <w:tcW w:w="398"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69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4,226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6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3,914</w:t>
            </w:r>
          </w:p>
        </w:tc>
      </w:tr>
      <w:tr>
        <w:trPr/>
        <w:tc>
          <w:tcPr>
            <w:tcW w:w="54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Facilities and other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6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1,104</w:t>
            </w:r>
          </w:p>
        </w:tc>
        <w:tc>
          <w:tcPr>
            <w:tcW w:w="398"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6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3,109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6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(2,005)</w:t>
            </w:r>
          </w:p>
        </w:tc>
      </w:tr>
      <w:tr>
        <w:trPr/>
        <w:tc>
          <w:tcPr>
            <w:tcW w:w="54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general and administrative expenses</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32,657</w:t>
            </w:r>
          </w:p>
        </w:tc>
        <w:tc>
          <w:tcPr>
            <w:tcW w:w="398"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24,551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63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8,106</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General and administrative expenses were $32.7 million for the six months ended June 30, 2026, compared to $24.6 million for the six months ended June 30, 2025. The increase of $8.1 million was primarily attributable to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$6.2 million increase in personnel costs, including a $3.4 million increase in salary and benefit related expense, primarily due to an increase in headcount to support pre-commercialization efforts, a $3.1 million increase in stock-based compensation expense, and a $0.1 million increase in external contractor expenses and other personnel costs, offset by a $0.4 million decrease in recruiting expense; and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$3.9 million increase in legal and professional fees, including consulting, pre-commercialization efforts, audit and tax expenses, primarily attributable to company growth and continued operations as a public company.</w:t>
            </w:r>
          </w:p>
        </w:tc>
      </w:tr>
    </w:tbl>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Acquired In-Process Research and Development Expenses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the six months ended June 30, 2026, acquired IPR&amp;D expenses were $30.0 million, which included $10.0 million, related to the achievement of a milestone under the Xencor Agreement and related to the completion of the FDA marketing authorization submission for obexelimab and $20.0 million, related to the achievement of a Regulatory Milestone under the InnoCare Agreement.  The Company did not recognize any acquired IPR&amp;D expenses for the six months ended June 30, 2025.</w:t>
      </w:r>
    </w:p>
    <w:p>
      <w:pPr>
        <w:pStyle w:val="TextBody"/>
        <w:pBdr/>
        <w:bidi w:val="0"/>
        <w:spacing w:before="0" w:after="240"/>
        <w:ind w:left="0" w:right="0" w:hanging="360"/>
        <w:jc w:val="both"/>
        <w:rPr/>
      </w:pPr>
      <w:r>
        <w:rPr/>
        <w:t>​</w:t>
      </w:r>
    </w:p>
    <w:p>
      <w:pPr>
        <w:pStyle w:val="TextBody"/>
        <w:pBdr/>
        <w:bidi w:val="0"/>
        <w:spacing w:before="0" w:after="0"/>
        <w:ind w:left="0" w:right="0" w:hanging="360"/>
        <w:jc w:val="both"/>
        <w:rPr>
          <w:rFonts w:ascii="Times New Roman;Times;serif" w:hAnsi="Times New Roman;Times;serif"/>
          <w:i/>
          <w:sz w:val="20"/>
        </w:rPr>
      </w:pPr>
      <w:r>
        <w:rPr>
          <w:rFonts w:ascii="Times New Roman;Times;serif" w:hAnsi="Times New Roman;Times;serif"/>
          <w:i/>
          <w:sz w:val="20"/>
        </w:rPr>
        <w:t>Total Other Income (Expense), Net</w:t>
      </w:r>
    </w:p>
    <w:p>
      <w:pPr>
        <w:pStyle w:val="TextBody"/>
        <w:pBdr/>
        <w:bidi w:val="0"/>
        <w:spacing w:before="0" w:after="240"/>
        <w:ind w:left="0" w:right="0" w:hanging="36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six months ended June 30, 2026, total other income (expense), net was $7.3 million of expense, compared to $6.5 million of income for the six months ended June 30, 2025. The change of $13.8 million is primarily related to an increase in interest expense of $16.9 million related to our royalty obligation, senior secured term loan and convertible senior notes, partially offset by interest income related to higher cash, cash equivalents and investments balances.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Overview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incurred significant operating losses since inception. We have not yet commercialized any product candidates, and we do not expect to generate revenue from sales of any product candidates or from other sources until 2027 at the earliest, if at all. As of June 30, 2026, we had $673.9 million in cash, cash equivalents, and investments and we had an accumulated deficit of $957.6 million. Through June 30, 2026, we have funded our operations primarily with gross proceeds of $358.0 million through the sale and issuance of preferred stock and convertible notes, net proceeds from the sale of common stock of $234.3 million after deducting underwriting discounts, commissions and other offering costs from our IPO, $111.8 million, after deducting placement fees and other offering costs from our PIPE offering, $100.1 million, after deducting commissions and other offering costs from our 2025 ATM Program, $330.4 million, after deducting commissions and issuance costs from our current convertible notes and equity offering inclusive of the underwriters’ exercise of the overallotment option in full, as well as $65.0 million from our BMS Agreement, Tenacia Agreement and Zai License Agreement, collectively, $71.3 million after deducting issuance cost, from our Royalty Purchase Agreement and $72.0 million from the first tranche under our debt arrangement with Pharmakon after deducting discounts and issuance costs.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Future Funding Requirements: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expect that our available cash, cash equivalents and investments, as of June 30, 2026, will be sufficient to fund our capital and operating expenditures for at least the next twelve months from the date of the issuance of this Quarterly Report on Form 10-Q. We estimate that our existing cash, cash equivalents and investments will be sufficient to fund our projected operations and capital expenditure requirements into 2029. Assuming receipt of the potential $75 million milestone payment from Royalty Pharma combined with the potential $75 million from the senior secured term loan with Pharmakon associated with achieving FDA marketing approval of obexelimab for IgG4-RD, we expect that our cash, cash equivalents and investments will fund our operating expenses and capital expenditure requirements at least through the second quarter of 2029.</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Our primary uses of capital are, and we expect to continue to be, third-party clinical research and development services, manufacturing costs, pre-commercialization expenses, compensation and related expenses, legal and other regulatory expenses and general overhead costs. We have based our estimates on assumptions that may prove to be incorrect, and we could use our capital resources sooner than we currently expect.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Additionally, the process of testing drug candidates in clinical trials is costly, and the timing of progress in these trials is uncertain. We cannot estimate the actual amounts necessary to successfully complete the development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commercialization of our product candidates or whether, or when, we may achieve profitability. Our future funding requirements will depend on, and could increase significantly as a result of, many factors,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timing, progress results and costs of our ongoing clinical studies and other research and development activities associated with the development of our other and future product candidates;</w:t>
            </w:r>
          </w:p>
        </w:tc>
      </w:tr>
    </w:tbl>
    <w:tbl>
      <w:tblPr>
        <w:tblW w:w="6501" w:type="dxa"/>
        <w:jc w:val="left"/>
        <w:tblInd w:w="0" w:type="dxa"/>
        <w:tblLayout w:type="fixed"/>
        <w:tblCellMar>
          <w:top w:w="28" w:type="dxa"/>
          <w:left w:w="28" w:type="dxa"/>
          <w:bottom w:w="28" w:type="dxa"/>
          <w:right w:w="28" w:type="dxa"/>
        </w:tblCellMar>
      </w:tblPr>
      <w:tblGrid>
        <w:gridCol w:w="124"/>
        <w:gridCol w:w="256"/>
        <w:gridCol w:w="6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timing and outcome of regulatory review of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future activities, including product sales, medical affairs, marketing, manufacturing, and distribution, for any product candidates for which we receive marketing approval;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establishing and maintaining arrangements with third-party manufacturers for the commercial supply of products that receive marketing approval, if 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and timing of manufacturing for obexelimab, orelabrutinib and other product candidates, including commercial manufacturing at sufficient scale, if any product candidate is approved, including as a result of inflation, any supply chain issues or component shortages;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revenue, if any, received from commercial sale of our products, should any product candidates receive marketing approval;</w:t>
            </w:r>
          </w:p>
        </w:tc>
      </w:tr>
    </w:tbl>
    <w:tbl>
      <w:tblPr>
        <w:tblW w:w="7311" w:type="dxa"/>
        <w:jc w:val="left"/>
        <w:tblInd w:w="0" w:type="dxa"/>
        <w:tblLayout w:type="fixed"/>
        <w:tblCellMar>
          <w:top w:w="28" w:type="dxa"/>
          <w:left w:w="28" w:type="dxa"/>
          <w:bottom w:w="28" w:type="dxa"/>
          <w:right w:w="28" w:type="dxa"/>
        </w:tblCellMar>
      </w:tblPr>
      <w:tblGrid>
        <w:gridCol w:w="124"/>
        <w:gridCol w:w="256"/>
        <w:gridCol w:w="69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cash requirements of any future acquisitions or discovery of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and timing of attracting, hiring and retaining skilled personnel to support our operations and continued growth;</w:t>
            </w:r>
          </w:p>
        </w:tc>
      </w:tr>
    </w:tbl>
    <w:tbl>
      <w:tblPr>
        <w:tblW w:w="6501" w:type="dxa"/>
        <w:jc w:val="left"/>
        <w:tblInd w:w="0" w:type="dxa"/>
        <w:tblLayout w:type="fixed"/>
        <w:tblCellMar>
          <w:top w:w="28" w:type="dxa"/>
          <w:left w:w="28" w:type="dxa"/>
          <w:bottom w:w="28" w:type="dxa"/>
          <w:right w:w="28" w:type="dxa"/>
        </w:tblCellMar>
      </w:tblPr>
      <w:tblGrid>
        <w:gridCol w:w="124"/>
        <w:gridCol w:w="256"/>
        <w:gridCol w:w="6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implementing operational, financial and management systems;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preparing, filing and prosecuting patent applications, maintaining and enforcing our intellectual property rights and defending intellectual property-related claims;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and maintain collaborations, strategic partnerships or marketing, distribution, licensing or other strategic arrangements with third parties on favorable terms, if at all;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achieve sufficient market acceptance, coverage and adequate reimbursement from third-party payors and adequate market share and revenue for any approved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receipt and amount of sales of, or milestone payments related to or royalties on, current or future product candidates, if any;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associated with operating as a public company, including legal, accounting or other expenses in operating our business.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change in the outcome of any of these or other variables with respect to the development of obexelimab, orelabrutinib or any other product candidate could significantly change the costs and timing associated with our operating plans. Further, our operating plans may change in the future, and we may need additional funds to meet operational needs and capital requirements associated with such operating plans.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have no products approved for commercial sale and have not generated any revenues from product sales to date. Until such time, if ever, as we can generate substantial product revenues, we expect to finance our cash needs through a combination of equity offerings, debt financing and additional funding from licenses, strategic alliances and collaboration arrangements. Except for any obligations of our collaborators to reimburse us for research and development expenses 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make milestone or royalty payments under our agreements with them, we will not have any committed external source of liquidity.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incurred losses and cumulative negative cash flows from operations since our inception. We anticipate that we will continue to incur significant losses for at least the next several years. We expect our research and development, and general and administrative expenses will continue to increase. As a result, we will need additional capital to fund our operations, which we may raise through a combination of the sale of our equity, debt financings, or other sources, including potential collaborations. To the extent that we raise capital through the future sale of equity or convertible debt securities, the ownership interest of our stockholders will be diluted, and the terms of these securities may include liquidation or other preferences that adversely affect the rights of our existing common stockholders. If we enter into debt financing arrangements, if available, they may involve restrictive covenants that limit our ability to take specific actions, such as incurring additional debt, making capital expenditures or declaring dividends, which could adversely impact our ability to conduct our business.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we raise additional funds through licenses, strategic alliances or collaboration arrangements in the future, we may have to relinquish valuable rights to our technologies, future revenue streams or drug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drug candidates that we would otherwise prefer to develop and market ourselves.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Senior Secured Term Loan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March 2026, the Company entered into the Loan Agreement with </w:t>
      </w:r>
      <w:r>
        <w:rPr>
          <w:rFonts w:ascii="Times New Roman;Times;serif" w:hAnsi="Times New Roman;Times;serif"/>
          <w:spacing w:val="4"/>
          <w:sz w:val="20"/>
        </w:rPr>
        <w:t>the Collateral Agent, BPCR Limited Partnership and BioPharma Credit Investments V (Master) LP,</w:t>
      </w:r>
      <w:r>
        <w:rPr>
          <w:rFonts w:ascii="Times New Roman;Times;serif" w:hAnsi="Times New Roman;Times;serif"/>
          <w:sz w:val="20"/>
        </w:rPr>
        <w:t xml:space="preserve"> </w:t>
      </w:r>
      <w:r>
        <w:rPr>
          <w:rFonts w:ascii="Times New Roman;Times;serif" w:hAnsi="Times New Roman;Times;serif"/>
          <w:spacing w:val="4"/>
          <w:sz w:val="20"/>
        </w:rPr>
        <w:t>which are funds managed by</w:t>
      </w:r>
      <w:r>
        <w:rPr>
          <w:rFonts w:ascii="Times New Roman;Times;serif" w:hAnsi="Times New Roman;Times;serif"/>
          <w:sz w:val="20"/>
        </w:rPr>
        <w:t xml:space="preserve"> Pharmakon and the guarantors party thereto. The Loan Agreement provides for up to a $250.0 million Term Loan that matures on March 27, 2031 and consists of five tranches including (1) a Tranche A Loan of $75.0 million drawn March 27, 2026, (2) a Tranche B Loan of $50.0 million which will be required to be drawn (and up to an additional $25.0 million that the Company may elect to draw) by no later than November 1, 2027, subject to the occurrence of the Tranche B/C Approval Condition, (3) a Tranche C Loan of $25.0 million (less any amounts elected to be (and actually) drawn under the Tranche B Loan in excess of $50.0 million) which will be available at the Company’s election, subject to the occurrence of the Tranche B/C Approval Condition, no later than April 28, 2028, (4) a Tranche D Loan of $50.0 million which will be available at the Company’s election no later than October 30, 2028, subject to the occurrence of the Tranche B/C Approval Condition and achievement of certain milestones in respect of certain net sales levels and (5) a Tranche E Loan of $50.0 million which will be available at the Company’s election no later than April 30, 2029, subject to the occurrence of the Tranche B/C Approval Condition and achievement of certain milestones in respect of net sales levels. We received net proceeds of $73.0 million from the draw of the Tranche A Loan after deducting the 2.00% funding fee. As of June 30, 2026, we are in compliance with all covenants under the Loan Agreement.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Term Loan bears interest at a rate based upon an annual interest rate of 3-month secured overnight financing rate (subject to a 3.25% floor) plus 5.75% payable quarterly in arrears; provided that the Company may elect for 100% of the interest for the first 24 months following the Tranche A Loan funding date may be paid-in-kind without an increase in the interest rate.</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required to pay a funding fee equal to (i) 2.00% of $50,000,000 of the funding amount of the Tranche B Loan on the funding date for such loan, (ii) 1.00% of any amounts in excess of $50,000,000 of the funding amount for the Tranche B Loan on the funding date for such loan, and (iii) 1.00% of each of the funding amount of the Tranche C Loan, Tranche D Loan, and Tranche E Loan on each respective funding date.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may elect to prepay the Term Loans in whole or, subject to certain conditions, in part prior to the Term Loan Maturity Date with such prepayments being subject to certain prepayment, make-whole and exit fees. The Term Loans are subject to certain mandatory prepayments, including a repayment in full of all term loans in four equal payments commencing on September 30, 2028 to the extent the Tranche B/C Approval Condition is not met on or prior to June 30, 2028.</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Loan Agreement contains customary affirmative and restrictive covenants, representations and warranties and events of default. We and our subsidiaries are bound by certain affirmative covenants setting forth actions that are required during the term of the Loan Agreement, including, without limitation, certain information delivery requirements (including that consolidated financial statements delivered for and after the fiscal year ending December 31, 2026 are not subject to any qualification as to “going concern” or “scope of audit”), obligations to maintain certain insurance, and certain notice requirements. The Loan Agreement contains customary financial covenants, including (i) at all times prior to the satisfaction of the Tranche B/C Approval Condition, a minimum liquidity requirement and (ii) subject to the outstanding aggregate principal amount of Term Loans advanced under the Loan Agreement being equal to or greater than $200.0 million, a minimum trailing twelve months consolidated net revenue covenant. Additionally, we and our subsidiaries are bound by certain restrictive covenants setting forth actions that are not permitted to be taken during the term of the Loan Agreement, including, without limitation, (i) selling or disposing of assets, (ii) amending, modifying or waiving our rights under material agreements, (iii) consummating change in control transactions unless all amounts becoming due under the Loan Agreement are paid in full immediately upon (and concurrent with) the consummation of any such change in control transaction, (iv) incurring additional indebtedness, (v) incurring non-permitted liens or encumbrances on our or our subsidiaries’ assets, (vi) paying dividends or making any distribution or payment on or redeeming, retiring or purchasing any equity interests, (vii) making payments on subordinated indebtedness and (viii) making investments other than permitted acquisitions and permitted investments, in each case, subject to specified exceptions including, in the case of restrictions on incurrence of additional indebtedness, the ability to incur certain convertible indebtedness and enter into certain permitted royalty financing agreements. The Loan Agreement also contains certain events of default, including the following: (i) failure to pay principal, interest and other amounts when due, (ii) the breach of the covenants under the Loan Agreement, (iii) the occurrence of a material adverse change or a withdrawal event in respect of obexelimab or orelabrutinib, (iv) certain attachments of the credit parties assets and restraints on their business, (v) certain insolvency, liquidation, bankruptcy or similar events, (vi) certain cross-default of third-party indebtedness and royalty revenue contracts, (vii) the failure to pay certain judgements, (viii) material misrepresentations, (ix) the loan documents ceasing to create a valid security interest in a material portion of the collateral, (x) the occurrence of certain ERISA events and (xi) the occurrence of a default under any intercreditor agreement, in each case subject to the grace periods, cure period and thresholds as specified in the Loan Agreement. Upon the occurrence of an event of default, the Lenders may, among other things, accelerate our obligations under the Loan Agreement (including all obligations for principal, interest and any applicable make-whole and prepayment premiums); provided that upon an event of default relating to certain insolvency, liquidation, bankruptcy or similar events, all outstanding obligations will be automatically accelerated.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obligations under the Loan Agreement are secured by substantially all of our assets, including our intellectual property. Certain of our subsidiaries may, from time to time after the Tranche A Closing Date, be required to guarantee our obligations under the Loan Agreement and, in connection with such guarantee, pledge substantially all of their assets, including intellectual property, to secure such guarantee.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Convertible Senior Notes and Equity Follow-on Offering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March 2026, the Company issued an aggregate principal amount of $200.0 million of 2.50% convertible senior notes due 2032 (the “Convertible Notes”) in an underwritten public offering. The Convertible Notes were issued pursuant to, and are governed by, the Base Indenture, dated March 31, 2026, between the Company and U.S. Bank Trust Company, National Association, as trustee (the “Trustee”). Concurrently, the Company issued 5,000,000 shares of common stock at a public offering price of $20.00 per share, with gross proceeds of $100.0 million. Additionally, in April 2026, the Company issued (i) an additional $30.0 million of Convertible Notes upon the underwriters’ exercise in full of their over-allotment option for gross proceeds of $30.0 million and (ii) an additional 750,000 shares of common stock upon the exercise in full of the underwriters’ over-allotment option to purchase additional shares for gross proceeds of $15.0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Convertible Notes are general, unsecured, senior obligations of the Company. The Convertible Notes will accrue interest payable semi-annually in arrears on April 1 and October 1 of each year, beginning on October 1, 2026, at a rate equal to 2.50% per year. The Convertible Notes will mature on April 1, 2032, unless earlier converted, redeemed or repurchased by us. Holders of Convertible Notes will have the right to convert their Convertible Notes in certain circumstances and during specified periods. See </w:t>
      </w:r>
      <w:r>
        <w:rPr>
          <w:rFonts w:ascii="Times New Roman;Times;serif" w:hAnsi="Times New Roman;Times;serif"/>
          <w:i/>
          <w:sz w:val="20"/>
        </w:rPr>
        <w:t>Note 6, Long-Term Obligations</w:t>
      </w:r>
      <w:r>
        <w:rPr>
          <w:rFonts w:ascii="Times New Roman;Times;serif" w:hAnsi="Times New Roman;Times;serif"/>
          <w:sz w:val="20"/>
        </w:rPr>
        <w:t xml:space="preserve"> within the notes to the unaudited condensed consolidated financial statements for additional information.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At-the-Market Program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October 2025, we entered into a sales agreement with Jefferies under which we could, from time to time, issue and sell shares of our common stock having aggregate sales proceeds of up to $200.0 million, under the 2025 ATM Program. Pursuant to the sales agreement, shares will be sold under the shelf registration statement on Form S-3 ASR (Registration No. 333-290777), which became automatically effective upon filing on October 8, 2025. Our common stock will be sold at prevailing market prices at the time of the sale; and as a result, prices may vary. For the three months ended June 30, 2026, we did not sell any shares of common stock under the 2025 ATM Program. Since June 30, 2026, we have sold an additional 1,818,181 shares of common stock under the 2025 ATM Program, with proceeds of $48.7 million, net of commissions. As of the issuance date of this Quarterly Report on Form 10-Q, $46.8 million remained available under the 2025 ATM Program.</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Royalty Pharma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September 2025, the Company and Royalty Pharma entered into the Royalty Purchase Agreement. Pursuant to the Royalty Purchase Agreement, the Company received a $75.0 million upfront payment in exchange for which Royalty Pharma purchased the right to receive, for each calendar quarter, (i) 5.5% of net sales of obexelimab products sold by the Company and its affiliates worldwide, (ii) 5.5% of net sales of obexelimab products sold by licensees of Zenas and its affiliates in the U.S., the United Kingdom and the European Union, (iii) 25% of royalty income payable to Zenas or any of its affiliates on sales of obexelimab products in countries other than the U.S., the United Kingdom, and in the European Union by its licensees pursuant to out-licenses less royalty payments payable by Zenas to Xencor Inc. and (iv) 25% of non-royalty income attributable to obexelimab products payable to Zenas or any of its affiliates by its licensees (other than certain milestone payments payable by Bristol-Myers Squibb) pursuant to out-licenses and allocated to countries other than the U.S., the United Kingdom and in the European Union.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Royalty Purchase Agreement provides for an additional $225.0 million of payments to be paid to the Company by Royalty Pharma upon the occurrence of certain triggering events which includes (1) $75.0 million payable upon the achievement of certain milestones with respect to Zenas’ INDIGO Phase 3 Trial, noting the Company is not currently eligible for this milestone, (2) $75.0 million payable following receipt of marketing approval for obexelimab from the FDA for the treatment of IgG4-Related Disease on or before a specified date and (3) $75.0 million payable following receipt of marketing approval for obexelimab from the FDA for the treatment of systemic lupus erythematosus on or before a specified date.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provides information regarding our cash flows for each of the periods presented (in thousands):</w:t>
      </w:r>
    </w:p>
    <w:p>
      <w:pPr>
        <w:pStyle w:val="TextBody"/>
        <w:bidi w:val="0"/>
        <w:spacing w:before="0" w:after="240"/>
        <w:ind w:left="0" w:right="0" w:hanging="0"/>
        <w:jc w:val="both"/>
        <w:rPr/>
      </w:pPr>
      <w:r>
        <w:rPr/>
        <w:t>​</w:t>
      </w:r>
    </w:p>
    <w:tbl>
      <w:tblPr>
        <w:tblW w:w="8036" w:type="dxa"/>
        <w:jc w:val="left"/>
        <w:tblInd w:w="0" w:type="dxa"/>
        <w:tblLayout w:type="fixed"/>
        <w:tblCellMar>
          <w:top w:w="0" w:type="dxa"/>
          <w:left w:w="0" w:type="dxa"/>
          <w:bottom w:w="0" w:type="dxa"/>
          <w:right w:w="0" w:type="dxa"/>
        </w:tblCellMar>
      </w:tblPr>
      <w:tblGrid>
        <w:gridCol w:w="5086"/>
        <w:gridCol w:w="286"/>
        <w:gridCol w:w="211"/>
        <w:gridCol w:w="901"/>
        <w:gridCol w:w="286"/>
        <w:gridCol w:w="211"/>
        <w:gridCol w:w="901"/>
        <w:gridCol w:w="154"/>
      </w:tblGrid>
      <w:tr>
        <w:trPr/>
        <w:tc>
          <w:tcPr>
            <w:tcW w:w="5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3229610" cy="175260"/>
                      <wp:effectExtent l="0" t="0" r="0" b="0"/>
                      <wp:wrapNone/>
                      <wp:docPr id="252" name="Frame251"/>
                      <a:graphic xmlns:a="http://schemas.openxmlformats.org/drawingml/2006/main">
                        <a:graphicData uri="http://schemas.microsoft.com/office/word/2010/wordprocessingShape">
                          <wps:wsp>
                            <wps:cNvSpPr txBox="1"/>
                            <wps:spPr>
                              <a:xfrm>
                                <a:off x="0" y="0"/>
                                <a:ext cx="3229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81610" cy="175260"/>
                      <wp:effectExtent l="0" t="0" r="0" b="0"/>
                      <wp:wrapNone/>
                      <wp:docPr id="253" name="Frame252"/>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33985" cy="175260"/>
                      <wp:effectExtent l="0" t="0" r="0" b="0"/>
                      <wp:wrapNone/>
                      <wp:docPr id="254" name="Frame2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572135" cy="175260"/>
                      <wp:effectExtent l="0" t="0" r="0" b="0"/>
                      <wp:wrapNone/>
                      <wp:docPr id="255" name="Frame254"/>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81610" cy="175260"/>
                      <wp:effectExtent l="0" t="0" r="0" b="0"/>
                      <wp:wrapNone/>
                      <wp:docPr id="256" name="Frame255"/>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33985" cy="175260"/>
                      <wp:effectExtent l="0" t="0" r="0" b="0"/>
                      <wp:wrapNone/>
                      <wp:docPr id="257" name="Frame2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572135" cy="175260"/>
                      <wp:effectExtent l="0" t="0" r="0" b="0"/>
                      <wp:wrapNone/>
                      <wp:docPr id="258" name="Frame257"/>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97790" cy="175260"/>
                      <wp:effectExtent l="0" t="0" r="0" b="0"/>
                      <wp:wrapNone/>
                      <wp:docPr id="259" name="Frame25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08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center"/>
              <w:rPr/>
            </w:pPr>
            <w:r>
              <w:rPr/>
              <w:t>​</w:t>
            </w:r>
          </w:p>
        </w:tc>
        <w:tc>
          <w:tcPr>
            <w:tcW w:w="2664" w:type="dxa"/>
            <w:gridSpan w:val="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Six Months Ended June 30,</w:t>
            </w:r>
          </w:p>
        </w:tc>
      </w:tr>
      <w:tr>
        <w:trPr/>
        <w:tc>
          <w:tcPr>
            <w:tcW w:w="508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center"/>
              <w:rPr/>
            </w:pPr>
            <w:r>
              <w:rPr/>
              <w:t>​</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286" w:type="dxa"/>
            <w:tcBorders/>
            <w:vAlign w:val="center"/>
          </w:tcPr>
          <w:p>
            <w:pPr>
              <w:pStyle w:val="TableContents"/>
              <w:bidi w:val="0"/>
              <w:spacing w:before="0" w:after="1"/>
              <w:ind w:left="0" w:right="0" w:hanging="0"/>
              <w:jc w:val="center"/>
              <w:rPr/>
            </w:pPr>
            <w:r>
              <w:rPr/>
              <w:t>​</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54" w:type="dxa"/>
            <w:tcBorders/>
            <w:vAlign w:val="center"/>
          </w:tcPr>
          <w:p>
            <w:pPr>
              <w:pStyle w:val="TableContents"/>
              <w:bidi w:val="0"/>
              <w:spacing w:before="0" w:after="1"/>
              <w:ind w:left="0" w:right="0" w:hanging="0"/>
              <w:jc w:val="center"/>
              <w:rPr/>
            </w:pPr>
            <w:r>
              <w:rPr/>
              <w:t>​</w:t>
            </w:r>
          </w:p>
        </w:tc>
      </w:tr>
      <w:tr>
        <w:trPr/>
        <w:tc>
          <w:tcPr>
            <w:tcW w:w="50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286" w:type="dxa"/>
            <w:tcBorders/>
            <w:shd w:fill="CCEEFF" w:val="clear"/>
            <w:vAlign w:val="center"/>
          </w:tcPr>
          <w:p>
            <w:pPr>
              <w:pStyle w:val="TableContents"/>
              <w:bidi w:val="0"/>
              <w:spacing w:before="0" w:after="1"/>
              <w:ind w:left="0" w:right="0" w:hanging="0"/>
              <w:jc w:val="center"/>
              <w:rPr/>
            </w:pPr>
            <w:r>
              <w:rPr/>
              <w:t>  ​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(132,433)</w:t>
            </w:r>
          </w:p>
        </w:tc>
        <w:tc>
          <w:tcPr>
            <w:tcW w:w="286" w:type="dxa"/>
            <w:tcBorders/>
            <w:shd w:fill="CCEEFF" w:val="clear"/>
            <w:vAlign w:val="center"/>
          </w:tcPr>
          <w:p>
            <w:pPr>
              <w:pStyle w:val="TableContents"/>
              <w:bidi w:val="0"/>
              <w:spacing w:before="0" w:after="1"/>
              <w:ind w:left="0" w:right="0" w:hanging="0"/>
              <w:jc w:val="center"/>
              <w:rPr/>
            </w:pPr>
            <w:r>
              <w:rPr/>
              <w:t>  ​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(78,794)</w:t>
            </w:r>
          </w:p>
        </w:tc>
        <w:tc>
          <w:tcPr>
            <w:tcW w:w="154" w:type="dxa"/>
            <w:tcBorders/>
            <w:shd w:fill="CCEEFF" w:val="clear"/>
            <w:vAlign w:val="center"/>
          </w:tcPr>
          <w:p>
            <w:pPr>
              <w:pStyle w:val="TableContents"/>
              <w:bidi w:val="0"/>
              <w:spacing w:before="0" w:after="1"/>
              <w:ind w:left="0" w:right="0" w:hanging="0"/>
              <w:jc w:val="right"/>
              <w:rPr/>
            </w:pPr>
            <w:r>
              <w:rPr/>
              <w:t>​</w:t>
            </w:r>
          </w:p>
        </w:tc>
      </w:tr>
      <w:tr>
        <w:trPr/>
        <w:tc>
          <w:tcPr>
            <w:tcW w:w="50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(256,093)</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(198,565)</w:t>
            </w:r>
          </w:p>
        </w:tc>
        <w:tc>
          <w:tcPr>
            <w:tcW w:w="154" w:type="dxa"/>
            <w:tcBorders/>
            <w:vAlign w:val="center"/>
          </w:tcPr>
          <w:p>
            <w:pPr>
              <w:pStyle w:val="TableContents"/>
              <w:bidi w:val="0"/>
              <w:spacing w:before="0" w:after="1"/>
              <w:ind w:left="0" w:right="0" w:hanging="0"/>
              <w:jc w:val="right"/>
              <w:rPr/>
            </w:pPr>
            <w:r>
              <w:rPr/>
              <w:t>​</w:t>
            </w:r>
          </w:p>
        </w:tc>
      </w:tr>
      <w:tr>
        <w:trPr/>
        <w:tc>
          <w:tcPr>
            <w:tcW w:w="50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475,536</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1,821</w:t>
            </w:r>
          </w:p>
        </w:tc>
        <w:tc>
          <w:tcPr>
            <w:tcW w:w="154" w:type="dxa"/>
            <w:tcBorders/>
            <w:shd w:fill="CCEEFF" w:val="clear"/>
            <w:vAlign w:val="center"/>
          </w:tcPr>
          <w:p>
            <w:pPr>
              <w:pStyle w:val="TableContents"/>
              <w:bidi w:val="0"/>
              <w:spacing w:before="0" w:after="1"/>
              <w:ind w:left="0" w:right="0" w:hanging="0"/>
              <w:jc w:val="right"/>
              <w:rPr/>
            </w:pPr>
            <w:r>
              <w:rPr/>
              <w:t>​</w:t>
            </w:r>
          </w:p>
        </w:tc>
      </w:tr>
      <w:tr>
        <w:trPr/>
        <w:tc>
          <w:tcPr>
            <w:tcW w:w="50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Effect of exchange rate changes on cash and cash equivalents</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(1,074)</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w:t>
            </w:r>
          </w:p>
        </w:tc>
        <w:tc>
          <w:tcPr>
            <w:tcW w:w="154" w:type="dxa"/>
            <w:tcBorders/>
            <w:vAlign w:val="center"/>
          </w:tcPr>
          <w:p>
            <w:pPr>
              <w:pStyle w:val="TableContents"/>
              <w:bidi w:val="0"/>
              <w:spacing w:before="0" w:after="1"/>
              <w:ind w:left="0" w:right="0" w:hanging="0"/>
              <w:jc w:val="right"/>
              <w:rPr/>
            </w:pPr>
            <w:r>
              <w:rPr/>
              <w:t>​</w:t>
            </w:r>
          </w:p>
        </w:tc>
      </w:tr>
      <w:tr>
        <w:trPr/>
        <w:tc>
          <w:tcPr>
            <w:tcW w:w="50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increase (decrease) in cash and cash equivalents</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85,936</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(275,826)</w:t>
            </w:r>
          </w:p>
        </w:tc>
        <w:tc>
          <w:tcPr>
            <w:tcW w:w="154" w:type="dxa"/>
            <w:tcBorders/>
            <w:shd w:fill="CCEEFF" w:val="clear"/>
            <w:vAlign w:val="center"/>
          </w:tcPr>
          <w:p>
            <w:pPr>
              <w:pStyle w:val="TableContents"/>
              <w:bidi w:val="0"/>
              <w:spacing w:before="0" w:after="1"/>
              <w:ind w:left="0" w:right="0" w:hanging="0"/>
              <w:jc w:val="right"/>
              <w:rPr/>
            </w:pPr>
            <w:r>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Net Cash Used in Operating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Net cash used in operating activities for the six months ended June 30, 2026 was $132.4 million, and was primarily due to our net loss of $192.4 million, which included non-cash charges principally related to stock-based compensation and interest charges on our agreement with Royalty Pharma. Net changes in our working capital during the three months resulted in a $2.4 million cash outflow.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Net cash used in operating activities for the six months ended June 30, 2025 was $78.8 million, and was primarily due to our net loss of $85.8 million, which included non-cash charges principally related to stock-based compensation. Net changes in our working capital during the six months resulted in a $3.7 million cash outflow.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Net Cash Used in Investing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used in investing activities for the six months ended June 30, 2026 was $256.1 million and consisted primarily of purchases of investments of $408.3 million and $30.0 million of milestone payments, which included $10.0 million, related to the achievement of a milestone under the Xencor Agreement and $20.0 million, related to the achievement of a Regulatory Milestone under the InnoCare Agreement, partially offset by proceeds from sales and maturities of investments of $182.2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Net cash used in investing activities for the six months ended June 30, 2025 was $198.6 million </w:t>
      </w:r>
      <w:r>
        <w:rPr>
          <w:rFonts w:ascii="Times New Roman;Times;serif" w:hAnsi="Times New Roman;Times;serif"/>
          <w:spacing w:val="4"/>
          <w:sz w:val="20"/>
        </w:rPr>
        <w:t>and consisted primarily of purchases of investments of $225.7 million and proceeds from the sale and maturities of investments of $27.1 million.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Net Cash Provided by Financing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provided by financing activities for the six months ended June 30, 2026 was $475.5 million, resulting primarily from $223.1 million in net proceeds received in connection with the convertible senior notes offering inclusive of the underwriters’ exercise of the overallotment option in full, $108.1 million and $71.5 million received in net proceeds from the sale and issuance of common stock under a follow-on equity offering inclusive of the underwriters’ exercise of the overallotment option in full and 2025 ATM Program, net of commissions, respectively, and $73.5 million in net proceeds received in connection with the senior secured term loan, net of discounts, offset by $2.5 million of payments related to deferred offering costs and debt issuance costs.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Net cash provided by financing activities for the six months ended June 30, 2025 was $1.8 million, </w:t>
      </w:r>
      <w:r>
        <w:rPr>
          <w:rFonts w:ascii="Times New Roman;Times;serif" w:hAnsi="Times New Roman;Times;serif"/>
          <w:spacing w:val="4"/>
          <w:sz w:val="20"/>
        </w:rPr>
        <w:t>resulting from $1.8 million in net proceeds received from the exercise of stock options.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Material Cash Requirements for Known Contractual and Other Obligations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During the three months ended June 30, 2026, except as disclosed in </w:t>
      </w:r>
      <w:r>
        <w:rPr>
          <w:rFonts w:ascii="Times New Roman;Times;serif" w:hAnsi="Times New Roman;Times;serif"/>
          <w:i/>
          <w:sz w:val="20"/>
        </w:rPr>
        <w:t>Note 13 – Commitments and Contingencies</w:t>
      </w:r>
      <w:r>
        <w:rPr>
          <w:rFonts w:ascii="Times New Roman;Times;serif" w:hAnsi="Times New Roman;Times;serif"/>
          <w:sz w:val="20"/>
        </w:rPr>
        <w:t>, of these unaudited condensed financial statements included elsewhere in this Quarterly Report on Form 10-Q, there were no material changes to our contractual obligations and commitments from those described under the heading “Management’s Discussion and Analysis of Financial Condition and Results of Operations-Contractual Obligations and Commitments” in our Annual Report on Form 10-K for the fiscal year ended December 31, 2025.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Significant Judgments and Estimates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Management’s discussion and analysis of our financial condition and results of operations is based on our condensed consolidated financial statements, which have been prepared in accordance with U.S. generally accepted accounting principles (“GAAP”). The preparation of these condensed consolidated financial statements requires us to make judgments, assumptions and estimates that may affect the reported amounts of assets and liabilities, equity, and the disclosure of contingent assets and liabilities at the date of the condensed consolidated financial statements, and the reported amounts of expenses during the reported periods. On an ongoing basis, we evaluate our judgments, assumptions and estimates in light of changes in circumstances, facts and experiences.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The effects of material revisions in estimates, if any, will be reflected in the condensed consolidated financial statements prospectively from the date of change in estimates.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During the six months ended June 30, 2026, there were no material changes in our critical accounting policies from those described under our “Management’s Discussion and Analysis of Financial Condition and Results of Operations – Critical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Accounting Policies and Significant Judgments and Estimates” included in our Annual Report on Form 10-K for the fiscal year ended December 31, 2025, except for the following:</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Embedded Derivative Financial Instruments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 of March 2026, we entered into a senior secured term loan and issued convertible senior notes, see </w:t>
      </w:r>
      <w:r>
        <w:rPr>
          <w:rFonts w:ascii="Times New Roman;Times;serif" w:hAnsi="Times New Roman;Times;serif"/>
          <w:i/>
          <w:sz w:val="20"/>
        </w:rPr>
        <w:t>Note 6, Long – Term Obligations</w:t>
      </w:r>
      <w:r>
        <w:rPr>
          <w:rFonts w:ascii="Times New Roman;Times;serif" w:hAnsi="Times New Roman;Times;serif"/>
          <w:sz w:val="20"/>
        </w:rPr>
        <w:t xml:space="preserve">, in our unaudited condensed consolidated financial statements included elsewhere in this Quarterly Report on Form 10-Q. Our evaluation of our debt and equity transactions, consider whether the transaction includes embedded derivatives and whether any embedded derivatives require bifurcation. The evaluation of such features consider whether (a) the economic characteristics and risks of the embedded derivative instrument are not clearly and closely related to the economic characteristics and risks of the host contract, (b) the hybrid instrument that embodies both the embedded derivative instrument and the host contract is not -remeasured at fair value under otherwise applicable generally accepted accounting principles with changes in fair value reported in earnings as they occur, and (c) a separate instrument with the same terms as the embedded derivative would be considered a derivative instrument.  We exercise judgment in the evaluation of whether embedded features require bifurcation and the fair value of any features that are bifurcated. Should there be changes in our judgments and related conclusions, it could impact the effective interest expense recorded on our debt obligations, which could materially affect our financial statements.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 description of recently issued accounting pronouncements that may potentially impact our financial position and results of operations is disclosed in </w:t>
      </w:r>
      <w:r>
        <w:rPr>
          <w:rFonts w:ascii="Times New Roman;Times;serif" w:hAnsi="Times New Roman;Times;serif"/>
          <w:i/>
          <w:sz w:val="20"/>
        </w:rPr>
        <w:t>Note 2, Summary of Significant Accounting Policies</w:t>
      </w:r>
      <w:r>
        <w:rPr>
          <w:rFonts w:ascii="Times New Roman;Times;serif" w:hAnsi="Times New Roman;Times;serif"/>
          <w:sz w:val="20"/>
        </w:rPr>
        <w:t>, in our unaudited condensed consolidated financial statements included elsewhere in this Quarterly Report on Form 10-Q.</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Implications of Being an Emerging Growth Company and Smaller Reporting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qualify as an “emerging growth company” as defined in the JOBS Act. As an emerging growth company, we may take advantage of specified reduced disclosure and other requirements that are otherwise applicable generally to public companies, including reduced disclosure about our executive compensation arrangements, exemption from the requirements to hold nonbinding advisory votes on executive compensation and golden parachute payments and exemption from the auditor attestation requirement in the assessment of our internal control over financial reporting.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may take advantage of these exemptions until December 31, 2029 or such earlier time that we are no longer an emerging growth company. We would cease to be an emerging growth company earlier if we have more than $1.235 billion in annual revenue, we have more than $700.0 million in market value of our stock held by non-affiliates (and we have been a public company for at least twelve months and have filed one Annual Report on Form 10-K) or we issue more than $1.0 billion of nonconvertible debt securities over a three year period. For so long as we remain an emerging growth company, we are permitted, and intend, to rely on exemptions from certain disclosure requirements that are applicable to other public companies that are not emerging growth companies. We may choose to take advantage of some, but not all, of the available exemptions.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the Jumpstart Our Business Startups Act of 2012, as amended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 We may choose to early adopt any new or revised accounting standards whenever such early adoption is permitted. Therefore, the reported results of operations contained in our financial statements may not be directly comparable to those of other public companies.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are also a “smaller reporting company,” meaning that the market value of our stock held by non-affiliates following the IPO is less than $100.0 million during the most recently completed fiscal year. We may continue to be a smaller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reporting company if either (i) the market value of our stock held by non-affiliates is less than $250.0 million or (ii) our annual revenue is less than $100.0 million during the most recently completed fiscal year and the market value of our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We may continue to be a smaller reporting company until the fiscal year following the determination that we no longer meet the requirements necessary to be considered a smaller reporting company.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However, as of December 31, 2026, we will no longer qualify as an emerging growth company or a “smaller reporting company” as defined under the JOBS Act and Rule 12b-2 of the Exchange Act due to the market value of our common stock held by our non-affiliates as of the last business day of the fiscal quarter ended June 30, 2026, exceeding the applicable threshold for these statuses. Accordingly, while we remain eligible to take advantage of certain reduced disclosure and reporting requirements applicable to these statuses with this Quarterly Report on Form 10-Q, we will no longer be eligible to rely on the reduced disclosures and reporting requirements in future periods beginning in 2027. </w:t>
      </w:r>
    </w:p>
    <w:p>
      <w:pPr>
        <w:pStyle w:val="TextBody"/>
        <w:bidi w:val="0"/>
        <w:spacing w:before="0" w:after="240"/>
        <w:ind w:left="0" w:right="0" w:hanging="0"/>
        <w:jc w:val="left"/>
        <w:rPr>
          <w:rFonts w:ascii="Times New Roman;Times;serif" w:hAnsi="Times New Roman;Times;serif"/>
          <w:b/>
          <w:sz w:val="20"/>
        </w:rPr>
      </w:pPr>
      <w:bookmarkStart w:id="1068" w:name="Item3QuantitativeandQualitative_588339"/>
      <w:bookmarkStart w:id="1069" w:name="_44d7bbaf_9afb_4187_997e_9d86a44dcbc6"/>
      <w:bookmarkEnd w:id="1068"/>
      <w:bookmarkEnd w:id="1069"/>
      <w:r>
        <w:rPr>
          <w:rFonts w:ascii="Times New Roman;Times;serif" w:hAnsi="Times New Roman;Times;serif"/>
          <w:b/>
          <w:sz w:val="20"/>
        </w:rPr>
        <w:t>Item 3. Quantitative and Qualitative Disclosures About Market Risk</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Interest Rate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exposed to interest rate risk in the ordinary course of our business. As of June 30, 2026, we had cash, cash equivalents and investments of $673.9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also have exposure to market risk on our Loan Agreement with Pharmakon. Our Loan Agreement accrues interest from its date of issuance at a variable interest rate equal to 3-month SOFR subject to a 3.25% floor, plus 5.75%.  As of June 30, 2026, $75.0 million was outstanding under the Loan Agreement. The effect of a 100 basis points adverse change in market interest rates on our loan payable, in excess of applicable minimum floors, on our interest expense would be approximately $0.8 million. </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Foreign Currency Exchange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Our reporting currency is the U.S. dollar (“USD”). Our functional currency for Zenas BioPharma (HK) Limited, our wholly owned subsidiary in Hong Kong, is the USD, and our functional currency for Shanghai Zenas Biotechnology Co. Limited, our wholly-owned subsidiary in China, is the Chinese Yuan. Our functional currency for Zenas BioPharma GmbH, our wholly-owned subsidiary in Switzerland, is the Swiss Franc. Our functional currency of our wholly-owned subsidiaries, Zenas BioPharma B.V., in the Netherlands and Zenas BioPharma GmbH (Germany), is the Euro. Our functional currency of our wholly-owned U.S. subsidiaries, Zenas BioPharma (USA) LLC and Zenas BioPharma Securities Corp., is the USD. Adjustments that arise from exchange rate changes on transactions denominated in a currency other than the functional currency are included in other income (expense), net in the unaudited condensed consolidated statements of operations and comprehensive loss as incurred. Realized foreign currency transaction gains (losses) were immaterial for the three and six months ended June 30, 2026.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do not currently engage in currency hedging activities in order to reduce our currency exposure, but we may begin to do so in the future. Instruments that may be used to hedge future risks may include foreign currency forward and swap contracts. These instruments may be used to selectively manage risks, but there can be no assurance that we will be fully protected against material foreign currency fluctuations. We do not believe that a hypothetical 10% increase or decrease in exchange rates during any of the periods presented would have had a material impact on our unaudited condensed consolidated financial statements included elsewhere in this Quarterly Report on Form 10-Q.</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Effects of Inflation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Inflation generally affects us by increasing our cost of labor and clinical trial costs. We believe that inflation has not had a material effect on our business, or on our unaudited condensed consolidated financial statements included elsewhere in this Quarterly Report on Form 10-Q.</w:t>
      </w:r>
    </w:p>
    <w:p>
      <w:pPr>
        <w:pStyle w:val="TextBody"/>
        <w:bidi w:val="0"/>
        <w:spacing w:before="0" w:after="240"/>
        <w:ind w:left="0" w:right="0" w:hanging="0"/>
        <w:jc w:val="left"/>
        <w:rPr>
          <w:rFonts w:ascii="Times New Roman;Times;serif" w:hAnsi="Times New Roman;Times;serif"/>
          <w:b/>
          <w:sz w:val="20"/>
        </w:rPr>
      </w:pPr>
      <w:bookmarkStart w:id="1070" w:name="Item4ControlsandProcedures_753135"/>
      <w:bookmarkStart w:id="1071" w:name="_94cf5b9d_594a_49ce_ab80_51bf0eec5572"/>
      <w:bookmarkEnd w:id="1070"/>
      <w:bookmarkEnd w:id="1071"/>
      <w:r>
        <w:rPr>
          <w:rFonts w:ascii="Times New Roman;Times;serif" w:hAnsi="Times New Roman;Times;serif"/>
          <w:b/>
          <w:sz w:val="20"/>
        </w:rPr>
        <w:t>Item 4. Controls and Procedures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Evaluation of Disclosure Controls and Procedures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Our management, with the participation of our principal executive officer and our principal financial officer, evaluated the effectiveness of our disclosure controls and procedures as defined in Rules 13a-15(e) and 15d-15(e) under the Securities Exchange Act of 1934, as amended (the “Exchange Act”), as of June 30, 2026. The term “disclosure controls and procedures,” as defined in Rules 13a-15(e) and 15d-15(e) under the Exchange Act, means controls and other procedures of a company that are designed to ensure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officer and principal financial officer, or person performing similar functions, as appropriate to allow timely decisions regarding required disclosures.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Management recognizes that any controls and procedures, no matter how well designed and operated, can provide only reasonable assurance of achieving their objectives and management necessarily applies its judgement in evaluating the cost-benefit relationship of possible controls and procedures. Based on the evaluation of our disclosure controls and procedures as of June 30, 2026, our principal executive officer and principal financial officer concluded that, as of such date, our disclosure controls and procedures were effective at the reasonable assurance level.</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Changes in Internal Control Over Financial Reporting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were no changes in our internal control over financial reporting for the quarter ended June 30, 2026, that have materially affected, or are reasonably likely to materially affect, our internal control over financial reporting.</w:t>
      </w:r>
    </w:p>
    <w:p>
      <w:pPr>
        <w:pStyle w:val="TextBody"/>
        <w:bidi w:val="0"/>
        <w:spacing w:before="0" w:after="240"/>
        <w:ind w:left="0" w:right="0" w:hanging="0"/>
        <w:jc w:val="center"/>
        <w:rPr>
          <w:rFonts w:ascii="Times New Roman;Times;serif" w:hAnsi="Times New Roman;Times;serif"/>
          <w:b/>
          <w:sz w:val="20"/>
        </w:rPr>
      </w:pPr>
      <w:bookmarkStart w:id="1072" w:name="PARTIIOTHERINFORMATION_907855"/>
      <w:bookmarkEnd w:id="1072"/>
      <w:r>
        <w:rPr>
          <w:rFonts w:ascii="Times New Roman;Times;serif" w:hAnsi="Times New Roman;Times;serif"/>
          <w:b/>
          <w:sz w:val="20"/>
        </w:rPr>
        <w:t>PART II — OTHER INFORMATION</w:t>
      </w:r>
    </w:p>
    <w:p>
      <w:pPr>
        <w:pStyle w:val="TextBody"/>
        <w:bidi w:val="0"/>
        <w:spacing w:before="0" w:after="240"/>
        <w:ind w:left="0" w:right="0" w:hanging="0"/>
        <w:jc w:val="left"/>
        <w:rPr>
          <w:rFonts w:ascii="Times New Roman;Times;serif" w:hAnsi="Times New Roman;Times;serif"/>
          <w:b/>
          <w:sz w:val="20"/>
        </w:rPr>
      </w:pPr>
      <w:bookmarkStart w:id="1073" w:name="Item1LegalProceedings_54245"/>
      <w:bookmarkStart w:id="1074" w:name="_d2440b1f_cdb9_496e_9d52_d45665292a8e"/>
      <w:bookmarkEnd w:id="1073"/>
      <w:bookmarkEnd w:id="1074"/>
      <w:r>
        <w:rPr>
          <w:rFonts w:ascii="Times New Roman;Times;serif" w:hAnsi="Times New Roman;Times;serif"/>
          <w:b/>
          <w:sz w:val="20"/>
        </w:rPr>
        <w:t>Item 1. Legal Proceedings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From time to time, we may be involved in legal proceedings arising in the ordinary course of our business. We are not presently a party to any legal proceedings that, in the opinion of management, would have a material adverse effect on our business. Regardless of outcome, litigation can have an adverse impact on us due to defense and settlement costs, diversion of management resources, negative publicity and reputational harm and other factors.</w:t>
      </w:r>
    </w:p>
    <w:p>
      <w:pPr>
        <w:pStyle w:val="TextBody"/>
        <w:bidi w:val="0"/>
        <w:spacing w:before="0" w:after="240"/>
        <w:ind w:left="0" w:right="0" w:hanging="0"/>
        <w:jc w:val="left"/>
        <w:rPr>
          <w:rFonts w:ascii="Times New Roman;Times;serif" w:hAnsi="Times New Roman;Times;serif"/>
          <w:b/>
          <w:sz w:val="20"/>
        </w:rPr>
      </w:pPr>
      <w:bookmarkStart w:id="1075" w:name="Item1ARiskFactors_953988"/>
      <w:bookmarkStart w:id="1076" w:name="_1a401961_8758_4152_a827_92024e8c6590"/>
      <w:bookmarkEnd w:id="1075"/>
      <w:bookmarkEnd w:id="1076"/>
      <w:r>
        <w:rPr>
          <w:rFonts w:ascii="Times New Roman;Times;serif" w:hAnsi="Times New Roman;Times;serif"/>
          <w:b/>
          <w:sz w:val="20"/>
        </w:rPr>
        <w:t>Item 1A. Risk Factors</w:t>
      </w:r>
    </w:p>
    <w:p>
      <w:pPr>
        <w:pStyle w:val="TextBody"/>
        <w:bidi w:val="0"/>
        <w:spacing w:before="169" w:after="0"/>
        <w:ind w:left="0" w:right="50" w:hanging="0"/>
        <w:jc w:val="both"/>
        <w:rPr>
          <w:rFonts w:ascii="Times New Roman;Times;serif" w:hAnsi="Times New Roman;Times;serif"/>
          <w:i/>
          <w:sz w:val="20"/>
        </w:rPr>
      </w:pPr>
      <w:r>
        <w:rPr>
          <w:rFonts w:ascii="Times New Roman;Times;serif" w:hAnsi="Times New Roman;Times;serif"/>
          <w:i/>
          <w:sz w:val="20"/>
        </w:rPr>
        <w:t>Investors should carefully consider the risks uncertainties and other factors, contained in the risk factors disclosed in our Annual Report on Form 10-K for the year ended December 31, 2025, together with the other information contained in this Quarterly Report, including in the section titled “Management’s Discussion and Analysis of Financial Condition and Results of Operations” and in our unaudited condensed consolidated financial statements and related notes contained in this Quarterly Report on Form 10-Q. The events discussed below may occur and adversely impact our business, financial condition, results of operations and prospects, which may cause the trading price of our common stock to decline. These risks and uncertainties described below are not the only ones we face. Additional risks and uncertainties not presently known to us or that we currently believe to be immaterial may also affect our business. See “Special Note Regarding Forward-Looking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Risks Related to Government Regulation</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Significant political, trade, regulatory developments, including changes in relations between the U.S. and China, and other circumstances beyond our control, may adversely impact our business, financial condition, and results of operations.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Various political, trade, or regulatory developments have, and could further, adversely affect our business and the results of our operations and financial condition. For example, recent actions and statements by the governments of the U.S. and China, including those relating to the imposition or threatened imposition of tariffs (including tariffs on patented pharmaceutical products), affecting (among others) certain products manufactured in China, have impacted, and may continue to impact, companies like us who import materials and rely on suppliers and other commercial partners with significant operations in China. For example, while we have selected new CMOs in the U.S. to establish additional sources of supply for obexelimab, currently we import from China certain drug substance, drug product and other components, and such imports are subject to existing tariffs and may be impacted by additional tariffs. Currently, many of our suppliers primarily operate outside of the U.S., including our current sole CMO for obexelimab, WuXi Biologics, and our collaboration partner InnoCare for supply of orelabrutinib, which provide services to us from facilities located in China, and increases in tariffs could result in increased costs. As a result, we are subject to risks associated with political, trade, regulatory developments with respect to such countries, and between the U.S. and such countries. Any unfavorable legislation, regulations, executive orders, government policies on cross-border relations and/or international trade, including increased scrutiny on certain of our suppliers with significant China-based operations, capital controls, or tariffs, may have an adverse effect on our business, financial condition, and results of operations. For example, in March and April 2025, the U.S. imposed tariffs on, or increased the tariff rates applicable to, imports from many foreign countries. In response to these tariffs, a number of other countries have threatened or implemented retaliatory tariffs on U.S. goods. Political tensions resulting from trade policies could reduce trade volume, investment, technological exchange and other economic activities between major international economies, resulting in a material adverse effect on global economic conditions and the stability of global financial markets. In April 2026, the U.S. announced the imposition of tariffs on patented pharmaceutical products, and there can be no guarantee that further retaliatory tariffs will not be forthcoming. Further, supply chain disruptions and delays as a result of tariff policies or trade restrictions could also negatively impact our cost of materials and processes. Such changes in political, trade, regulatory, and economic conditions, including U.S. trade policies, could have a material adverse effect on our financial condition or results of operations.</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Risks Related to our Indebtedness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Servicing our Loan Agreement and the Convertible Notes will require a significant amount of cash, and we may not have sufficient cash flow to pay our indebtedness.</w:t>
      </w:r>
      <w:r>
        <w:rPr>
          <w:rFonts w:ascii="Times New Roman;Times;serif" w:hAnsi="Times New Roman;Times;serif"/>
          <w:sz w:val="20"/>
        </w:rPr>
        <w:t xml:space="preserv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Our ability to make scheduled payments of the principal of, to pay interest on, or to refinance our indebtedness, including the Loan Agreement and the Convertible Notes, depends on our future performance, which is subject to many factors, including, economic, financial, competitive and others, beyond our control. Additionally, we are liable for the secured obligations pursuant to the Royalty Purchase Agreement. We do not expect our business to be able to generate cash flow from operations in the foreseeable future sufficient to service our debt and make necessary capital expenditures and we may therefore be required to adopt one or more alternatives, such as selling assets, restructuring debt or obtaining additional equity capital on terms that may be onerous or highly dilutive. Our ability to refinance the Loan Agreement, which matures in 2031, as well as the Convertible Notes, will depend on the capital markets and our financial condition at such time. We may not be able to engage in any of these activities or engage in these activities on desirable terms, which could result in a default on our debt obligations and limit our flexibility in planning for and reacting to changes in our business.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Our indebtedness and liabilities could have significant negative consequences for our security holders and our business, results of operations and financial condition by, among other things:  </w:t>
      </w:r>
    </w:p>
    <w:tbl>
      <w:tblPr>
        <w:tblW w:w="6636" w:type="dxa"/>
        <w:jc w:val="left"/>
        <w:tblInd w:w="0" w:type="dxa"/>
        <w:tblLayout w:type="fixed"/>
        <w:tblCellMar>
          <w:top w:w="28" w:type="dxa"/>
          <w:left w:w="28" w:type="dxa"/>
          <w:bottom w:w="28" w:type="dxa"/>
          <w:right w:w="28" w:type="dxa"/>
        </w:tblCellMar>
      </w:tblPr>
      <w:tblGrid>
        <w:gridCol w:w="124"/>
        <w:gridCol w:w="256"/>
        <w:gridCol w:w="62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increasing our vulnerability to adverse economic and industry conditions;  </w:t>
            </w:r>
          </w:p>
        </w:tc>
      </w:tr>
    </w:tbl>
    <w:tbl>
      <w:tblPr>
        <w:tblW w:w="7041" w:type="dxa"/>
        <w:jc w:val="left"/>
        <w:tblInd w:w="0" w:type="dxa"/>
        <w:tblLayout w:type="fixed"/>
        <w:tblCellMar>
          <w:top w:w="28" w:type="dxa"/>
          <w:left w:w="28" w:type="dxa"/>
          <w:bottom w:w="28" w:type="dxa"/>
          <w:right w:w="28" w:type="dxa"/>
        </w:tblCellMar>
      </w:tblPr>
      <w:tblGrid>
        <w:gridCol w:w="124"/>
        <w:gridCol w:w="256"/>
        <w:gridCol w:w="66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limiting our ability to obtain additional financing on acceptable terms or at all;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requiring the dedication of a substantial portion of our cash flow from operations to service our indebtedness, which will reduce the amount of cash available for other purposes;  </w:t>
            </w:r>
          </w:p>
        </w:tc>
      </w:tr>
    </w:tbl>
    <w:tbl>
      <w:tblPr>
        <w:tblW w:w="6321" w:type="dxa"/>
        <w:jc w:val="left"/>
        <w:tblInd w:w="0" w:type="dxa"/>
        <w:tblLayout w:type="fixed"/>
        <w:tblCellMar>
          <w:top w:w="28" w:type="dxa"/>
          <w:left w:w="28" w:type="dxa"/>
          <w:bottom w:w="28" w:type="dxa"/>
          <w:right w:w="28" w:type="dxa"/>
        </w:tblCellMar>
      </w:tblPr>
      <w:tblGrid>
        <w:gridCol w:w="124"/>
        <w:gridCol w:w="256"/>
        <w:gridCol w:w="59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limiting our flexibility to plan for, or react to, changes in our business;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diluting the interests of our existing stockholders as a result of issuing shares of our common stock upon conversion of the Convertible Notes; and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placing us at a possible competitive disadvantage with competitors that are less leveraged than us or have better access to capital.  </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Any of these factors could harm our business, prospects, operating results and financial condition. In addition, if we incur additional indebtedness, the risks related to our business and our ability to service or repay our indebtedness and secured obligations will increase.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We may be unable to raise the funds necessary to repurchase the Convertible Notes for cash following a fundamental change or to pay any cash amounts due upon maturity or conversion of the Convertible Notes, and our other indebtedness may limit our ability to repurchase the Convertible Notes or to pay any cash amounts due upon their maturity or conversion.</w:t>
      </w:r>
      <w:r>
        <w:rPr>
          <w:rFonts w:ascii="Times New Roman;Times;serif" w:hAnsi="Times New Roman;Times;serif"/>
          <w:sz w:val="20"/>
        </w:rPr>
        <w:t xml:space="preserv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Noteholders may, subject to certain limited exceptions, require us to repurchase their Convertible Notes following a fundamental change at a cash repurchase price generally equal to the principal amount of the Convertible Notes to be repurchased, plus accrued and unpaid interest, if any, to, but excluding, the fundamental change repurchase date. Upon maturity of the Convertible Notes, we must pay their principal amount and accrued and unpaid interest in cash, unless they have been previously converted, redeemed or repurchased. In addition, unless we elect to deliver solely shares of our common stock to settle such conversion (other than paying cash in lieu of delivering any fractional share), all conversions of Convertible Notes will be settled partially or entirely in cash. We may not have enough available cash or be able to obtain financing at the time we are required to repurchase the Convertible Notes or pay any cash amounts due upon their maturity or conversion. In addition, applicable law, regulatory authorities and the agreements governing our other indebtedness, including the Loan Agreement, may restrict our ability to repurchase the Convertible Notes or to pay any cash amounts due upon their maturity or conversion. Our failure to repurchase Convertible Notes or to pay any cash amounts due upon their maturity or conversion when required will constitute a default under the indenture. A default under the indenture or the fundamental change itself could also lead to a default under agreements governing our other indebtedness, including under the Loan Agreement, which may result in that other indebtedness becoming immediately payable in full after any applicable notice or grace periods. We may not have sufficient funds to satisfy all amounts due under the other indebtedness and the Convertible Notes.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The conditional conversion feature of the Convertible Notes, if triggered, may adversely affect our financial condition and results of operations.</w:t>
      </w:r>
      <w:r>
        <w:rPr>
          <w:rFonts w:ascii="Times New Roman;Times;serif" w:hAnsi="Times New Roman;Times;serif"/>
          <w:sz w:val="20"/>
        </w:rPr>
        <w:t xml:space="preserv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the event the conditional conversion feature of the Convertible Notes is triggered, noteholders will be entitled to convert the Convertible Notes at any time during specified periods at their option. If one or more noteholders elect to convert their notes, unless we elect to satisfy our conversion obligation by delivering solely shares of our common stock (other than paying cash in lieu of delivering any fractional share), we would be required to settle a portion or all of our conversion obligation through the payment of cash, which could adversely affect our liquidity. In addition, even if noteholders do not elect to convert their notes, we could be required under applicable accounting rules to reclassify all or a portion of the outstanding principal of the Convertible Notes as a current rather than long-term liability, which would result in a material reduction of our net working capital.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The accounting method for the Convertible Notes could adversely affect our reported financial condition and results.</w:t>
      </w:r>
      <w:r>
        <w:rPr>
          <w:rFonts w:ascii="Times New Roman;Times;serif" w:hAnsi="Times New Roman;Times;serif"/>
          <w:sz w:val="20"/>
        </w:rPr>
        <w:t xml:space="preserv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accounting method for reflecting the Convertible Notes on our balance sheet, accruing interest expense for the Convertible Notes and reflecting the underlying shares of our common stock in our reported diluted earnings per share may adversely affect our reported earnings and financial condition.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accordance with applicable accounting standards, the Convertible Notes are reflected as a liability on our balance sheets, with the initial carrying amount equal to the principal amount of the Convertible Notes, net of issuance costs. The issuance costs will be treated as a debt discount for accounting purposes, which will be amortized into interest expense over the term of the Convertible Notes. As a result of this amortization, the interest expense to recognize for the Convertible Notes for accounting purposes will be greater than the cash interest payments we will pay on the Convertible Notes, which will result in lower reported income.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addition, the shares of our common stock underlying the Convertible Notes are reflected in our diluted earnings per share using the “if converted” method. Under that method, if the conversion value of the Convertible Notes exceeds their principal amount for a reporting period, then we will calculate our diluted earnings per share assuming that all of the Convertible Notes were converted at the beginning of the reporting period and that we issued shares of our common stock to settle the excess. The after-tax interest expense associated with the Convertible Notes will not be added back to the numerator of the diluted earnings per share calculation for these purposes. However, if reflecting the Convertible Notes in diluted earnings per share in this manner is anti-dilutive, or if the conversion value of the Convertible Notes does not exceed their principal amount for a reporting period, then the shares of our common stock underlying the Convertible Notes will not be reflected in our diluted earnings per share. The application of the if-converted method may reduce our reported diluted earnings per share, and accounting standards may change in the future in a manner that may adversely affect our diluted earnings per share.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Furthermore, if any of the conditions to the convertibility of the Convertible Notes is satisfied, then we may be required under applicable accounting standards to reclassify the liability carrying value of the Convertible Notes as a current, rather than a long-term, liability. This reclassification could be required even if no holders of Convertible Notes convert their Convertible Notes and could materially reduce our reported working capital.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Conversions of the Convertible Notes could impair our financial position and liquidity.</w:t>
      </w:r>
      <w:r>
        <w:rPr>
          <w:rFonts w:ascii="Times New Roman;Times;serif" w:hAnsi="Times New Roman;Times;serif"/>
          <w:sz w:val="20"/>
        </w:rPr>
        <w:t xml:space="preserv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Unless we elect to deliver solely shares of our common stock to settle conversions of the Convertible Notes (other than paying cash in lieu of delivering any fractional share), we must settle at least a portion of our conversion obligation in cash, and therefore, conversions of the Convertible Notes could materially and adversely affect our financial position and liquidity. Before January 1, 2032, noteholders will have the right to convert their notes only upon the occurrence of certain events. From and after January 1, 2032, noteholders may convert their notes at any time at their election until the close of business on the scheduled trading day immediately before the maturity date. See “Description of Notes - Conversion Rights.” However, many of the conditions that permit the conversion of notes before January 1, 2032 are beyond our control. We could be required to expend a significant amount of cash to settle conversions, which could significantly harm our financial position and liquidity. </w:t>
      </w:r>
    </w:p>
    <w:p>
      <w:pPr>
        <w:pStyle w:val="TextBody"/>
        <w:pBdr/>
        <w:bidi w:val="0"/>
        <w:spacing w:before="0" w:after="0"/>
        <w:ind w:left="0" w:right="0" w:hanging="0"/>
        <w:jc w:val="left"/>
        <w:rPr>
          <w:rFonts w:ascii="Times New Roman;Times;serif" w:hAnsi="Times New Roman;Times;serif"/>
          <w:b/>
          <w:sz w:val="20"/>
        </w:rPr>
      </w:pPr>
      <w:bookmarkStart w:id="1077" w:name="Item2UnregisteredSalesofEquitySecurities"/>
      <w:bookmarkStart w:id="1078" w:name="_5ef40de5_9e0f_40ae_a9a5_01e94a4d8900"/>
      <w:bookmarkEnd w:id="1077"/>
      <w:bookmarkEnd w:id="1078"/>
      <w:r>
        <w:rPr>
          <w:rFonts w:ascii="Times New Roman;Times;serif" w:hAnsi="Times New Roman;Times;serif"/>
          <w:b/>
          <w:sz w:val="20"/>
        </w:rPr>
        <w:t>Item 2. Unregistered Sales of Equity Securities and Use of Proceeds</w:t>
      </w:r>
    </w:p>
    <w:p>
      <w:pPr>
        <w:pStyle w:val="TextBody"/>
        <w:pBdr/>
        <w:shd w:fill="FFFFFF" w:val="clea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(b) Use of Proceeds from Public Offering of Common Stock</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September 16, 2024, the Company’s registration statement on Form S-1 (File No.333-281713) (the “IPO Prospectus”) relating to our IPO became effective. </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June 30, 2026, the Company has fully utilized the proceeds from our IPO.</w:t>
      </w:r>
    </w:p>
    <w:p>
      <w:pPr>
        <w:pStyle w:val="TextBody"/>
        <w:shd w:fill="FFFFFF" w:val="clear"/>
        <w:bidi w:val="0"/>
        <w:spacing w:before="0" w:after="240"/>
        <w:ind w:left="0" w:right="0" w:hanging="0"/>
        <w:jc w:val="both"/>
        <w:rPr>
          <w:shd w:fill="FFFF00" w:val="clear"/>
        </w:rPr>
      </w:pPr>
      <w:r>
        <w:rPr>
          <w:shd w:fill="FFFF00" w:val="clear"/>
        </w:rPr>
        <w:t>​</w:t>
      </w:r>
    </w:p>
    <w:p>
      <w:pPr>
        <w:pStyle w:val="TextBody"/>
        <w:bidi w:val="0"/>
        <w:spacing w:before="0" w:after="240"/>
        <w:ind w:left="0" w:right="0" w:hanging="0"/>
        <w:jc w:val="left"/>
        <w:rPr>
          <w:rFonts w:ascii="Times New Roman;Times;serif" w:hAnsi="Times New Roman;Times;serif"/>
          <w:b/>
          <w:sz w:val="20"/>
        </w:rPr>
      </w:pPr>
      <w:bookmarkStart w:id="1079" w:name="Item3DefaultsUponSeniorSecurities_724366"/>
      <w:bookmarkStart w:id="1080" w:name="_8cf6234d_cde1_4c76_ab31_03d8dea46a8f"/>
      <w:bookmarkEnd w:id="1079"/>
      <w:bookmarkEnd w:id="1080"/>
      <w:r>
        <w:rPr>
          <w:rFonts w:ascii="Times New Roman;Times;serif" w:hAnsi="Times New Roman;Times;serif"/>
          <w:b/>
          <w:sz w:val="20"/>
        </w:rPr>
        <w:t>Item 3. Defaults Upon Senior Securities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81" w:name="Item4MineSafetyDisclosures_528908"/>
      <w:bookmarkStart w:id="1082" w:name="_049cdd26_b725_4bac_9524_e52cd8e00911"/>
      <w:bookmarkEnd w:id="1081"/>
      <w:bookmarkEnd w:id="1082"/>
      <w:r>
        <w:rPr>
          <w:rFonts w:ascii="Times New Roman;Times;serif" w:hAnsi="Times New Roman;Times;serif"/>
          <w:b/>
          <w:sz w:val="20"/>
        </w:rPr>
        <w:t>Item 4. Mine Safety Disclosures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083" w:name="Item5OtherInformation_282288"/>
      <w:bookmarkStart w:id="1084" w:name="_9fcb2137_9035_4006_aebe_a012d9f3d9a6"/>
      <w:bookmarkEnd w:id="1083"/>
      <w:bookmarkEnd w:id="1084"/>
      <w:r>
        <w:rPr>
          <w:rFonts w:ascii="Times New Roman;Times;serif" w:hAnsi="Times New Roman;Times;serif"/>
          <w:b/>
          <w:sz w:val="20"/>
        </w:rPr>
        <w:t>Item 5. Other Information</w:t>
      </w:r>
    </w:p>
    <w:p>
      <w:pPr>
        <w:pStyle w:val="TextBody"/>
        <w:bidi w:val="0"/>
        <w:spacing w:before="0" w:after="24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Transition of Chief Financial Officer and Chief Business Officer to Strategic Advisor to the Chairman of the Board</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Jennifer Fox will be transitioning from her role as the Company’s Chief Financial Officer and Chief Business Officer effective as of September 30, 2026 after which she will be a Strategic Advisor to the Chairman of the Board, first as an employee and then, as of July 1, 2027, as a consultant pursuant to a consulting agreement. Ms. Fox’s transition is not due to a dispute or disagreement with the Company or the Company’s auditors.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connection with Ms. Fox’s transition from the Company, on August 12, 2026, the Company and Ms. Fox entered into a letter agreement (the “Letter Agreement”). Pursuant to the Letter Agreement, subject to certain conditions, Ms. Fox will continue in her current role as Chief Financial Officer and Chief Business Officer through close of business on September 30, 2026. On October 1, 2026 and through June 30, 2027, subject to certain conditions, Ms. Fox will transition to the role of Strategic Advisor to the Chairman of the Board and will continue to receive her current salary and benefits. Pursuant to a consulting agreement, dated August 12, 2026, between the Company and Ms. Fox (the “Consulting Agreement”), from July 1, 2027 to December 31, 2027, Ms. Fox will provide consulting services to the Company as a strategic advisor to the Chairman of the Board and will receive consideration of continued vesting and exercisability of previously-granted stock options in accordance with their terms; provided, however, the consulting period will automatically extend for one year to December 31, 2028 unless either party notifies the other within specified time periods that it wishes not to extend the term. The foregoing description of the Letter Agreement and the Consulting Agreement does not purport to be complete and is subject to, and qualified in its entirety by, the agreements which will be filed as exhibits to the Company’s Quarterly Report on Form 10-Q for the quarter ending September 30, 2026, to the extent required by applicable Securities Exchange Commission (the “SEC”) rules.</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 xml:space="preserve">Appointment of Principal Financial Officer and Principal Accounting Officer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Effective the close of business on September 30, 2026, the Board has appointed Joseph Farmer, the Company’s President and Chief Operating Officer, to replace Ms. Fox as principal financial officer and principal accounting officer while the Company conducts a search for a Chief Financial Officer. Mr. Farmer’s biographical information is set forth in the Company’s Definitive Proxy Statement filed with the SEC on March 16, 2026, and such information is incorporated herein by reference. There are no arrangements or understandings between Mr. Farmer and any other persons pursuant to which Mr. Farmer was appointed as principal financial officer and principal accounting officer. In addition, there are no family relationships between Mr. Farmer and any director or executive officer of the Company, and there are no transactions involving Mr. Farmer requiring disclosure under Item 404(a) of Regulation S-K.</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Rule 10b5-1 Trading Plans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During our fiscal quarter ended June 30, 2026, no director or “officer” (as defined in Rule 16a-1(f) under the Exchange Act) of the Company entered into, modified or terminated contracts, instructions or written plans for the purchase or sale of our common stock that are intended to satisfy the affirmative defense conditions specified in Rule 10b5-1(c) under the Exchange Act.</w:t>
      </w:r>
    </w:p>
    <w:p>
      <w:pPr>
        <w:pStyle w:val="TextBody"/>
        <w:bidi w:val="0"/>
        <w:spacing w:before="0" w:after="0"/>
        <w:ind w:left="0" w:right="0" w:hanging="0"/>
        <w:jc w:val="both"/>
        <w:rPr/>
      </w:pPr>
      <w:r>
        <w:rPr/>
        <w:t>​</w:t>
      </w:r>
    </w:p>
    <w:p>
      <w:pPr>
        <w:pStyle w:val="TextBody"/>
        <w:bidi w:val="0"/>
        <w:spacing w:before="0" w:after="240"/>
        <w:ind w:left="0" w:right="0" w:hanging="0"/>
        <w:jc w:val="both"/>
        <w:rPr>
          <w:shd w:fill="FFFF00" w:val="clear"/>
        </w:rPr>
      </w:pPr>
      <w:r>
        <w:rPr>
          <w:shd w:fill="FFFF00" w:val="clear"/>
        </w:rPr>
        <w:t>​</w:t>
      </w:r>
    </w:p>
    <w:p>
      <w:pPr>
        <w:pStyle w:val="TextBody"/>
        <w:bidi w:val="0"/>
        <w:spacing w:before="0" w:after="240"/>
        <w:ind w:left="0" w:right="0" w:hanging="0"/>
        <w:jc w:val="both"/>
        <w:rPr>
          <w:shd w:fill="FFFF00" w:val="clear"/>
        </w:rPr>
      </w:pPr>
      <w:r>
        <w:rPr>
          <w:shd w:fill="FFFF00" w:val="clear"/>
        </w:rPr>
        <w:t>​</w:t>
      </w:r>
    </w:p>
    <w:p>
      <w:pPr>
        <w:pStyle w:val="TextBody"/>
        <w:bidi w:val="0"/>
        <w:spacing w:before="0" w:after="160"/>
        <w:ind w:left="0" w:right="0" w:hanging="0"/>
        <w:jc w:val="left"/>
        <w:rPr>
          <w:rFonts w:ascii="Times New Roman;Times;serif" w:hAnsi="Times New Roman;Times;serif"/>
          <w:b/>
          <w:sz w:val="20"/>
        </w:rPr>
      </w:pPr>
      <w:bookmarkStart w:id="1085" w:name="Item6Exhibits_665718"/>
      <w:bookmarkStart w:id="1086" w:name="_02b25756_a864_4543_a58a_60b9e1acb1ba"/>
      <w:bookmarkEnd w:id="1085"/>
      <w:bookmarkEnd w:id="1086"/>
      <w:r>
        <w:rPr>
          <w:rFonts w:ascii="Times New Roman;Times;serif" w:hAnsi="Times New Roman;Times;serif"/>
          <w:b/>
          <w:sz w:val="20"/>
        </w:rPr>
        <w:t>Item 6. Exhibits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See Exhibit Index.</w:t>
      </w:r>
    </w:p>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b/>
          <w:sz w:val="20"/>
        </w:rPr>
      </w:pPr>
      <w:bookmarkStart w:id="1087" w:name="EXHIBITINDEX_861745"/>
      <w:bookmarkStart w:id="1088" w:name="_e5b6cbc2_d5ea_4487_ad96_a38c18b2fc4e"/>
      <w:bookmarkEnd w:id="1087"/>
      <w:bookmarkEnd w:id="1088"/>
      <w:r>
        <w:rPr>
          <w:rFonts w:ascii="Times New Roman;Times;serif" w:hAnsi="Times New Roman;Times;serif"/>
          <w:b/>
          <w:sz w:val="20"/>
        </w:rPr>
        <w:t>EXHIBIT INDEX</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081"/>
        <w:gridCol w:w="346"/>
        <w:gridCol w:w="8778"/>
      </w:tblGrid>
      <w:tr>
        <w:trPr/>
        <w:tc>
          <w:tcPr>
            <w:tcW w:w="108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No.</w:t>
            </w:r>
          </w:p>
        </w:tc>
        <w:tc>
          <w:tcPr>
            <w:tcW w:w="346" w:type="dxa"/>
            <w:tcBorders/>
            <w:vAlign w:val="center"/>
          </w:tcPr>
          <w:p>
            <w:pPr>
              <w:pStyle w:val="TableContents"/>
              <w:bidi w:val="0"/>
              <w:spacing w:before="0" w:after="0"/>
              <w:ind w:left="0" w:right="0" w:hanging="0"/>
              <w:jc w:val="center"/>
              <w:rPr/>
            </w:pPr>
            <w:r>
              <w:rPr/>
              <w:t>  ​ ​ ​</w:t>
            </w:r>
          </w:p>
        </w:tc>
        <w:tc>
          <w:tcPr>
            <w:tcW w:w="8778"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1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78" w:type="dxa"/>
            <w:tcBorders/>
            <w:vAlign w:val="center"/>
          </w:tcPr>
          <w:p>
            <w:pPr>
              <w:pStyle w:val="TableContents"/>
              <w:bidi w:val="0"/>
              <w:spacing w:before="0" w:after="0"/>
              <w:ind w:left="0" w:right="0" w:hanging="0"/>
              <w:jc w:val="left"/>
              <w:rPr/>
            </w:pPr>
            <w:r>
              <w:rPr/>
              <w:t>​</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0"/>
              <w:ind w:left="0" w:right="0" w:hanging="0"/>
              <w:jc w:val="left"/>
              <w:rPr/>
            </w:pPr>
            <w:r>
              <w:rPr/>
              <w:t>​</w:t>
            </w:r>
          </w:p>
        </w:tc>
        <w:tc>
          <w:tcPr>
            <w:tcW w:w="8778"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Second Restated Certificate of Incorporation of Zenas BioPharma, Inc. (incorporated by reference to Exhibit 3.1 to the Form 8-K filed on September 16, 2024, File No. 001-42270)</w:t>
              </w:r>
            </w:hyperlink>
            <w:r>
              <w:rPr>
                <w:rFonts w:ascii="Times New Roman;Times;serif" w:hAnsi="Times New Roman;Times;serif"/>
                <w:sz w:val="20"/>
              </w:rPr>
              <w:t xml:space="preserve"> </w:t>
            </w:r>
          </w:p>
        </w:tc>
      </w:tr>
      <w:tr>
        <w:trPr/>
        <w:tc>
          <w:tcPr>
            <w:tcW w:w="1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78" w:type="dxa"/>
            <w:tcBorders/>
            <w:vAlign w:val="center"/>
          </w:tcPr>
          <w:p>
            <w:pPr>
              <w:pStyle w:val="TableContents"/>
              <w:bidi w:val="0"/>
              <w:spacing w:before="0" w:after="0"/>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808"/>
        <w:gridCol w:w="109"/>
        <w:gridCol w:w="9288"/>
      </w:tblGrid>
      <w:tr>
        <w:trPr/>
        <w:tc>
          <w:tcPr>
            <w:tcW w:w="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109" w:type="dxa"/>
            <w:tcBorders/>
            <w:vAlign w:val="center"/>
          </w:tcPr>
          <w:p>
            <w:pPr>
              <w:pStyle w:val="TableContents"/>
              <w:bidi w:val="0"/>
              <w:spacing w:before="0" w:after="0"/>
              <w:ind w:left="0" w:right="0" w:hanging="0"/>
              <w:jc w:val="left"/>
              <w:rPr/>
            </w:pPr>
            <w:r>
              <w:rPr/>
              <w:t>​</w:t>
            </w:r>
          </w:p>
        </w:tc>
        <w:tc>
          <w:tcPr>
            <w:tcW w:w="9288"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Amended and Restated Bylaws of Zenas BioPharma, Inc. (incorporated by reference to Exhibit 3.2 to the Form 8-K filed on September 16, 2024, File No. 001-42270)</w:t>
              </w:r>
            </w:hyperlink>
          </w:p>
        </w:tc>
      </w:tr>
      <w:tr>
        <w:trPr/>
        <w:tc>
          <w:tcPr>
            <w:tcW w:w="80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288" w:type="dxa"/>
            <w:tcBorders/>
            <w:vAlign w:val="center"/>
          </w:tcPr>
          <w:p>
            <w:pPr>
              <w:pStyle w:val="TableContents"/>
              <w:bidi w:val="0"/>
              <w:spacing w:before="0" w:after="0"/>
              <w:ind w:left="0" w:right="0" w:hanging="0"/>
              <w:jc w:val="left"/>
              <w:rPr/>
            </w:pPr>
            <w:r>
              <w:rPr/>
              <w:t>​</w:t>
            </w:r>
          </w:p>
        </w:tc>
      </w:tr>
      <w:tr>
        <w:trPr/>
        <w:tc>
          <w:tcPr>
            <w:tcW w:w="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109" w:type="dxa"/>
            <w:tcBorders/>
            <w:vAlign w:val="center"/>
          </w:tcPr>
          <w:p>
            <w:pPr>
              <w:pStyle w:val="TableContents"/>
              <w:bidi w:val="0"/>
              <w:spacing w:before="0" w:after="0"/>
              <w:ind w:left="0" w:right="0" w:hanging="0"/>
              <w:jc w:val="left"/>
              <w:rPr/>
            </w:pPr>
            <w:r>
              <w:rPr/>
              <w:t>​</w:t>
            </w:r>
          </w:p>
        </w:tc>
        <w:tc>
          <w:tcPr>
            <w:tcW w:w="9288" w:type="dxa"/>
            <w:tcBorders/>
            <w:vAlign w:val="center"/>
          </w:tcPr>
          <w:p>
            <w:pPr>
              <w:pStyle w:val="TableContents"/>
              <w:bidi w:val="0"/>
              <w:spacing w:before="0" w:after="0"/>
              <w:ind w:left="0" w:right="0" w:hanging="0"/>
              <w:jc w:val="left"/>
              <w:rPr/>
            </w:pPr>
            <w:hyperlink w:anchor="zbio-20260630xex10d1.htm">
              <w:r>
                <w:rPr>
                  <w:rStyle w:val="InternetLink"/>
                  <w:rFonts w:ascii="Times New Roman;Times;serif" w:hAnsi="Times New Roman;Times;serif"/>
                  <w:b w:val="false"/>
                  <w:i w:val="false"/>
                  <w:caps w:val="false"/>
                  <w:smallCaps w:val="false"/>
                  <w:sz w:val="20"/>
                </w:rPr>
                <w:t>First Amendment to the Zenas BioPharma, Inc. 2024 Employee Stock Purchase Plan, dated May 18, 2026</w:t>
              </w:r>
            </w:hyperlink>
          </w:p>
        </w:tc>
      </w:tr>
      <w:tr>
        <w:trPr/>
        <w:tc>
          <w:tcPr>
            <w:tcW w:w="80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288" w:type="dxa"/>
            <w:tcBorders/>
            <w:vAlign w:val="center"/>
          </w:tcPr>
          <w:p>
            <w:pPr>
              <w:pStyle w:val="TableContents"/>
              <w:bidi w:val="0"/>
              <w:spacing w:before="0" w:after="0"/>
              <w:ind w:left="0" w:right="0" w:hanging="0"/>
              <w:jc w:val="left"/>
              <w:rPr/>
            </w:pPr>
            <w:r>
              <w:rPr/>
              <w:t>​</w:t>
            </w:r>
          </w:p>
        </w:tc>
      </w:tr>
      <w:tr>
        <w:trPr/>
        <w:tc>
          <w:tcPr>
            <w:tcW w:w="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109" w:type="dxa"/>
            <w:tcBorders/>
            <w:vAlign w:val="center"/>
          </w:tcPr>
          <w:p>
            <w:pPr>
              <w:pStyle w:val="TableContents"/>
              <w:bidi w:val="0"/>
              <w:spacing w:before="0" w:after="0"/>
              <w:ind w:left="0" w:right="0" w:hanging="0"/>
              <w:jc w:val="left"/>
              <w:rPr/>
            </w:pPr>
            <w:r>
              <w:rPr/>
              <w:t>​</w:t>
            </w:r>
          </w:p>
        </w:tc>
        <w:tc>
          <w:tcPr>
            <w:tcW w:w="9288" w:type="dxa"/>
            <w:tcBorders/>
            <w:vAlign w:val="center"/>
          </w:tcPr>
          <w:p>
            <w:pPr>
              <w:pStyle w:val="TableContents"/>
              <w:bidi w:val="0"/>
              <w:spacing w:before="0" w:after="0"/>
              <w:ind w:left="0" w:right="0" w:hanging="0"/>
              <w:jc w:val="left"/>
              <w:rPr/>
            </w:pPr>
            <w:hyperlink w:anchor="zbio-20260630xex31d1.htm">
              <w:r>
                <w:rPr>
                  <w:rStyle w:val="InternetLink"/>
                  <w:rFonts w:ascii="Times New Roman;Times;serif" w:hAnsi="Times New Roman;Times;serif"/>
                  <w:b w:val="false"/>
                  <w:i w:val="false"/>
                  <w:caps w:val="false"/>
                  <w:smallCaps w:val="false"/>
                  <w:sz w:val="20"/>
                </w:rPr>
                <w:t>Certification of Chief Executive Officer Pursuant to Section 302 of the Sarbanes-Oxley Act of 2002</w:t>
              </w:r>
            </w:hyperlink>
          </w:p>
        </w:tc>
      </w:tr>
      <w:tr>
        <w:trPr/>
        <w:tc>
          <w:tcPr>
            <w:tcW w:w="80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288" w:type="dxa"/>
            <w:tcBorders/>
            <w:vAlign w:val="center"/>
          </w:tcPr>
          <w:p>
            <w:pPr>
              <w:pStyle w:val="TableContents"/>
              <w:bidi w:val="0"/>
              <w:spacing w:before="0" w:after="0"/>
              <w:ind w:left="0" w:right="0" w:hanging="0"/>
              <w:jc w:val="left"/>
              <w:rPr/>
            </w:pPr>
            <w:r>
              <w:rPr/>
              <w:t>​</w:t>
            </w:r>
          </w:p>
        </w:tc>
      </w:tr>
      <w:tr>
        <w:trPr/>
        <w:tc>
          <w:tcPr>
            <w:tcW w:w="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109" w:type="dxa"/>
            <w:tcBorders/>
            <w:vAlign w:val="center"/>
          </w:tcPr>
          <w:p>
            <w:pPr>
              <w:pStyle w:val="TableContents"/>
              <w:bidi w:val="0"/>
              <w:spacing w:before="0" w:after="0"/>
              <w:ind w:left="0" w:right="0" w:hanging="0"/>
              <w:jc w:val="left"/>
              <w:rPr/>
            </w:pPr>
            <w:r>
              <w:rPr/>
              <w:t>​</w:t>
            </w:r>
          </w:p>
        </w:tc>
        <w:tc>
          <w:tcPr>
            <w:tcW w:w="9288" w:type="dxa"/>
            <w:tcBorders/>
            <w:vAlign w:val="center"/>
          </w:tcPr>
          <w:p>
            <w:pPr>
              <w:pStyle w:val="TableContents"/>
              <w:bidi w:val="0"/>
              <w:spacing w:before="0" w:after="0"/>
              <w:ind w:left="0" w:right="0" w:hanging="0"/>
              <w:jc w:val="left"/>
              <w:rPr/>
            </w:pPr>
            <w:hyperlink w:anchor="zbio-20260630xex31d2.htm">
              <w:r>
                <w:rPr>
                  <w:rStyle w:val="InternetLink"/>
                  <w:rFonts w:ascii="Times New Roman;Times;serif" w:hAnsi="Times New Roman;Times;serif"/>
                  <w:b w:val="false"/>
                  <w:i w:val="false"/>
                  <w:caps w:val="false"/>
                  <w:smallCaps w:val="false"/>
                  <w:sz w:val="20"/>
                </w:rPr>
                <w:t>Certification of Chief Financial Officer Pursuant to Section 302 of the Sarbanes-Oxley Act of 2002</w:t>
              </w:r>
            </w:hyperlink>
          </w:p>
        </w:tc>
      </w:tr>
      <w:tr>
        <w:trPr/>
        <w:tc>
          <w:tcPr>
            <w:tcW w:w="80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288" w:type="dxa"/>
            <w:tcBorders/>
            <w:vAlign w:val="center"/>
          </w:tcPr>
          <w:p>
            <w:pPr>
              <w:pStyle w:val="TableContents"/>
              <w:bidi w:val="0"/>
              <w:spacing w:before="0" w:after="0"/>
              <w:ind w:left="0" w:right="0" w:hanging="0"/>
              <w:jc w:val="left"/>
              <w:rPr/>
            </w:pPr>
            <w:r>
              <w:rPr/>
              <w:t>​</w:t>
            </w:r>
          </w:p>
        </w:tc>
      </w:tr>
      <w:tr>
        <w:trPr/>
        <w:tc>
          <w:tcPr>
            <w:tcW w:w="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109" w:type="dxa"/>
            <w:tcBorders/>
            <w:vAlign w:val="center"/>
          </w:tcPr>
          <w:p>
            <w:pPr>
              <w:pStyle w:val="TableContents"/>
              <w:bidi w:val="0"/>
              <w:spacing w:before="0" w:after="0"/>
              <w:ind w:left="0" w:right="0" w:hanging="0"/>
              <w:jc w:val="left"/>
              <w:rPr/>
            </w:pPr>
            <w:r>
              <w:rPr/>
              <w:t>​</w:t>
            </w:r>
          </w:p>
        </w:tc>
        <w:tc>
          <w:tcPr>
            <w:tcW w:w="9288" w:type="dxa"/>
            <w:tcBorders/>
            <w:vAlign w:val="center"/>
          </w:tcPr>
          <w:p>
            <w:pPr>
              <w:pStyle w:val="TableContents"/>
              <w:bidi w:val="0"/>
              <w:spacing w:before="0" w:after="0"/>
              <w:ind w:left="0" w:right="0" w:hanging="0"/>
              <w:jc w:val="left"/>
              <w:rPr/>
            </w:pPr>
            <w:hyperlink w:anchor="zbio-20260630xex32d1.htm">
              <w:r>
                <w:rPr>
                  <w:rStyle w:val="InternetLink"/>
                  <w:rFonts w:ascii="Times New Roman;Times;serif" w:hAnsi="Times New Roman;Times;serif"/>
                  <w:b w:val="false"/>
                  <w:i w:val="false"/>
                  <w:caps w:val="false"/>
                  <w:smallCaps w:val="false"/>
                  <w:sz w:val="20"/>
                </w:rPr>
                <w:t>Certification of Chief Executive Officer Pursuant to 18 U.S.C. Section 1350, as adopted pursuant to Section 906 of the Sarbanes-Oxley Act of 2002</w:t>
              </w:r>
            </w:hyperlink>
          </w:p>
        </w:tc>
      </w:tr>
      <w:tr>
        <w:trPr/>
        <w:tc>
          <w:tcPr>
            <w:tcW w:w="80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288" w:type="dxa"/>
            <w:tcBorders/>
            <w:vAlign w:val="center"/>
          </w:tcPr>
          <w:p>
            <w:pPr>
              <w:pStyle w:val="TableContents"/>
              <w:bidi w:val="0"/>
              <w:spacing w:before="0" w:after="0"/>
              <w:ind w:left="0" w:right="0" w:hanging="0"/>
              <w:jc w:val="left"/>
              <w:rPr/>
            </w:pPr>
            <w:r>
              <w:rPr/>
              <w:t>​</w:t>
            </w:r>
          </w:p>
        </w:tc>
      </w:tr>
      <w:tr>
        <w:trPr/>
        <w:tc>
          <w:tcPr>
            <w:tcW w:w="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109" w:type="dxa"/>
            <w:tcBorders/>
            <w:vAlign w:val="center"/>
          </w:tcPr>
          <w:p>
            <w:pPr>
              <w:pStyle w:val="TableContents"/>
              <w:bidi w:val="0"/>
              <w:spacing w:before="0" w:after="0"/>
              <w:ind w:left="0" w:right="0" w:hanging="0"/>
              <w:jc w:val="left"/>
              <w:rPr/>
            </w:pPr>
            <w:r>
              <w:rPr/>
              <w:t>​</w:t>
            </w:r>
          </w:p>
        </w:tc>
        <w:tc>
          <w:tcPr>
            <w:tcW w:w="9288" w:type="dxa"/>
            <w:tcBorders/>
            <w:vAlign w:val="center"/>
          </w:tcPr>
          <w:p>
            <w:pPr>
              <w:pStyle w:val="TableContents"/>
              <w:bidi w:val="0"/>
              <w:spacing w:before="0" w:after="0"/>
              <w:ind w:left="0" w:right="0" w:hanging="0"/>
              <w:jc w:val="left"/>
              <w:rPr/>
            </w:pPr>
            <w:hyperlink w:anchor="zbio-20260630xex32d2.htm">
              <w:r>
                <w:rPr>
                  <w:rStyle w:val="InternetLink"/>
                  <w:rFonts w:ascii="Times New Roman;Times;serif" w:hAnsi="Times New Roman;Times;serif"/>
                  <w:b w:val="false"/>
                  <w:i w:val="false"/>
                  <w:caps w:val="false"/>
                  <w:smallCaps w:val="false"/>
                  <w:sz w:val="20"/>
                </w:rPr>
                <w:t>Certification of Chief Financial Officer Pursuant to 18 U.S.C. Section 1350, as adopted pursuant to Section 906 of the Sarbanes-Oxley Act of 2002</w:t>
              </w:r>
            </w:hyperlink>
          </w:p>
        </w:tc>
      </w:tr>
      <w:tr>
        <w:trPr/>
        <w:tc>
          <w:tcPr>
            <w:tcW w:w="80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288" w:type="dxa"/>
            <w:tcBorders/>
            <w:vAlign w:val="center"/>
          </w:tcPr>
          <w:p>
            <w:pPr>
              <w:pStyle w:val="TableContents"/>
              <w:bidi w:val="0"/>
              <w:spacing w:before="0" w:after="0"/>
              <w:ind w:left="0" w:right="0" w:hanging="0"/>
              <w:jc w:val="left"/>
              <w:rPr/>
            </w:pPr>
            <w:r>
              <w:rPr/>
              <w:t>​</w:t>
            </w:r>
          </w:p>
        </w:tc>
      </w:tr>
      <w:tr>
        <w:trPr/>
        <w:tc>
          <w:tcPr>
            <w:tcW w:w="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109" w:type="dxa"/>
            <w:tcBorders/>
            <w:vAlign w:val="center"/>
          </w:tcPr>
          <w:p>
            <w:pPr>
              <w:pStyle w:val="TableContents"/>
              <w:bidi w:val="0"/>
              <w:spacing w:before="0" w:after="0"/>
              <w:ind w:left="0" w:right="0" w:hanging="0"/>
              <w:jc w:val="left"/>
              <w:rPr/>
            </w:pPr>
            <w:r>
              <w:rPr/>
              <w:t>​</w:t>
            </w:r>
          </w:p>
        </w:tc>
        <w:tc>
          <w:tcPr>
            <w:tcW w:w="9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Instance Document – the instance document does not appear in the Interactive Data File because its XBRL tags are embedded within the Inline XBRL document</w:t>
            </w:r>
          </w:p>
        </w:tc>
      </w:tr>
      <w:tr>
        <w:trPr/>
        <w:tc>
          <w:tcPr>
            <w:tcW w:w="80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288" w:type="dxa"/>
            <w:tcBorders/>
            <w:vAlign w:val="center"/>
          </w:tcPr>
          <w:p>
            <w:pPr>
              <w:pStyle w:val="TableContents"/>
              <w:bidi w:val="0"/>
              <w:spacing w:before="0" w:after="0"/>
              <w:ind w:left="0" w:right="0" w:hanging="0"/>
              <w:jc w:val="left"/>
              <w:rPr/>
            </w:pPr>
            <w:r>
              <w:rPr/>
              <w:t>​</w:t>
            </w:r>
          </w:p>
        </w:tc>
      </w:tr>
      <w:tr>
        <w:trPr/>
        <w:tc>
          <w:tcPr>
            <w:tcW w:w="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109" w:type="dxa"/>
            <w:tcBorders/>
            <w:vAlign w:val="center"/>
          </w:tcPr>
          <w:p>
            <w:pPr>
              <w:pStyle w:val="TableContents"/>
              <w:bidi w:val="0"/>
              <w:spacing w:before="0" w:after="0"/>
              <w:ind w:left="0" w:right="0" w:hanging="0"/>
              <w:jc w:val="left"/>
              <w:rPr/>
            </w:pPr>
            <w:r>
              <w:rPr/>
              <w:t>​</w:t>
            </w:r>
          </w:p>
        </w:tc>
        <w:tc>
          <w:tcPr>
            <w:tcW w:w="9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Schema Document</w:t>
            </w:r>
          </w:p>
        </w:tc>
      </w:tr>
      <w:tr>
        <w:trPr/>
        <w:tc>
          <w:tcPr>
            <w:tcW w:w="80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288" w:type="dxa"/>
            <w:tcBorders/>
            <w:vAlign w:val="center"/>
          </w:tcPr>
          <w:p>
            <w:pPr>
              <w:pStyle w:val="TableContents"/>
              <w:bidi w:val="0"/>
              <w:spacing w:before="0" w:after="0"/>
              <w:ind w:left="0" w:right="0" w:hanging="0"/>
              <w:jc w:val="left"/>
              <w:rPr/>
            </w:pPr>
            <w:r>
              <w:rPr/>
              <w:t>​</w:t>
            </w:r>
          </w:p>
        </w:tc>
      </w:tr>
      <w:tr>
        <w:trPr/>
        <w:tc>
          <w:tcPr>
            <w:tcW w:w="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109" w:type="dxa"/>
            <w:tcBorders/>
            <w:vAlign w:val="center"/>
          </w:tcPr>
          <w:p>
            <w:pPr>
              <w:pStyle w:val="TableContents"/>
              <w:bidi w:val="0"/>
              <w:spacing w:before="0" w:after="0"/>
              <w:ind w:left="0" w:right="0" w:hanging="0"/>
              <w:jc w:val="left"/>
              <w:rPr/>
            </w:pPr>
            <w:r>
              <w:rPr/>
              <w:t>​</w:t>
            </w:r>
          </w:p>
        </w:tc>
        <w:tc>
          <w:tcPr>
            <w:tcW w:w="9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Calculation Linkbase Document</w:t>
            </w:r>
          </w:p>
        </w:tc>
      </w:tr>
      <w:tr>
        <w:trPr/>
        <w:tc>
          <w:tcPr>
            <w:tcW w:w="80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288" w:type="dxa"/>
            <w:tcBorders/>
            <w:vAlign w:val="center"/>
          </w:tcPr>
          <w:p>
            <w:pPr>
              <w:pStyle w:val="TableContents"/>
              <w:bidi w:val="0"/>
              <w:spacing w:before="0" w:after="0"/>
              <w:ind w:left="0" w:right="0" w:hanging="0"/>
              <w:jc w:val="left"/>
              <w:rPr/>
            </w:pPr>
            <w:r>
              <w:rPr/>
              <w:t>​</w:t>
            </w:r>
          </w:p>
        </w:tc>
      </w:tr>
      <w:tr>
        <w:trPr/>
        <w:tc>
          <w:tcPr>
            <w:tcW w:w="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109" w:type="dxa"/>
            <w:tcBorders/>
            <w:vAlign w:val="center"/>
          </w:tcPr>
          <w:p>
            <w:pPr>
              <w:pStyle w:val="TableContents"/>
              <w:bidi w:val="0"/>
              <w:spacing w:before="0" w:after="0"/>
              <w:ind w:left="0" w:right="0" w:hanging="0"/>
              <w:jc w:val="left"/>
              <w:rPr/>
            </w:pPr>
            <w:r>
              <w:rPr/>
              <w:t>​</w:t>
            </w:r>
          </w:p>
        </w:tc>
        <w:tc>
          <w:tcPr>
            <w:tcW w:w="9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Definition Linkbase Document</w:t>
            </w:r>
          </w:p>
        </w:tc>
      </w:tr>
      <w:tr>
        <w:trPr/>
        <w:tc>
          <w:tcPr>
            <w:tcW w:w="80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288" w:type="dxa"/>
            <w:tcBorders/>
            <w:vAlign w:val="center"/>
          </w:tcPr>
          <w:p>
            <w:pPr>
              <w:pStyle w:val="TableContents"/>
              <w:bidi w:val="0"/>
              <w:spacing w:before="0" w:after="0"/>
              <w:ind w:left="0" w:right="0" w:hanging="0"/>
              <w:jc w:val="left"/>
              <w:rPr/>
            </w:pPr>
            <w:r>
              <w:rPr/>
              <w:t>​</w:t>
            </w:r>
          </w:p>
        </w:tc>
      </w:tr>
      <w:tr>
        <w:trPr/>
        <w:tc>
          <w:tcPr>
            <w:tcW w:w="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109" w:type="dxa"/>
            <w:tcBorders/>
            <w:vAlign w:val="center"/>
          </w:tcPr>
          <w:p>
            <w:pPr>
              <w:pStyle w:val="TableContents"/>
              <w:bidi w:val="0"/>
              <w:spacing w:before="0" w:after="0"/>
              <w:ind w:left="0" w:right="0" w:hanging="0"/>
              <w:jc w:val="left"/>
              <w:rPr/>
            </w:pPr>
            <w:r>
              <w:rPr/>
              <w:t>​</w:t>
            </w:r>
          </w:p>
        </w:tc>
        <w:tc>
          <w:tcPr>
            <w:tcW w:w="9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Label Linkbase Document</w:t>
            </w:r>
          </w:p>
        </w:tc>
      </w:tr>
      <w:tr>
        <w:trPr/>
        <w:tc>
          <w:tcPr>
            <w:tcW w:w="80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288" w:type="dxa"/>
            <w:tcBorders/>
            <w:vAlign w:val="center"/>
          </w:tcPr>
          <w:p>
            <w:pPr>
              <w:pStyle w:val="TableContents"/>
              <w:bidi w:val="0"/>
              <w:spacing w:before="0" w:after="0"/>
              <w:ind w:left="0" w:right="0" w:hanging="0"/>
              <w:jc w:val="left"/>
              <w:rPr/>
            </w:pPr>
            <w:r>
              <w:rPr/>
              <w:t>​</w:t>
            </w:r>
          </w:p>
        </w:tc>
      </w:tr>
      <w:tr>
        <w:trPr/>
        <w:tc>
          <w:tcPr>
            <w:tcW w:w="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109" w:type="dxa"/>
            <w:tcBorders/>
            <w:vAlign w:val="center"/>
          </w:tcPr>
          <w:p>
            <w:pPr>
              <w:pStyle w:val="TableContents"/>
              <w:bidi w:val="0"/>
              <w:spacing w:before="0" w:after="0"/>
              <w:ind w:left="0" w:right="0" w:hanging="0"/>
              <w:jc w:val="left"/>
              <w:rPr/>
            </w:pPr>
            <w:r>
              <w:rPr/>
              <w:t>​</w:t>
            </w:r>
          </w:p>
        </w:tc>
        <w:tc>
          <w:tcPr>
            <w:tcW w:w="9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Presentation Linkbase Document</w:t>
            </w:r>
          </w:p>
        </w:tc>
      </w:tr>
      <w:tr>
        <w:trPr/>
        <w:tc>
          <w:tcPr>
            <w:tcW w:w="80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288" w:type="dxa"/>
            <w:tcBorders/>
            <w:vAlign w:val="center"/>
          </w:tcPr>
          <w:p>
            <w:pPr>
              <w:pStyle w:val="TableContents"/>
              <w:bidi w:val="0"/>
              <w:spacing w:before="0" w:after="0"/>
              <w:ind w:left="0" w:right="0" w:hanging="0"/>
              <w:jc w:val="left"/>
              <w:rPr/>
            </w:pPr>
            <w:r>
              <w:rPr/>
              <w:t>​</w:t>
            </w:r>
          </w:p>
        </w:tc>
      </w:tr>
      <w:tr>
        <w:trPr/>
        <w:tc>
          <w:tcPr>
            <w:tcW w:w="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left"/>
              <w:rPr/>
            </w:pPr>
            <w:r>
              <w:rPr/>
              <w:t>​</w:t>
            </w:r>
          </w:p>
        </w:tc>
        <w:tc>
          <w:tcPr>
            <w:tcW w:w="9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in Inline XBRL and contained in Exhibit 101)</w:t>
            </w:r>
          </w:p>
        </w:tc>
      </w:tr>
    </w:tbl>
    <w:p>
      <w:pPr>
        <w:pStyle w:val="TextBody"/>
        <w:pBdr/>
        <w:bidi w:val="0"/>
        <w:spacing w:before="0" w:after="0"/>
        <w:ind w:left="0" w:right="0" w:hanging="360"/>
        <w:jc w:val="both"/>
        <w:rPr/>
      </w:pPr>
      <w:r>
        <w:rPr/>
        <w:t>†  </w:t>
      </w:r>
      <w:r>
        <w:rPr>
          <w:rFonts w:ascii="Times New Roman;Times;serif" w:hAnsi="Times New Roman;Times;serif"/>
          <w:sz w:val="20"/>
        </w:rPr>
        <w:t>Filed herewith.</w:t>
      </w:r>
    </w:p>
    <w:p>
      <w:pPr>
        <w:pStyle w:val="TextBody"/>
        <w:pBdr/>
        <w:bidi w:val="0"/>
        <w:spacing w:before="0" w:after="0"/>
        <w:ind w:left="0" w:right="0" w:hanging="360"/>
        <w:jc w:val="both"/>
        <w:rPr>
          <w:rFonts w:ascii="Times New Roman;Times;serif" w:hAnsi="Times New Roman;Times;serif"/>
          <w:sz w:val="20"/>
        </w:rPr>
      </w:pPr>
      <w:r>
        <w:rPr>
          <w:rFonts w:ascii="Times New Roman;Times;serif" w:hAnsi="Times New Roman;Times;serif"/>
          <w:sz w:val="20"/>
        </w:rPr>
        <w:t xml:space="preserve">+  Portions of this exhibit (indicated by asterisks) have been redacted pursuant to Item 601 of Regulation S-K because they are both not material and the registrant customarily and actually treats such information as private or confidential.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This certification will not be deemed “filed” for purposes of Section 18 of the Securities Exchange Act of 1934, as amended (the “Exchange Act”), or otherwise subject to the liability of that section. Such certification will not be deemed to be incorporated by reference into any filing under the Securities Act of 1933, as amended, or the Exchange Act, except to the extent specifically incorporated by reference into such filing.</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1089" w:name="SIGNATURES_748628"/>
      <w:bookmarkStart w:id="1090" w:name="_929fb131_426e_4092_93dd_d518620c1c62"/>
      <w:bookmarkEnd w:id="1089"/>
      <w:bookmarkEnd w:id="1090"/>
      <w:r>
        <w:rPr>
          <w:rFonts w:ascii="Times New Roman;Times;serif" w:hAnsi="Times New Roman;Times;serif"/>
          <w:b/>
          <w:sz w:val="20"/>
        </w:rPr>
        <w:t>SIGNATURES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duly authorized.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 August 13, 2026</w:t>
      </w:r>
    </w:p>
    <w:tbl>
      <w:tblPr>
        <w:tblW w:w="3231" w:type="dxa"/>
        <w:jc w:val="left"/>
        <w:tblInd w:w="0" w:type="dxa"/>
        <w:tblLayout w:type="fixed"/>
        <w:tblCellMar>
          <w:top w:w="0" w:type="dxa"/>
          <w:left w:w="0" w:type="dxa"/>
          <w:bottom w:w="0" w:type="dxa"/>
          <w:right w:w="0" w:type="dxa"/>
        </w:tblCellMar>
      </w:tblPr>
      <w:tblGrid>
        <w:gridCol w:w="124"/>
        <w:gridCol w:w="631"/>
        <w:gridCol w:w="2476"/>
      </w:tblGrid>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10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ZENAS BIOPHARMA, INC.</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 Leon O. Moulder, Jr. </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4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Leon O. Moulder, Jr.</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240"/>
        <w:ind w:left="0" w:right="0" w:hanging="0"/>
        <w:jc w:val="left"/>
        <w:rPr/>
      </w:pPr>
      <w:r>
        <w:rPr/>
        <w:t>​</w:t>
      </w:r>
    </w:p>
    <w:tbl>
      <w:tblPr>
        <w:tblW w:w="4971" w:type="dxa"/>
        <w:jc w:val="left"/>
        <w:tblInd w:w="0" w:type="dxa"/>
        <w:tblLayout w:type="fixed"/>
        <w:tblCellMar>
          <w:top w:w="0" w:type="dxa"/>
          <w:left w:w="0" w:type="dxa"/>
          <w:bottom w:w="0" w:type="dxa"/>
          <w:right w:w="0" w:type="dxa"/>
        </w:tblCellMar>
      </w:tblPr>
      <w:tblGrid>
        <w:gridCol w:w="124"/>
        <w:gridCol w:w="631"/>
        <w:gridCol w:w="4216"/>
      </w:tblGrid>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421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421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2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Jennifer Fox</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21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Jennifer Fox</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Business Officer and Chief Financial Officer</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240"/>
        <w:ind w:left="0" w:right="0" w:hanging="0"/>
        <w:jc w:val="right"/>
        <w:rPr>
          <w:rFonts w:ascii="Times New Roman;Times;serif" w:hAnsi="Times New Roman;Times;serif"/>
          <w:b/>
          <w:sz w:val="20"/>
        </w:rPr>
      </w:pPr>
      <w:bookmarkStart w:id="1091" w:name="zbio-20260630xex10d1.htm"/>
      <w:bookmarkStart w:id="1092" w:name="kszbio20260630xex10d1"/>
      <w:bookmarkEnd w:id="1091"/>
      <w:bookmarkEnd w:id="1092"/>
      <w:r>
        <w:rPr>
          <w:rFonts w:ascii="Times New Roman;Times;serif" w:hAnsi="Times New Roman;Times;serif"/>
          <w:b/>
          <w:sz w:val="20"/>
        </w:rPr>
        <w:t>Exhibit 10.1</w:t>
      </w:r>
      <w:r>
        <w:br w:type="page"/>
      </w:r>
    </w:p>
    <w:p>
      <w:pPr>
        <w:pStyle w:val="TextBody"/>
        <w:bidi w:val="0"/>
        <w:spacing w:before="0" w:after="240"/>
        <w:ind w:left="0" w:right="0" w:hanging="0"/>
        <w:jc w:val="left"/>
        <w:rPr/>
      </w:pPr>
      <w:r>
        <w:rPr/>
        <w:drawing>
          <wp:inline distT="0" distB="0" distL="0" distR="0">
            <wp:extent cx="1473200" cy="536575"/>
            <wp:effectExtent l="0" t="0" r="0" b="0"/>
            <wp:docPr id="26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2" descr=""/>
                    <pic:cNvPicPr>
                      <a:picLocks noChangeAspect="1" noChangeArrowheads="1"/>
                    </pic:cNvPicPr>
                  </pic:nvPicPr>
                  <pic:blipFill>
                    <a:blip r:embed="rId5"/>
                    <a:stretch>
                      <a:fillRect/>
                    </a:stretch>
                  </pic:blipFill>
                  <pic:spPr bwMode="auto">
                    <a:xfrm>
                      <a:off x="0" y="0"/>
                      <a:ext cx="1473200" cy="536575"/>
                    </a:xfrm>
                    <a:prstGeom prst="rect">
                      <a:avLst/>
                    </a:prstGeom>
                  </pic:spPr>
                </pic:pic>
              </a:graphicData>
            </a:graphic>
          </wp:inline>
        </w:drawing>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ZENAS BIOPHARMA,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2024 EMPLOYEE STOCK PURCHASE PLAN</w:t>
        <w:br/>
        <w:t>(AMENDED AND RESTATED ON MAY 18, 2026)</w:t>
      </w:r>
    </w:p>
    <w:tbl>
      <w:tblPr>
        <w:tblW w:w="1435" w:type="dxa"/>
        <w:jc w:val="left"/>
        <w:tblInd w:w="0" w:type="dxa"/>
        <w:tblLayout w:type="fixed"/>
        <w:tblCellMar>
          <w:top w:w="0" w:type="dxa"/>
          <w:left w:w="0" w:type="dxa"/>
          <w:bottom w:w="0" w:type="dxa"/>
          <w:right w:w="0" w:type="dxa"/>
        </w:tblCellMar>
      </w:tblPr>
      <w:tblGrid>
        <w:gridCol w:w="170"/>
        <w:gridCol w:w="1265"/>
      </w:tblGrid>
      <w:tr>
        <w:trPr/>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w:t>
            </w:r>
          </w:p>
        </w:tc>
        <w:tc>
          <w:tcPr>
            <w:tcW w:w="126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Defined Terms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Exhibit A, which is incorporated by reference, defines the terms used in this Plan and sets forth certain operational rules related to those terms.</w:t>
      </w:r>
    </w:p>
    <w:tbl>
      <w:tblPr>
        <w:tblW w:w="1525" w:type="dxa"/>
        <w:jc w:val="left"/>
        <w:tblInd w:w="0" w:type="dxa"/>
        <w:tblLayout w:type="fixed"/>
        <w:tblCellMar>
          <w:top w:w="0" w:type="dxa"/>
          <w:left w:w="0" w:type="dxa"/>
          <w:bottom w:w="0" w:type="dxa"/>
          <w:right w:w="0" w:type="dxa"/>
        </w:tblCellMar>
      </w:tblPr>
      <w:tblGrid>
        <w:gridCol w:w="170"/>
        <w:gridCol w:w="1355"/>
      </w:tblGrid>
      <w:tr>
        <w:trPr/>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135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Purpose of Plan</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Purpose</w:t>
      </w:r>
      <w:r>
        <w:rPr>
          <w:rFonts w:ascii="Times New Roman;Times;serif" w:hAnsi="Times New Roman;Times;serif"/>
          <w:sz w:val="20"/>
        </w:rPr>
        <w:t>. This Plan is intended to enable Eligible Employees to purchase shares of Stock in offerings under this Plan, and thereby acquire an interest in the Company. This Plan is intended to be exempt from the application and requirements of Section 409A of the Code, and is to be construed accordingly.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Qualified and Non-Qualified Offerings Permitted</w:t>
      </w:r>
      <w:r>
        <w:rPr>
          <w:rFonts w:ascii="Times New Roman;Times;serif" w:hAnsi="Times New Roman;Times;serif"/>
          <w:sz w:val="20"/>
        </w:rPr>
        <w:t>. This Plan includes two components: a 423 Component and a Non-423 Component. The Company intends (but makes no undertaking or representation to maintain) the 423 Component to qualify as an “employee stock purchase plan” under Section 423. The provisions of the 423 Component, accordingly, will be construed in a manner that is consistent with the requirements of Section 423. In addition, this Plan authorizes grants of Options under the Non-423 Component that do not meet the requirements of Section 423. Except as otherwise provided in this Plan or as the Administrator determines, the Non-423 Component will operate and be administered in the same manner as the 423 Component. Eligible Employees will be able to participate in either the 423 Component or the Non-423 Component of this Plan, as the Administrator determines.</w:t>
      </w:r>
    </w:p>
    <w:tbl>
      <w:tblPr>
        <w:tblW w:w="2395" w:type="dxa"/>
        <w:jc w:val="left"/>
        <w:tblInd w:w="0" w:type="dxa"/>
        <w:tblLayout w:type="fixed"/>
        <w:tblCellMar>
          <w:top w:w="0" w:type="dxa"/>
          <w:left w:w="0" w:type="dxa"/>
          <w:bottom w:w="0" w:type="dxa"/>
          <w:right w:w="0" w:type="dxa"/>
        </w:tblCellMar>
      </w:tblPr>
      <w:tblGrid>
        <w:gridCol w:w="170"/>
        <w:gridCol w:w="2225"/>
      </w:tblGrid>
      <w:tr>
        <w:trPr/>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3.</w:t>
            </w:r>
          </w:p>
        </w:tc>
        <w:tc>
          <w:tcPr>
            <w:tcW w:w="222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Options to Purchase Stock</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Subject to adjustment pursuant to Section 16 of this Plan, the maximum aggregate number of shares of Stock available for purchase pursuant to the exercise of Options granted under this Plan will be 397,956 shares (the “</w:t>
      </w:r>
      <w:r>
        <w:rPr>
          <w:rFonts w:ascii="Times New Roman;Times;serif" w:hAnsi="Times New Roman;Times;serif"/>
          <w:b/>
          <w:sz w:val="20"/>
        </w:rPr>
        <w:t>Initial Share Pool</w:t>
      </w:r>
      <w:r>
        <w:rPr>
          <w:rFonts w:ascii="Times New Roman;Times;serif" w:hAnsi="Times New Roman;Times;serif"/>
          <w:sz w:val="20"/>
        </w:rPr>
        <w:t>”). The Initial Share Pool will automatically increase on January 1</w:t>
      </w:r>
      <w:r>
        <w:rPr>
          <w:rFonts w:ascii="Times New Roman;Times;serif" w:hAnsi="Times New Roman;Times;serif"/>
          <w:sz w:val="15"/>
        </w:rPr>
        <w:t xml:space="preserve">st </w:t>
      </w:r>
      <w:r>
        <w:rPr>
          <w:rFonts w:ascii="Times New Roman;Times;serif" w:hAnsi="Times New Roman;Times;serif"/>
          <w:sz w:val="20"/>
        </w:rPr>
        <w:t>of each year beginning in 2025 and continuing through and including 2034 by the lesser of (i) one percent of the number of shares of Stock outstanding as of such date and (ii) the number of shares of Stock determined by the Board on or prior to such date for such year, up to a maximum of 1,000,000 shares in the aggregate per year (the Initial Share Pool, as it may be so increased, the “</w:t>
      </w:r>
      <w:r>
        <w:rPr>
          <w:rFonts w:ascii="Times New Roman;Times;serif" w:hAnsi="Times New Roman;Times;serif"/>
          <w:b/>
          <w:sz w:val="20"/>
        </w:rPr>
        <w:t>Share Pool</w:t>
      </w:r>
      <w:r>
        <w:rPr>
          <w:rFonts w:ascii="Times New Roman;Times;serif" w:hAnsi="Times New Roman;Times;serif"/>
          <w:sz w:val="20"/>
        </w:rPr>
        <w:t>”). The shares of Stock to be delivered upon exercise of Options under this Plan may be either shares of authorized but unissued Stock, treasury Stock, or previously issued Stock acquired by the Company. If any Option granted under this Plan expires or terminates for any reason without having been exercised in full or ceases for any reason to be exercisable in whole or in part, the unpurchased shares of Stock subject to such Option will not reduce the Share Pool and will again be available for purchase under this Plan. If, on an Exercise Date, the total number of shares of Stock that would otherwise be subject to Options granted under this Plan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exceeds the number of shares then available in the Share Pool, the Administrator shall make a pro rata allocation of the shares remaining available for purchase under this Plan in as uniform a manner as is practicable and as it determines to be equitable. In such event, the Administrator shall notify each Participant of such reduction and of the effect on the Participant’s Options and may reduce the rate of a Participant’s payroll deductions, if necessary.</w:t>
      </w:r>
    </w:p>
    <w:tbl>
      <w:tblPr>
        <w:tblW w:w="1060" w:type="dxa"/>
        <w:jc w:val="left"/>
        <w:tblInd w:w="0" w:type="dxa"/>
        <w:tblLayout w:type="fixed"/>
        <w:tblCellMar>
          <w:top w:w="0" w:type="dxa"/>
          <w:left w:w="0" w:type="dxa"/>
          <w:bottom w:w="0" w:type="dxa"/>
          <w:right w:w="0" w:type="dxa"/>
        </w:tblCellMar>
      </w:tblPr>
      <w:tblGrid>
        <w:gridCol w:w="170"/>
        <w:gridCol w:w="890"/>
      </w:tblGrid>
      <w:tr>
        <w:trPr/>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4.</w:t>
            </w:r>
          </w:p>
        </w:tc>
        <w:tc>
          <w:tcPr>
            <w:tcW w:w="89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Eligibility</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General</w:t>
      </w:r>
      <w:r>
        <w:rPr>
          <w:rFonts w:ascii="Times New Roman;Times;serif" w:hAnsi="Times New Roman;Times;serif"/>
          <w:sz w:val="20"/>
        </w:rPr>
        <w:t>. Options may be granted only to Eligible Employees of the Company or a Designated Subsidiary. Subject to the limitations contained in this Plan, each Employee (i) whose customary employment with the Company or a Designated Subsidiary, as applicable, is for more than five (5) months per calendar year, (ii) who customarily works twenty (20) hours or more per week, and (iii) who satisfies the requirements set forth in this Plan will be an Eligible Employee. Employees of a Designated Subsidiary may be Eligible Employees even if their customary employment is less than twenty (20) hours per week and/or five (5) months per calendar year, to the extent required by applicable law, or any lesser number of hours per week and/or number of months in any calendar year established by the Administrator (if required under applicable law) for purposes of any separate offering or Employees of a Designated Subsidiary under the Non-423 Component.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Five Percent Shareholders</w:t>
      </w:r>
      <w:r>
        <w:rPr>
          <w:rFonts w:ascii="Times New Roman;Times;serif" w:hAnsi="Times New Roman;Times;serif"/>
          <w:i/>
          <w:sz w:val="20"/>
        </w:rPr>
        <w:t xml:space="preserve">. </w:t>
      </w:r>
      <w:r>
        <w:rPr>
          <w:rFonts w:ascii="Times New Roman;Times;serif" w:hAnsi="Times New Roman;Times;serif"/>
          <w:sz w:val="20"/>
        </w:rPr>
        <w:t>No Employee may be granted an Option under this Plan if, immediately after the Option is granted, the Employee would own (or pursuant to Section 424(d) of the Code would be deemed to own) stock possessing five percent (5%) or more of the total combined voting power or value of all classes of stock of the Company or of its Parent or Subsidiaries, if 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u w:val="single"/>
        </w:rPr>
        <w:t>Additional Requirements</w:t>
      </w:r>
      <w:r>
        <w:rPr>
          <w:rFonts w:ascii="Times New Roman;Times;serif" w:hAnsi="Times New Roman;Times;serif"/>
          <w:i/>
          <w:sz w:val="20"/>
        </w:rPr>
        <w:t xml:space="preserve">. </w:t>
      </w:r>
      <w:r>
        <w:rPr>
          <w:rFonts w:ascii="Times New Roman;Times;serif" w:hAnsi="Times New Roman;Times;serif"/>
          <w:sz w:val="20"/>
        </w:rPr>
        <w:t>The Administrator may, for Offering Periods that have not yet commenced, establish additional or other eligibility requirements, or amend the eligibility requirements set forth in subsection (a) above, in each case, consistent with the requirements of Section 423 for the 423 Component.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u w:val="single"/>
        </w:rPr>
        <w:t>Non-423 Component Offerings</w:t>
      </w:r>
      <w:r>
        <w:rPr>
          <w:rFonts w:ascii="Times New Roman;Times;serif" w:hAnsi="Times New Roman;Times;serif"/>
          <w:sz w:val="20"/>
        </w:rPr>
        <w:t>. Employees who are citizens or residents of a jurisdiction outside of the U.S. (without regard to whether they are also citizens of the U.S. or resident aliens (within the meaning of Section 7701(b)(1)(A) of the Code)) will not be eligible to participate in this Plan if (i) the grant of an Option under this Plan to the Employee is prohibited under the laws of such jurisdiction, or (ii) compliance with the laws of the foreign jurisdiction would cause this Plan to violate the requirements of Section 423. The Administrator may establish additional eligibility requirements, or fewer eligibility requirements, for Eligible Employees with respect to Options granted under the Non-423 Component even if such requirements are not consistent with Section 423.</w:t>
      </w:r>
    </w:p>
    <w:tbl>
      <w:tblPr>
        <w:tblW w:w="1600" w:type="dxa"/>
        <w:jc w:val="left"/>
        <w:tblInd w:w="0" w:type="dxa"/>
        <w:tblLayout w:type="fixed"/>
        <w:tblCellMar>
          <w:top w:w="0" w:type="dxa"/>
          <w:left w:w="0" w:type="dxa"/>
          <w:bottom w:w="0" w:type="dxa"/>
          <w:right w:w="0" w:type="dxa"/>
        </w:tblCellMar>
      </w:tblPr>
      <w:tblGrid>
        <w:gridCol w:w="170"/>
        <w:gridCol w:w="1430"/>
      </w:tblGrid>
      <w:tr>
        <w:trPr/>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5.</w:t>
            </w:r>
          </w:p>
        </w:tc>
        <w:tc>
          <w:tcPr>
            <w:tcW w:w="143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Offering Periods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Plan will generally be implemented by a series of separate offerings referred to as “</w:t>
      </w:r>
      <w:r>
        <w:rPr>
          <w:rFonts w:ascii="Times New Roman;Times;serif" w:hAnsi="Times New Roman;Times;serif"/>
          <w:b/>
          <w:sz w:val="20"/>
        </w:rPr>
        <w:t>Offering Periods</w:t>
      </w:r>
      <w:r>
        <w:rPr>
          <w:rFonts w:ascii="Times New Roman;Times;serif" w:hAnsi="Times New Roman;Times;serif"/>
          <w:sz w:val="20"/>
        </w:rPr>
        <w:t>”. Unless otherwise determined by the Administrator, the Offering Periods will be successive periods of approximately six (6) months. The last Business Day of each Offering Period will be an “</w:t>
      </w:r>
      <w:r>
        <w:rPr>
          <w:rFonts w:ascii="Times New Roman;Times;serif" w:hAnsi="Times New Roman;Times;serif"/>
          <w:b/>
          <w:sz w:val="20"/>
        </w:rPr>
        <w:t>Exercise Date</w:t>
      </w:r>
      <w:r>
        <w:rPr>
          <w:rFonts w:ascii="Times New Roman;Times;serif" w:hAnsi="Times New Roman;Times;serif"/>
          <w:sz w:val="20"/>
        </w:rPr>
        <w:t>”. The Administrator may change the Exercise Date, the</w:t>
      </w:r>
    </w:p>
    <w:p>
      <w:pPr>
        <w:pStyle w:val="TextBody"/>
        <w:bidi w:val="0"/>
        <w:spacing w:before="0" w:after="120"/>
        <w:ind w:left="0" w:right="0" w:firstLine="72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commencement date, the ending date and the duration of each Offering Period; </w:t>
      </w:r>
      <w:r>
        <w:rPr>
          <w:rFonts w:ascii="Times New Roman;Times;serif" w:hAnsi="Times New Roman;Times;serif"/>
          <w:sz w:val="20"/>
          <w:u w:val="single"/>
        </w:rPr>
        <w:t>provided</w:t>
      </w:r>
      <w:r>
        <w:rPr>
          <w:rFonts w:ascii="Times New Roman;Times;serif" w:hAnsi="Times New Roman;Times;serif"/>
          <w:sz w:val="20"/>
        </w:rPr>
        <w:t xml:space="preserve"> that for Options made under the 423 Component, to the extent permitted by Section 423, no Option may be exercised after 27 months from its grant date.</w:t>
      </w:r>
    </w:p>
    <w:tbl>
      <w:tblPr>
        <w:tblW w:w="1330" w:type="dxa"/>
        <w:jc w:val="left"/>
        <w:tblInd w:w="0" w:type="dxa"/>
        <w:tblLayout w:type="fixed"/>
        <w:tblCellMar>
          <w:top w:w="0" w:type="dxa"/>
          <w:left w:w="0" w:type="dxa"/>
          <w:bottom w:w="0" w:type="dxa"/>
          <w:right w:w="0" w:type="dxa"/>
        </w:tblCellMar>
      </w:tblPr>
      <w:tblGrid>
        <w:gridCol w:w="170"/>
        <w:gridCol w:w="1160"/>
      </w:tblGrid>
      <w:tr>
        <w:trPr/>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6.</w:t>
            </w:r>
          </w:p>
        </w:tc>
        <w:tc>
          <w:tcPr>
            <w:tcW w:w="116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Option Grant</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Subject to the requirements and limitations set forth in Sections 4 and 10 of this Plan and the Maximum Share Limit (as defined below), on the first day of an Offering Period, each Participant will automatically be granted an Option to purchase shares of Stock on the Exercise Date;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no Participant will be granted an Option under this Plan that permits the Participant’s right to purchase shares of Stock under this Plan and under all other employee stock purchase plans of the Company and its Parent and Subsidiaries, if any, to accrue at a rate that exceeds U.S. $25,000 in Fair Market Value (or such other maximum as may be prescribed from time to time by the Code) for each calendar year during which any Option granted to such Participant is outstanding at any time, as determined in accordance with Section 423(b)(8) of the Code.</w:t>
      </w:r>
    </w:p>
    <w:tbl>
      <w:tblPr>
        <w:tblW w:w="2215" w:type="dxa"/>
        <w:jc w:val="left"/>
        <w:tblInd w:w="0" w:type="dxa"/>
        <w:tblLayout w:type="fixed"/>
        <w:tblCellMar>
          <w:top w:w="0" w:type="dxa"/>
          <w:left w:w="0" w:type="dxa"/>
          <w:bottom w:w="0" w:type="dxa"/>
          <w:right w:w="0" w:type="dxa"/>
        </w:tblCellMar>
      </w:tblPr>
      <w:tblGrid>
        <w:gridCol w:w="170"/>
        <w:gridCol w:w="2045"/>
      </w:tblGrid>
      <w:tr>
        <w:trPr/>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7.</w:t>
            </w:r>
          </w:p>
        </w:tc>
        <w:tc>
          <w:tcPr>
            <w:tcW w:w="204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Method of Participation</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Payroll Deduction and Participation Authorization</w:t>
      </w:r>
      <w:r>
        <w:rPr>
          <w:rFonts w:ascii="Times New Roman;Times;serif" w:hAnsi="Times New Roman;Times;serif"/>
          <w:sz w:val="20"/>
        </w:rPr>
        <w:t>. To participate in an Offering Period, an Eligible Employee must execute and deliver to the Administrator a payroll deduction and participation authorization form in accordance with the procedures prescribed by, and in a form acceptable to, the Administrator and, in so doing, the Eligible Employee will thereby become a Participant as of the first day of such Offering Period. Such an Eligible Employee will remain a Participant with respect to subsequent Offering Periods until his or her participation in this Plan is terminated as provided herein. Such payroll deduction and participation authorization form must be delivered not later than ten (10) calendar days prior to the first day of an Offering Period, or such other time as specified by the Administrator.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Continued Participation</w:t>
      </w:r>
      <w:r>
        <w:rPr>
          <w:rFonts w:ascii="Times New Roman;Times;serif" w:hAnsi="Times New Roman;Times;serif"/>
          <w:sz w:val="20"/>
        </w:rPr>
        <w:t>. An Eligible Employee who remains a Participant with respect to subsequent Offering Periods is not required to submit additional enrollment documentation in order to continue participation in the Plan, unless requested by the Company for legal or administrative reasons and provided that participation in the Plan in any subsequent Offering Period will be governed by the terms and conditions of the Plan and the applicable agreement (if any) and other terms and conditions of participation in effect at such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u w:val="single"/>
        </w:rPr>
        <w:t>Changes to Payroll Deduction Authorization for Subsequent Offering Periods</w:t>
      </w:r>
      <w:r>
        <w:rPr>
          <w:rFonts w:ascii="Times New Roman;Times;serif" w:hAnsi="Times New Roman;Times;serif"/>
          <w:sz w:val="20"/>
        </w:rPr>
        <w:t>. A Participant’s payroll deduction authorization will remain in effect for subsequent Offering Periods unless the Participant files a new authorization not later than ten (10) calendar days prior to the first day of the subsequent Offering Period (or such other time as specified by the Administrator) or the Participant’s Option is cancelled pursuant to Section 13 or Section 14 of this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u w:val="single"/>
        </w:rPr>
        <w:t>Changes to Payroll Deduction Authorization for Current Offering Period</w:t>
      </w:r>
      <w:r>
        <w:rPr>
          <w:rFonts w:ascii="Times New Roman;Times;serif" w:hAnsi="Times New Roman;Times;serif"/>
          <w:i/>
          <w:sz w:val="20"/>
        </w:rPr>
        <w:t xml:space="preserve">. </w:t>
      </w:r>
      <w:r>
        <w:rPr>
          <w:rFonts w:ascii="Times New Roman;Times;serif" w:hAnsi="Times New Roman;Times;serif"/>
          <w:sz w:val="20"/>
        </w:rPr>
        <w:t>During an Offering Period, a Participant’s payroll deduction authorization may be prospectively decreased once during an Offering Period. Any request to decrease a Participant’s payroll deduction authorization must be communicated to the Administrator a minimum of ten (10) calendar days prior to the end of an Offering Period (or such other time as specified by the Administrator) in</w:t>
      </w:r>
    </w:p>
    <w:p>
      <w:pPr>
        <w:pStyle w:val="TextBody"/>
        <w:bidi w:val="0"/>
        <w:spacing w:before="0" w:after="120"/>
        <w:ind w:left="0" w:right="0" w:firstLine="72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accordance with the procedures prescribed by, and in a form acceptable to, the Administrator and will be effective as soon as administratively practicable. A Participant may also terminate his or her payroll deduction authorization by canceling his or her Option in accordance with Section 13 of this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u w:val="single"/>
        </w:rPr>
        <w:t>Payroll Deduction Percentage</w:t>
      </w:r>
      <w:r>
        <w:rPr>
          <w:rFonts w:ascii="Times New Roman;Times;serif" w:hAnsi="Times New Roman;Times;serif"/>
          <w:i/>
          <w:sz w:val="20"/>
        </w:rPr>
        <w:t xml:space="preserve">. </w:t>
      </w:r>
      <w:r>
        <w:rPr>
          <w:rFonts w:ascii="Times New Roman;Times;serif" w:hAnsi="Times New Roman;Times;serif"/>
          <w:sz w:val="20"/>
        </w:rPr>
        <w:t>Each payroll deduction authorization will authorize payroll deductions as a whole percentage from one percent (1%) to fifteen percent (15%) of the employee’s Eligible Compensation per payroll period.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u w:val="single"/>
        </w:rPr>
        <w:t>Payroll Deduction Account</w:t>
      </w:r>
      <w:r>
        <w:rPr>
          <w:rFonts w:ascii="Times New Roman;Times;serif" w:hAnsi="Times New Roman;Times;serif"/>
          <w:i/>
          <w:sz w:val="20"/>
        </w:rPr>
        <w:t xml:space="preserve">. </w:t>
      </w:r>
      <w:r>
        <w:rPr>
          <w:rFonts w:ascii="Times New Roman;Times;serif" w:hAnsi="Times New Roman;Times;serif"/>
          <w:sz w:val="20"/>
        </w:rPr>
        <w:t>All payroll deductions made pursuant to this Section 7 will be credited to the Participant’s Account. Amounts credited to a Participant’s Account will not be required to be set aside in trust or otherwise segregated from the Company’s general assets.</w:t>
      </w:r>
    </w:p>
    <w:tbl>
      <w:tblPr>
        <w:tblW w:w="1840" w:type="dxa"/>
        <w:jc w:val="left"/>
        <w:tblInd w:w="0" w:type="dxa"/>
        <w:tblLayout w:type="fixed"/>
        <w:tblCellMar>
          <w:top w:w="0" w:type="dxa"/>
          <w:left w:w="0" w:type="dxa"/>
          <w:bottom w:w="0" w:type="dxa"/>
          <w:right w:w="0" w:type="dxa"/>
        </w:tblCellMar>
      </w:tblPr>
      <w:tblGrid>
        <w:gridCol w:w="170"/>
        <w:gridCol w:w="1670"/>
      </w:tblGrid>
      <w:tr>
        <w:trPr/>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8.</w:t>
            </w:r>
          </w:p>
        </w:tc>
        <w:tc>
          <w:tcPr>
            <w:tcW w:w="16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Method of Payment</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 Participant must pay for shares of Stock purchased under this Plan with accumulated payroll deductions credited to the Participant’s Account;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the Administrator may allow Participants to make other contributions under the Plan via cash, check or other means instead of payroll deductions if payroll deductions are not permitted or feasible under applicable law and, for offerings under the 423 Component, the Administrator determines that such other contributions are permissible under Section 423.</w:t>
      </w:r>
    </w:p>
    <w:tbl>
      <w:tblPr>
        <w:tblW w:w="1465" w:type="dxa"/>
        <w:jc w:val="left"/>
        <w:tblInd w:w="0" w:type="dxa"/>
        <w:tblLayout w:type="fixed"/>
        <w:tblCellMar>
          <w:top w:w="0" w:type="dxa"/>
          <w:left w:w="0" w:type="dxa"/>
          <w:bottom w:w="0" w:type="dxa"/>
          <w:right w:w="0" w:type="dxa"/>
        </w:tblCellMar>
      </w:tblPr>
      <w:tblGrid>
        <w:gridCol w:w="170"/>
        <w:gridCol w:w="1295"/>
      </w:tblGrid>
      <w:tr>
        <w:trPr/>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9.</w:t>
            </w:r>
          </w:p>
        </w:tc>
        <w:tc>
          <w:tcPr>
            <w:tcW w:w="129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Purchase Price</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Purchase Price of shares of Stock issued pursuant to the exercise of an Option on each Exercise Date will be eighty-five percent (85%) (or such other percentage specified by the Administrator to the extent permitted under Section 423) of the lesser of (a) the Fair Market Value of a share of Stock on the date on which the Option was granted pursuant to Section 6 of this Plan (</w:t>
      </w:r>
      <w:r>
        <w:rPr>
          <w:rFonts w:ascii="Times New Roman;Times;serif" w:hAnsi="Times New Roman;Times;serif"/>
          <w:i/>
          <w:sz w:val="20"/>
        </w:rPr>
        <w:t>i.e.</w:t>
      </w:r>
      <w:r>
        <w:rPr>
          <w:rFonts w:ascii="Times New Roman;Times;serif" w:hAnsi="Times New Roman;Times;serif"/>
          <w:sz w:val="20"/>
        </w:rPr>
        <w:t>, the first day of the Offering Period) and (b) the Fair Market Value of a share of Stock on the date on which the Option is deemed exercised pursuant to Section 10 of this Plan (</w:t>
      </w:r>
      <w:r>
        <w:rPr>
          <w:rFonts w:ascii="Times New Roman;Times;serif" w:hAnsi="Times New Roman;Times;serif"/>
          <w:i/>
          <w:sz w:val="20"/>
        </w:rPr>
        <w:t>i.e.</w:t>
      </w:r>
      <w:r>
        <w:rPr>
          <w:rFonts w:ascii="Times New Roman;Times;serif" w:hAnsi="Times New Roman;Times;serif"/>
          <w:sz w:val="20"/>
        </w:rPr>
        <w:t>, the Exercise Date).</w:t>
      </w:r>
    </w:p>
    <w:tbl>
      <w:tblPr>
        <w:tblW w:w="1945" w:type="dxa"/>
        <w:jc w:val="left"/>
        <w:tblInd w:w="0" w:type="dxa"/>
        <w:tblLayout w:type="fixed"/>
        <w:tblCellMar>
          <w:top w:w="0" w:type="dxa"/>
          <w:left w:w="0" w:type="dxa"/>
          <w:bottom w:w="0" w:type="dxa"/>
          <w:right w:w="0" w:type="dxa"/>
        </w:tblCellMar>
      </w:tblPr>
      <w:tblGrid>
        <w:gridCol w:w="275"/>
        <w:gridCol w:w="1670"/>
      </w:tblGrid>
      <w:tr>
        <w:trPr/>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10.</w:t>
            </w:r>
          </w:p>
        </w:tc>
        <w:tc>
          <w:tcPr>
            <w:tcW w:w="16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Exercise of Options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Purchase of Shares of Stock</w:t>
      </w:r>
      <w:r>
        <w:rPr>
          <w:rFonts w:ascii="Times New Roman;Times;serif" w:hAnsi="Times New Roman;Times;serif"/>
          <w:i/>
          <w:sz w:val="20"/>
        </w:rPr>
        <w:t xml:space="preserve">. </w:t>
      </w:r>
      <w:r>
        <w:rPr>
          <w:rFonts w:ascii="Times New Roman;Times;serif" w:hAnsi="Times New Roman;Times;serif"/>
          <w:sz w:val="20"/>
        </w:rPr>
        <w:t xml:space="preserve">Subject to the limitations set forth in Section 6 of this Plan and this Section 10, with respect to each Offering Period, on the applicable Exercise Date, each Participant will be deemed to have exercised his or her Option and the accumulated payroll deductions in the Participant’s Account will be applied to purchase the greatest number of shares of Stock that can be purchased with such Account balance at the applicable Purchase Price;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no more than twenty-five thousand (25,000) shares of Stock may be purchased by a Participant on any Exercise Date, or such other number as the Administrator may prescribe in accordance with Section 423 (the “</w:t>
      </w:r>
      <w:r>
        <w:rPr>
          <w:rFonts w:ascii="Times New Roman;Times;serif" w:hAnsi="Times New Roman;Times;serif"/>
          <w:b/>
          <w:sz w:val="20"/>
        </w:rPr>
        <w:t>Maximum Share Limit</w:t>
      </w:r>
      <w:r>
        <w:rPr>
          <w:rFonts w:ascii="Times New Roman;Times;serif" w:hAnsi="Times New Roman;Times;serif"/>
          <w:sz w:val="20"/>
        </w:rPr>
        <w:t>”). As soon as practicable thereafter, shares of Stock so purchased will be placed, in book-entry form, into a recordkeeping account in the name of the Participant. Unless the Administrator determines in its discretion that fractional shares may be purchased pursuant to the exercise of an Option under this Plan, the shares of Stock will be rounded down to the nearest whole share and any accumulated payroll deductions in a Participant’s Account that are not sufficient to purchase a whole share will be retained in the</w:t>
      </w:r>
    </w:p>
    <w:p>
      <w:pPr>
        <w:pStyle w:val="TextBody"/>
        <w:bidi w:val="0"/>
        <w:spacing w:before="0" w:after="120"/>
        <w:ind w:left="0" w:right="0" w:firstLine="72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Participant’s Account for the subsequent Offering Period, subject to earlier withdrawal by the Participant as provided in Section 13 of this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Return of Account Balance</w:t>
      </w:r>
      <w:r>
        <w:rPr>
          <w:rFonts w:ascii="Times New Roman;Times;serif" w:hAnsi="Times New Roman;Times;serif"/>
          <w:i/>
          <w:sz w:val="20"/>
        </w:rPr>
        <w:t xml:space="preserve">. </w:t>
      </w:r>
      <w:r>
        <w:rPr>
          <w:rFonts w:ascii="Times New Roman;Times;serif" w:hAnsi="Times New Roman;Times;serif"/>
          <w:sz w:val="20"/>
        </w:rPr>
        <w:t>Except as provided in Section 10(a) of this Plan with respect to fractional shares, any accumulated amount of payroll deductions in a Participant’s Account for an Offering Period that are not used for the purchase of shares of Stock, whether because of the Participant’s withdrawal from participation in an Offering Period or for any other reason, will be returned to the Participant (or his or her designated beneficiary or legal representative, as applicable), without interest, as soon as administratively practicable after such withdrawal or other event, as applicable. If the Participant’s accumulated payroll deductions on the Exercise Date of an Offering Period would otherwise enable the Participant to purchase shares of Stock in excess of the Maximum Share Limit or the maximum Fair Market Value set forth in Section 6 of this Plan, the excess of the amount of the accumulated payroll deductions over the aggregate Purchase Price of the shares of Stock actually purchased will be returned to the Participant, without interest (unless otherwise required by applicable law), as soon as administratively practicable after such Exercise Date.</w:t>
      </w:r>
    </w:p>
    <w:tbl>
      <w:tblPr>
        <w:tblW w:w="940" w:type="dxa"/>
        <w:jc w:val="left"/>
        <w:tblInd w:w="0" w:type="dxa"/>
        <w:tblLayout w:type="fixed"/>
        <w:tblCellMar>
          <w:top w:w="0" w:type="dxa"/>
          <w:left w:w="0" w:type="dxa"/>
          <w:bottom w:w="0" w:type="dxa"/>
          <w:right w:w="0" w:type="dxa"/>
        </w:tblCellMar>
      </w:tblPr>
      <w:tblGrid>
        <w:gridCol w:w="275"/>
        <w:gridCol w:w="665"/>
      </w:tblGrid>
      <w:tr>
        <w:trPr/>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11.</w:t>
            </w:r>
          </w:p>
        </w:tc>
        <w:tc>
          <w:tcPr>
            <w:tcW w:w="66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Interest</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 interest will accrue or be payable on any amount held in the Account of any Participant, unless otherwise required by applicable law.</w:t>
      </w:r>
    </w:p>
    <w:tbl>
      <w:tblPr>
        <w:tblW w:w="1345" w:type="dxa"/>
        <w:jc w:val="left"/>
        <w:tblInd w:w="0" w:type="dxa"/>
        <w:tblLayout w:type="fixed"/>
        <w:tblCellMar>
          <w:top w:w="0" w:type="dxa"/>
          <w:left w:w="0" w:type="dxa"/>
          <w:bottom w:w="0" w:type="dxa"/>
          <w:right w:w="0" w:type="dxa"/>
        </w:tblCellMar>
      </w:tblPr>
      <w:tblGrid>
        <w:gridCol w:w="275"/>
        <w:gridCol w:w="1070"/>
      </w:tblGrid>
      <w:tr>
        <w:trPr/>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12.</w:t>
            </w:r>
          </w:p>
        </w:tc>
        <w:tc>
          <w:tcPr>
            <w:tcW w:w="10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Tax Matters</w:t>
            </w:r>
          </w:p>
        </w:tc>
      </w:tr>
    </w:tbl>
    <w:tbl>
      <w:tblPr>
        <w:tblW w:w="5478" w:type="dxa"/>
        <w:jc w:val="left"/>
        <w:tblInd w:w="0" w:type="dxa"/>
        <w:tblLayout w:type="fixed"/>
        <w:tblCellMar>
          <w:top w:w="0" w:type="dxa"/>
          <w:left w:w="0" w:type="dxa"/>
          <w:bottom w:w="0" w:type="dxa"/>
          <w:right w:w="0" w:type="dxa"/>
        </w:tblCellMar>
      </w:tblPr>
      <w:tblGrid>
        <w:gridCol w:w="23"/>
        <w:gridCol w:w="230"/>
        <w:gridCol w:w="522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52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u w:val="single"/>
              </w:rPr>
              <w:t>Generally</w:t>
            </w:r>
            <w:r>
              <w:rPr>
                <w:rFonts w:ascii="Times New Roman;Times;serif" w:hAnsi="Times New Roman;Times;serif"/>
                <w:sz w:val="20"/>
              </w:rPr>
              <w:t>. Payroll deductions will be made on an after-tax basis.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Section 409A of the Code</w:t>
      </w:r>
      <w:r>
        <w:rPr>
          <w:rFonts w:ascii="Times New Roman;Times;serif" w:hAnsi="Times New Roman;Times;serif"/>
          <w:sz w:val="20"/>
        </w:rPr>
        <w:t>. Options granted under the 423 Component are intended to be exempt from the application of Section 409A of the Code under U.S. Treasury Regulation Section 1.409A-1(b)(5)(ii). Options granted under the Non-423 Component to U.S. taxpayers are intended to be exempt from the application of Section 409A of the Code under the short-term deferral exception and any ambiguities will be construed and interpreted in accordance with such intent. Subject to Section 12(c) of this Plan, Options granted to U.S. taxpayers under the Non-423 Component will be subject to such terms and conditions that will permit such Options to satisfy the requirements of the short-term deferral exception available under Section 409A of the Code, including the requirement that the shares subject to an Option be delivered within the short- term deferral period. Notwithstanding the foregoing, the Company will have no liability to a Participant or any other party if an Option that is intended to be exempt from or compliant with Section 409A of the Code is not so exempt or compliant or for any action taken by the Administrator with respect thereto and in no event will the Company, any Designated Subsidiary or any affiliate be liable for all or any portion of any taxes, penalties, interest or other expenses that may be incurred by a Participant on account of non-compliance with Section 409A of the Code.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u w:val="single"/>
        </w:rPr>
        <w:t>No Guarantee of Tax Treatment</w:t>
      </w:r>
      <w:r>
        <w:rPr>
          <w:rFonts w:ascii="Times New Roman;Times;serif" w:hAnsi="Times New Roman;Times;serif"/>
          <w:sz w:val="20"/>
        </w:rPr>
        <w:t>. Although the Company may endeavor to (i) qualify an Option for special tax treatment under the laws of the U.S. (e.g., under Section 423) or jurisdictions outside of the U.S., or (ii) avoid adverse tax treatment (e.g., under Section 409A of the Code), the Company makes no representation to that effect and expressly disavows any</w:t>
      </w:r>
    </w:p>
    <w:p>
      <w:pPr>
        <w:pStyle w:val="TextBody"/>
        <w:bidi w:val="0"/>
        <w:spacing w:before="0" w:after="120"/>
        <w:ind w:left="0" w:right="0" w:firstLine="72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covenant to maintain special or to avoid unfavorable tax treatment, notwithstanding anything to the contrary in this Plan, including Section 12(b) of this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u w:val="single"/>
        </w:rPr>
        <w:t>Tax Withholding</w:t>
      </w:r>
      <w:r>
        <w:rPr>
          <w:rFonts w:ascii="Times New Roman;Times;serif" w:hAnsi="Times New Roman;Times;serif"/>
          <w:sz w:val="20"/>
        </w:rPr>
        <w:t>. The Participant will make adequate provision to satisfy the Tax-Related Items withholding obligations, if any, of the Company and/or the applicable Designated Subsidiary which arise with respect to Participant’s participation in this Plan or upon the disposition of the shares of Stock. The Company shall not be required to issue any shares of Stock under this Plan until such obligations are satisfied.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The Administrator will have the right to make such provision as it deems necessary for, and may condition the exercise of an Option on, the satisfaction of its obligations to withhold federal, state, local income or other taxes incurred by reason of the purchase or disposition of shares of Stock under this Plan or otherwise in connection with the Plan. In the Administrator’s discretion and subject to applicable law, such tax obligations may be satisfied in whole or in part by delivery of shares of Stock to the Company, including shares of Stock purchased under this Plan, valued at Fair Market Value, but not in excess of the maximum withholding amount consistent with the award being subject to equity accounting treatment under the Accounting Rules.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The Company and/or the Designated Subsidiary may, but will not be obligated to, (A) withhold from the Participant’s compensation or any other payments due the Participant the amount necessary to meet such withholding obligations, (B) withhold a sufficient whole number of shares of Stock issued following exercise having an aggregate value sufficient to pay the Tax- Related Items, (C) withhold from the proceeds of the sale of shares of Stock, either through a voluntary sale or a mandatory sale arranged by the Company or (D) withhold using any other method of withholding that the Company and/or the Designated Subsidiary deems appropriate.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The Company and/or the Designated Subsidiary will have the right to take such other action as may be necessary in the opinion of the Company or a Designated Subsidiary to satisfy withholding and/or reporting obligations for such Tax-Related Items.</w:t>
      </w:r>
    </w:p>
    <w:tbl>
      <w:tblPr>
        <w:tblW w:w="6730" w:type="dxa"/>
        <w:jc w:val="left"/>
        <w:tblInd w:w="0" w:type="dxa"/>
        <w:tblLayout w:type="fixed"/>
        <w:tblCellMar>
          <w:top w:w="0" w:type="dxa"/>
          <w:left w:w="0" w:type="dxa"/>
          <w:bottom w:w="0" w:type="dxa"/>
          <w:right w:w="0" w:type="dxa"/>
        </w:tblCellMar>
      </w:tblPr>
      <w:tblGrid>
        <w:gridCol w:w="275"/>
        <w:gridCol w:w="6455"/>
      </w:tblGrid>
      <w:tr>
        <w:trPr/>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13.</w:t>
            </w:r>
          </w:p>
        </w:tc>
        <w:tc>
          <w:tcPr>
            <w:tcW w:w="645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Cancellation of Payroll Deduction Authorization and Withdrawal from Plan</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Participant who has been granted an Option under this Plan may cancel all (but not less than all) of such Option and terminate his or her participation in this Plan by notice delivered to the Administrator in accordance with the procedures prescribed by, and in a form acceptable to, the Administrator. To be effective with respect to an upcoming Exercise Date, such cancellation notice must be delivered not later than ten (10) calendar days prior to such Exercise Date (or such other time as specified by the Administrator). Upon such termination and cancellation, the balance in the Participant’s Account will be returned to the Participant, without interest (unless otherwise required by applicable law), as soon as administratively practicable thereafter. For the avoidance of doubt, a Participant who reduces his or her withholding rate for a future Offering Period to zero percent (0%) pursuant to Section 7 of this Plan will be deemed to have terminated his or her payroll deduction authorization and canceled his or her participation in this Plan as to such future Offering Period (but not, for the avoidance of doubt, the current Offering Period unless the Participant terminates participation in this Plan under this Section 13), unless the Participant delivers a new</w:t>
      </w:r>
    </w:p>
    <w:p>
      <w:pPr>
        <w:pStyle w:val="TextBody"/>
        <w:bidi w:val="0"/>
        <w:spacing w:before="0" w:after="120"/>
        <w:ind w:left="0" w:right="0" w:firstLine="72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payroll deduction authorization for a subsequent Offering Period in accordance with the rules of Section 7(b) of this Plan. A Participant will be deemed to have canceled his or her participation in this Plan under this Section 13 if the Participant does not have sufficient amounts in his or her pay to fulfill the elected payroll deduction.</w:t>
      </w:r>
    </w:p>
    <w:tbl>
      <w:tblPr>
        <w:tblW w:w="4540" w:type="dxa"/>
        <w:jc w:val="left"/>
        <w:tblInd w:w="0" w:type="dxa"/>
        <w:tblLayout w:type="fixed"/>
        <w:tblCellMar>
          <w:top w:w="0" w:type="dxa"/>
          <w:left w:w="0" w:type="dxa"/>
          <w:bottom w:w="0" w:type="dxa"/>
          <w:right w:w="0" w:type="dxa"/>
        </w:tblCellMar>
      </w:tblPr>
      <w:tblGrid>
        <w:gridCol w:w="275"/>
        <w:gridCol w:w="4265"/>
      </w:tblGrid>
      <w:tr>
        <w:trPr/>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14.</w:t>
            </w:r>
          </w:p>
        </w:tc>
        <w:tc>
          <w:tcPr>
            <w:tcW w:w="426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Termination of Employment; Death of Participant</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Upon the termination of a Participant’s employment with the Company or a Designated Subsidiary, as applicable, for any reason (including the death of a Participant during an Offering Period prior to an Exercise Date) or in the event the Participant ceases to qualify as an Eligible Employee, the Participant will cease to be a Participant, any Option held by the Participant under this Plan will be canceled, the balance in the Participant’s Account will be returned to the Participant (or his or her estate or designated beneficiary in the event of the Participant’s death), without interest (unless otherwise required by applicable law), as soon as administratively practicable thereafter, and the Participant will have no further rights under this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Unless otherwise determined by the Administrator, a Participant whose Employment transfers or whose Employment terminates with an immediate rehire by or between the Company or a Designated Subsidiary will be treated as having terminated Employment for purposes of participating in the Plan or an offering. The Administrator may establish additional or different rules to govern transfers of employment for purposes of participation in the Plan or an offering, consistent with the applicable requirements of Section 423 of the Code.</w:t>
      </w:r>
    </w:p>
    <w:tbl>
      <w:tblPr>
        <w:tblW w:w="4675" w:type="dxa"/>
        <w:jc w:val="left"/>
        <w:tblInd w:w="0" w:type="dxa"/>
        <w:tblLayout w:type="fixed"/>
        <w:tblCellMar>
          <w:top w:w="0" w:type="dxa"/>
          <w:left w:w="0" w:type="dxa"/>
          <w:bottom w:w="0" w:type="dxa"/>
          <w:right w:w="0" w:type="dxa"/>
        </w:tblCellMar>
      </w:tblPr>
      <w:tblGrid>
        <w:gridCol w:w="275"/>
        <w:gridCol w:w="4400"/>
      </w:tblGrid>
      <w:tr>
        <w:trPr/>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15.</w:t>
            </w:r>
          </w:p>
        </w:tc>
        <w:tc>
          <w:tcPr>
            <w:tcW w:w="44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Equal Rights; Participant’s Rights Not Transferable</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All Participants granted Options in an offering under the Section 423 Component of the Plan will have the same rights and privileges, consistent with the requirements set forth in Section 423. Any Option granted under this Plan will be exercisable during the Participant’s lifetime only by him or her and may not be sold, pledged, assigned, or transferred in any manner. In the event any Participant violates or attempts to violate the terms of this Section 15, as determined by the Administrator in its sole discretion, any Options granted to the Participant under this Plan may be terminated by the Company and, upon the return to the Participant of the balance of his or her Account, without interest (unless otherwise required by applicable law), all of the Participant’s rights under this Plan will terminate.</w:t>
      </w:r>
    </w:p>
    <w:tbl>
      <w:tblPr>
        <w:tblW w:w="4480" w:type="dxa"/>
        <w:jc w:val="left"/>
        <w:tblInd w:w="0" w:type="dxa"/>
        <w:tblLayout w:type="fixed"/>
        <w:tblCellMar>
          <w:top w:w="0" w:type="dxa"/>
          <w:left w:w="0" w:type="dxa"/>
          <w:bottom w:w="0" w:type="dxa"/>
          <w:right w:w="0" w:type="dxa"/>
        </w:tblCellMar>
      </w:tblPr>
      <w:tblGrid>
        <w:gridCol w:w="275"/>
        <w:gridCol w:w="4205"/>
      </w:tblGrid>
      <w:tr>
        <w:trPr/>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16.</w:t>
            </w:r>
          </w:p>
        </w:tc>
        <w:tc>
          <w:tcPr>
            <w:tcW w:w="420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Change in Capitalization; Corporate Transaction</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Change in Capitalization</w:t>
      </w:r>
      <w:r>
        <w:rPr>
          <w:rFonts w:ascii="Times New Roman;Times;serif" w:hAnsi="Times New Roman;Times;serif"/>
          <w:sz w:val="20"/>
        </w:rPr>
        <w:t>. In the event of a stock dividend, stock split or combination of shares (including a reverse stock split), recapitalization or other change in the Company’s capital structure that constitutes an equity restructuring within the meaning of the Accounting Rules, the Administrator shall make appropriate adjustments to the aggregate number and type of shares of stock available under this Plan, the number and type of shares of stock granted under any outstanding Option, the maximum number and type of shares of stock purchasable under any outstanding Option, and/or the Purchase Price under any outstanding Option, in any case, in a manner that complies with Section 423.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Corporate Transaction</w:t>
      </w:r>
      <w:r>
        <w:rPr>
          <w:rFonts w:ascii="Times New Roman;Times;serif" w:hAnsi="Times New Roman;Times;serif"/>
          <w:i/>
          <w:sz w:val="20"/>
        </w:rPr>
        <w:t xml:space="preserve">. </w:t>
      </w:r>
      <w:r>
        <w:rPr>
          <w:rFonts w:ascii="Times New Roman;Times;serif" w:hAnsi="Times New Roman;Times;serif"/>
          <w:sz w:val="20"/>
        </w:rPr>
        <w:t>In the event of a sale of all or substantially all of the Stock or a sale of all or substantially all of the assets of the Company, or a merger or similar transaction</w:t>
      </w:r>
    </w:p>
    <w:p>
      <w:pPr>
        <w:pStyle w:val="TextBody"/>
        <w:bidi w:val="0"/>
        <w:spacing w:before="0" w:after="120"/>
        <w:ind w:left="0" w:right="0" w:firstLine="72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which the Company is not the surviving corporation or that results in the acquisition of the Company by another person, the Administrator may, in its discretion, (i) if the Company is merged with or acquired by another corporation, provide that each outstanding Option will be assumed or exchanged for a substitute Option granted by the acquiror or successor corporation or by a parent or subsidiary of the acquiror or successor corporation, (ii) cancel each outstanding Option and return the balances in Participants’ Accounts to the Participants, and/or (iii) pursuant to Section 18 of this Plan, terminate the Offering Period on or before the date of the proposed sale, merger or similar transaction.</w:t>
      </w:r>
    </w:p>
    <w:tbl>
      <w:tblPr>
        <w:tblW w:w="2230" w:type="dxa"/>
        <w:jc w:val="left"/>
        <w:tblInd w:w="0" w:type="dxa"/>
        <w:tblLayout w:type="fixed"/>
        <w:tblCellMar>
          <w:top w:w="0" w:type="dxa"/>
          <w:left w:w="0" w:type="dxa"/>
          <w:bottom w:w="0" w:type="dxa"/>
          <w:right w:w="0" w:type="dxa"/>
        </w:tblCellMar>
      </w:tblPr>
      <w:tblGrid>
        <w:gridCol w:w="275"/>
        <w:gridCol w:w="1955"/>
      </w:tblGrid>
      <w:tr>
        <w:trPr/>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17.</w:t>
            </w:r>
          </w:p>
        </w:tc>
        <w:tc>
          <w:tcPr>
            <w:tcW w:w="195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Administration of Plan</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Plan will be administered by the Administrator. The Administrator has discretionary authority, subject only to the express provisions of this Plan, to administer and interpret this Plan; to determine eligibility under this Plan; to prescribe forms, rules and procedures relating to this Plan; and to otherwise do all things necessary or desirable to carry out the purposes of this Plan, to the extent permitted under applicable law. The Administrator will determine which Subsidiary of the Company is a Designated Subsidiary, and if the Eligible Employees of a Designated Subsidiary will participate in the 423 Component (and, in such case, if the Eligible Employees of the Designated Subsidiary will participate in a separate offering from the Company and/or in a separate offering from other Designated Subsidiaries) or the Non-423 Component of this Plan. Determinations of the Administrator made with respect to this Plan are conclusive and bind all persons.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Administrator may specify the manner in which the Company and/or Employees are to provide notices and forms under this Plan, and may require that such notices and forms be submitted electronically.</w:t>
      </w:r>
    </w:p>
    <w:tbl>
      <w:tblPr>
        <w:tblW w:w="3445" w:type="dxa"/>
        <w:jc w:val="left"/>
        <w:tblInd w:w="0" w:type="dxa"/>
        <w:tblLayout w:type="fixed"/>
        <w:tblCellMar>
          <w:top w:w="0" w:type="dxa"/>
          <w:left w:w="0" w:type="dxa"/>
          <w:bottom w:w="0" w:type="dxa"/>
          <w:right w:w="0" w:type="dxa"/>
        </w:tblCellMar>
      </w:tblPr>
      <w:tblGrid>
        <w:gridCol w:w="275"/>
        <w:gridCol w:w="3170"/>
      </w:tblGrid>
      <w:tr>
        <w:trPr/>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18.</w:t>
            </w:r>
          </w:p>
        </w:tc>
        <w:tc>
          <w:tcPr>
            <w:tcW w:w="3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Amendment and Termination of Plan</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Amendment</w:t>
      </w:r>
      <w:r>
        <w:rPr>
          <w:rFonts w:ascii="Times New Roman;Times;serif" w:hAnsi="Times New Roman;Times;serif"/>
          <w:i/>
          <w:sz w:val="20"/>
        </w:rPr>
        <w:t xml:space="preserve">. </w:t>
      </w:r>
      <w:r>
        <w:rPr>
          <w:rFonts w:ascii="Times New Roman;Times;serif" w:hAnsi="Times New Roman;Times;serif"/>
          <w:sz w:val="20"/>
        </w:rPr>
        <w:t xml:space="preserve">The Administrator reserves the right at any time or times to amend this Plan to any extent and in any manner it may deem advisable;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any amendment that would be treated as the adoption of a new plan for purposes of Section 423 will have no force or effect unless approved by the shareholders of the Company within twelve (12) months before or after its adoption.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Termination</w:t>
      </w:r>
      <w:r>
        <w:rPr>
          <w:rFonts w:ascii="Times New Roman;Times;serif" w:hAnsi="Times New Roman;Times;serif"/>
          <w:i/>
          <w:sz w:val="20"/>
        </w:rPr>
        <w:t xml:space="preserve">. </w:t>
      </w:r>
      <w:r>
        <w:rPr>
          <w:rFonts w:ascii="Times New Roman;Times;serif" w:hAnsi="Times New Roman;Times;serif"/>
          <w:sz w:val="20"/>
        </w:rPr>
        <w:t>The Administrator reserves the right at any time or times to suspend or terminate this Plan. In connection therewith, the Administrator may provide, in its sole discretion, either that outstanding Options will be exercisable on the Exercise Date for the applicable Offering Period or on such earlier date as the Administrator may specify (in which case such earlier date will be treated as the Exercise Date for the applicable Offering Period), or that the balance of each Participant’s Account will be returned to the Participant, without interest (unless otherwise required by applicable law).</w:t>
      </w:r>
    </w:p>
    <w:tbl>
      <w:tblPr>
        <w:tblW w:w="1180" w:type="dxa"/>
        <w:jc w:val="left"/>
        <w:tblInd w:w="0" w:type="dxa"/>
        <w:tblLayout w:type="fixed"/>
        <w:tblCellMar>
          <w:top w:w="0" w:type="dxa"/>
          <w:left w:w="0" w:type="dxa"/>
          <w:bottom w:w="0" w:type="dxa"/>
          <w:right w:w="0" w:type="dxa"/>
        </w:tblCellMar>
      </w:tblPr>
      <w:tblGrid>
        <w:gridCol w:w="275"/>
        <w:gridCol w:w="905"/>
      </w:tblGrid>
      <w:tr>
        <w:trPr/>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19.</w:t>
            </w:r>
          </w:p>
        </w:tc>
        <w:tc>
          <w:tcPr>
            <w:tcW w:w="90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Approvals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Shareholder approval of this Plan will be obtained prior to the date that is twelve (12) months after the date this Plan is approved by the Board. In the event that this Plan has not been approved by the shareholders of the Company prior to the one-year anniversary of the date that</w:t>
      </w:r>
    </w:p>
    <w:p>
      <w:pPr>
        <w:pStyle w:val="TextBody"/>
        <w:bidi w:val="0"/>
        <w:spacing w:before="0" w:after="120"/>
        <w:ind w:left="0" w:right="0" w:firstLine="72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Plan is approved by the Board, all Options to purchase shares of Stock under this Plan will be cancelled and become null and void.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Notwithstanding anything herein to the contrary, the obligation of the Company to issue and deliver shares of Stock under this Plan will be subject to the approval required of any governmental authority in connection with the authorization, issuance, sale or transfer of such shares of Stock and to any requirements of any national securities exchange applicable thereto, and to compliance by the Company with other applicable legal requirements in effect from time to time.</w:t>
      </w:r>
    </w:p>
    <w:tbl>
      <w:tblPr>
        <w:tblW w:w="4705" w:type="dxa"/>
        <w:jc w:val="left"/>
        <w:tblInd w:w="0" w:type="dxa"/>
        <w:tblLayout w:type="fixed"/>
        <w:tblCellMar>
          <w:top w:w="0" w:type="dxa"/>
          <w:left w:w="0" w:type="dxa"/>
          <w:bottom w:w="0" w:type="dxa"/>
          <w:right w:w="0" w:type="dxa"/>
        </w:tblCellMar>
      </w:tblPr>
      <w:tblGrid>
        <w:gridCol w:w="275"/>
        <w:gridCol w:w="4430"/>
      </w:tblGrid>
      <w:tr>
        <w:trPr/>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20.</w:t>
            </w:r>
          </w:p>
        </w:tc>
        <w:tc>
          <w:tcPr>
            <w:tcW w:w="443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Participants’ Rights as Shareholders and Employees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Participant will have no rights or privileges as a shareholder of the Company and will not receive any dividends in respect of any shares of Stock covered by an Option granted hereunder until such Option has been exercised, full payment has been made for such shares, and the shares have been issued to the Participant.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Nothing contained in the provisions of this Plan will be construed as giving to any Employee the right to be retained in the employ of the Company or any Designated Subsidiary or as interfering with the right of the Company or any Designated Subsidiary to discharge, promote, demote or otherwise re-assign any Employee from one position to another within the Company or any Designated Subsidiary at any time.</w:t>
      </w:r>
    </w:p>
    <w:tbl>
      <w:tblPr>
        <w:tblW w:w="4525" w:type="dxa"/>
        <w:jc w:val="left"/>
        <w:tblInd w:w="0" w:type="dxa"/>
        <w:tblLayout w:type="fixed"/>
        <w:tblCellMar>
          <w:top w:w="0" w:type="dxa"/>
          <w:left w:w="0" w:type="dxa"/>
          <w:bottom w:w="0" w:type="dxa"/>
          <w:right w:w="0" w:type="dxa"/>
        </w:tblCellMar>
      </w:tblPr>
      <w:tblGrid>
        <w:gridCol w:w="275"/>
        <w:gridCol w:w="4250"/>
      </w:tblGrid>
      <w:tr>
        <w:trPr/>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21.</w:t>
            </w:r>
          </w:p>
        </w:tc>
        <w:tc>
          <w:tcPr>
            <w:tcW w:w="425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Information Regarding Disqualifying Dispositions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By electing to participate in this Plan, each Participant agrees to provide such information about any transfer or disposition of Stock acquired under this Plan in order to assist the Company or any Designated Subsidiary in complying with applicable tax laws.</w:t>
      </w:r>
    </w:p>
    <w:tbl>
      <w:tblPr>
        <w:tblW w:w="1495" w:type="dxa"/>
        <w:jc w:val="left"/>
        <w:tblInd w:w="0" w:type="dxa"/>
        <w:tblLayout w:type="fixed"/>
        <w:tblCellMar>
          <w:top w:w="0" w:type="dxa"/>
          <w:left w:w="0" w:type="dxa"/>
          <w:bottom w:w="0" w:type="dxa"/>
          <w:right w:w="0" w:type="dxa"/>
        </w:tblCellMar>
      </w:tblPr>
      <w:tblGrid>
        <w:gridCol w:w="275"/>
        <w:gridCol w:w="1220"/>
      </w:tblGrid>
      <w:tr>
        <w:trPr/>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22.</w:t>
            </w:r>
          </w:p>
        </w:tc>
        <w:tc>
          <w:tcPr>
            <w:tcW w:w="122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Miscellaneous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Waiver of Jury Trial</w:t>
      </w:r>
      <w:r>
        <w:rPr>
          <w:rFonts w:ascii="Times New Roman;Times;serif" w:hAnsi="Times New Roman;Times;serif"/>
          <w:sz w:val="20"/>
        </w:rPr>
        <w:t>. By electing to participate in this Plan, each Participant waives (or will be deemed to have waived), to the maximum extent permitted under applicable law, any right to a trial by jury in any action, proceeding or counterclaim concerning any rights under this Plan or with respect to any Option, or under any amendment, waiver, consent, instrument, document or other agreement delivered or which in the future may be delivered in connection therewith, and agrees (or will be deemed to have agreed) that any such action, proceedings or counterclaim will be tried before a court and not before a jury. By electing to participate in this Plan, each Participant certifies that no officer, representative, or attorney of the Company has represented, expressly or otherwise, that the Company would not, in the event of any action, proceeding or counterclaim, seek to enforce the foregoing waivers. Notwithstanding anything to the contrary in this Plan, nothing herein is to be construed as limiting the ability of the Company and a Participant to agree to submit any dispute arising under the terms of this Plan or in respect of any Option to binding arbitration or as limiting the ability of the Company to require any individual to agree to submit such disputes to binding arbitration as a condition of receiving an Option hereunder.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Limitation of Liability</w:t>
      </w:r>
      <w:r>
        <w:rPr>
          <w:rFonts w:ascii="Times New Roman;Times;serif" w:hAnsi="Times New Roman;Times;serif"/>
          <w:sz w:val="20"/>
        </w:rPr>
        <w:t>. Notwithstanding anything to the contrary in this Plan, neither the Company, nor any of its subsidiaries, nor the Administrator, nor any person acting on behalf of the Company, any of its subsidiaries, or the Administrator, will be liable to any Participant, to any permitted transferee, to the estate or beneficiary of any Participant or any permitted transferee, or to any other person by reason of any acceleration of income, any additional tax, or any penalty, interest or other liability asserted by reason of the failure of this Plan or any Option to satisfy the requirements of Section 423, or otherwise asserted with respect to this Plan or any Option.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u w:val="single"/>
        </w:rPr>
        <w:t>Unfunded Plan</w:t>
      </w:r>
      <w:r>
        <w:rPr>
          <w:rFonts w:ascii="Times New Roman;Times;serif" w:hAnsi="Times New Roman;Times;serif"/>
          <w:sz w:val="20"/>
        </w:rPr>
        <w:t>. The Company’s obligations under this Plan are unfunded, and no Participant will have any right to specific assets of the Company in respect of any Option. Participants will be general unsecured creditors of the Company with respect to any amounts due or payable under this Plan.</w:t>
      </w:r>
    </w:p>
    <w:tbl>
      <w:tblPr>
        <w:tblW w:w="2590" w:type="dxa"/>
        <w:jc w:val="left"/>
        <w:tblInd w:w="0" w:type="dxa"/>
        <w:tblLayout w:type="fixed"/>
        <w:tblCellMar>
          <w:top w:w="0" w:type="dxa"/>
          <w:left w:w="0" w:type="dxa"/>
          <w:bottom w:w="0" w:type="dxa"/>
          <w:right w:w="0" w:type="dxa"/>
        </w:tblCellMar>
      </w:tblPr>
      <w:tblGrid>
        <w:gridCol w:w="275"/>
        <w:gridCol w:w="2315"/>
      </w:tblGrid>
      <w:tr>
        <w:trPr/>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23.</w:t>
            </w:r>
          </w:p>
        </w:tc>
        <w:tc>
          <w:tcPr>
            <w:tcW w:w="231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Establishment of Sub-Plans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Notwithstanding the foregoing or any provision of this Plan to the contrary, consistent with the requirements of Section 423, the Administrator may, in its sole discretion, amend the terms of this Plan, or an offering and/or provide for separate offerings under this Plan in order to, among other things, reflect the impact of local law outside of the U.S. as applied to one or more Eligible Employees of a Designated Subsidiary.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 the Administrator may adopt such rules, procedures and sub-plans relating to the operation and administration of this Plan as are necessary or appropriate under applicable laws to permit or facilitate participation in this Plan by Eligible Employees who are non-U.S. nationals or employed or providing services or located or otherwise subject to the laws of a jurisdiction outside the U.S. Without limiting the generality of, but consistent with, the foregoing, the Administrator specifically is authorized to adopt rules, procedures, and sub-plans, which, for purposes of the Non-423 Component, may be beyond the scope of Section 423, regarding, without limitation, eligibility to participate in this Plan, the definition of Eligible Compensation, the dates and duration of offerings or other periods during which Participants make contributions pursuant to the Plan, the method of determining the Purchase Price and the discount from Fair Market value at which shares of Stock may be purchased, handling and making of payroll deductions and Accounts as well as other methods for making contributions pursuant to the Plan, establishment of bank or trust accounts to hold payroll deductions, conversion of local currency, obligations to pay payroll tax, determination of beneficiary designation requirements, withholding procedures and handling of share issuances, any of which may vary according to applicable laws.</w:t>
      </w:r>
    </w:p>
    <w:tbl>
      <w:tblPr>
        <w:tblW w:w="1630" w:type="dxa"/>
        <w:jc w:val="left"/>
        <w:tblInd w:w="0" w:type="dxa"/>
        <w:tblLayout w:type="fixed"/>
        <w:tblCellMar>
          <w:top w:w="0" w:type="dxa"/>
          <w:left w:w="0" w:type="dxa"/>
          <w:bottom w:w="0" w:type="dxa"/>
          <w:right w:w="0" w:type="dxa"/>
        </w:tblCellMar>
      </w:tblPr>
      <w:tblGrid>
        <w:gridCol w:w="275"/>
        <w:gridCol w:w="1355"/>
      </w:tblGrid>
      <w:tr>
        <w:trPr/>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24.</w:t>
            </w:r>
          </w:p>
        </w:tc>
        <w:tc>
          <w:tcPr>
            <w:tcW w:w="135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Governing Law</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Certain Requirements of Corporate Law</w:t>
      </w:r>
      <w:r>
        <w:rPr>
          <w:rFonts w:ascii="Times New Roman;Times;serif" w:hAnsi="Times New Roman;Times;serif"/>
          <w:sz w:val="20"/>
        </w:rPr>
        <w:t>. Options and shares of Stock will be granted, issued and administered consistent with the requirements of applicable Delaware law relating to the issuance of stock and the consideration to be received therefor, and with the applicable requirements of the stock exchanges or other trading systems on which the Stock is listed or entered for trading, in each case as determined by the Administrator.</w:t>
      </w:r>
    </w:p>
    <w:p>
      <w:pPr>
        <w:pStyle w:val="TextBody"/>
        <w:bidi w:val="0"/>
        <w:spacing w:before="0" w:after="120"/>
        <w:ind w:left="0" w:right="0" w:firstLine="72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Other Matters</w:t>
      </w:r>
      <w:r>
        <w:rPr>
          <w:rFonts w:ascii="Times New Roman;Times;serif" w:hAnsi="Times New Roman;Times;serif"/>
          <w:sz w:val="20"/>
        </w:rPr>
        <w:t>. Except as otherwise provided by the express terms of a sub-plan described in Section 23 of this Plan or as provided in Section 24(a) of this Plan, the domestic substantive laws of the Commonwealth of Massachusetts govern the provisions of this Plan and of Options under this Plan and all claims or disputes arising out of or based upon this Plan or any Option or relating to the subject matter hereof or thereof without giving effect to any choice or conflict of laws provision or rule that would cause the application of the domestic substantive laws of any other jurisdiction.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u w:val="single"/>
        </w:rPr>
        <w:t>Jurisdiction</w:t>
      </w:r>
      <w:r>
        <w:rPr>
          <w:rFonts w:ascii="Times New Roman;Times;serif" w:hAnsi="Times New Roman;Times;serif"/>
          <w:sz w:val="20"/>
        </w:rPr>
        <w:t>. By electing to participate in this Plan, each Participant agrees or will be deemed to have agreed to (i) submit irrevocably and unconditionally to the jurisdiction of the federal and state courts located within the geographic boundaries of the U.S. District Court for the District of Massachusetts for the purpose of any suit, action or other proceeding arising out of or based upon this Plan or any Option; (ii) not commence any suit, action or other proceeding arising out of or based upon this Plan or any Option, except in the federal and state courts located within the geographic boundaries of the U.S. District Court for the District of Massachusetts; and (iii) waive, and not assert, by way of motion as a defense or otherwise, in any such suit, action or proceeding, any claim that he or she is not subject personally to the jurisdiction of the above-named courts that his or her property is exempt or immune from attachment or execution, that the suit, action or proceeding is brought in an inconvenient forum, that the venue of the suit, action or proceeding is improper or that this Plan or any Option or the subject matter thereof may not be enforced in or by such court.</w:t>
      </w:r>
    </w:p>
    <w:tbl>
      <w:tblPr>
        <w:tblW w:w="2365" w:type="dxa"/>
        <w:jc w:val="left"/>
        <w:tblInd w:w="0" w:type="dxa"/>
        <w:tblLayout w:type="fixed"/>
        <w:tblCellMar>
          <w:top w:w="0" w:type="dxa"/>
          <w:left w:w="0" w:type="dxa"/>
          <w:bottom w:w="0" w:type="dxa"/>
          <w:right w:w="0" w:type="dxa"/>
        </w:tblCellMar>
      </w:tblPr>
      <w:tblGrid>
        <w:gridCol w:w="275"/>
        <w:gridCol w:w="2090"/>
      </w:tblGrid>
      <w:tr>
        <w:trPr/>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25.</w:t>
            </w:r>
          </w:p>
        </w:tc>
        <w:tc>
          <w:tcPr>
            <w:tcW w:w="209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Effective Date and Term</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Plan will become effective upon adoption of this Plan by the Board and no rights will be granted hereunder after the earliest to occur of (a) this Plan’s termination by the Company, (b) the issuance of all shares of Stock available for issuance under this Plan or (c) the day before the ten (10)-year anniversary of the date the Board approves this Plan.</w:t>
      </w:r>
    </w:p>
    <w:p>
      <w:pPr>
        <w:pStyle w:val="TextBody"/>
        <w:bidi w:val="0"/>
        <w:spacing w:before="0" w:after="120"/>
        <w:ind w:left="0" w:right="0" w:firstLine="72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EXHIBIT A</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Definition of Terms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terms, when used in the Plan, will have the meanings and be subject to the provisions set forth below:</w:t>
      </w:r>
    </w:p>
    <w:p>
      <w:pPr>
        <w:pStyle w:val="TextBody"/>
        <w:bidi w:val="0"/>
        <w:spacing w:before="0" w:after="240"/>
        <w:ind w:left="0" w:right="0" w:firstLine="720"/>
        <w:jc w:val="both"/>
        <w:rPr/>
      </w:pPr>
      <w:r>
        <w:rPr/>
        <w:t>“</w:t>
      </w:r>
      <w:r>
        <w:rPr>
          <w:rFonts w:ascii="Times New Roman;Times;serif" w:hAnsi="Times New Roman;Times;serif"/>
          <w:b/>
          <w:sz w:val="20"/>
        </w:rPr>
        <w:t xml:space="preserve">401(k) Plan”: </w:t>
      </w:r>
      <w:r>
        <w:rPr>
          <w:rFonts w:ascii="Times New Roman;Times;serif" w:hAnsi="Times New Roman;Times;serif"/>
          <w:sz w:val="20"/>
        </w:rPr>
        <w:t>A retirement plan qualifying under Section 401(k) of the Code that is sponsored by the Company or one of its Subsidiaries for the benefit of its employees.</w:t>
      </w:r>
    </w:p>
    <w:p>
      <w:pPr>
        <w:pStyle w:val="TextBody"/>
        <w:bidi w:val="0"/>
        <w:spacing w:before="0" w:after="240"/>
        <w:ind w:left="0" w:right="0" w:firstLine="720"/>
        <w:jc w:val="both"/>
        <w:rPr/>
      </w:pPr>
      <w:r>
        <w:rPr/>
        <w:t>“</w:t>
      </w:r>
      <w:r>
        <w:rPr>
          <w:rFonts w:ascii="Times New Roman;Times;serif" w:hAnsi="Times New Roman;Times;serif"/>
          <w:b/>
          <w:sz w:val="20"/>
        </w:rPr>
        <w:t xml:space="preserve">423 Component”: </w:t>
      </w:r>
      <w:r>
        <w:rPr>
          <w:rFonts w:ascii="Times New Roman;Times;serif" w:hAnsi="Times New Roman;Times;serif"/>
          <w:sz w:val="20"/>
        </w:rPr>
        <w:t>The part of this Plan, which excludes the Non-423 Component, pursuant to which Options that are intended to satisfy the requirements of Section 423 may be granted to Eligible Employees.</w:t>
      </w:r>
    </w:p>
    <w:p>
      <w:pPr>
        <w:pStyle w:val="TextBody"/>
        <w:bidi w:val="0"/>
        <w:spacing w:before="0" w:after="240"/>
        <w:ind w:left="0" w:right="0" w:firstLine="720"/>
        <w:jc w:val="both"/>
        <w:rPr/>
      </w:pPr>
      <w:r>
        <w:rPr/>
        <w:t>“</w:t>
      </w:r>
      <w:r>
        <w:rPr>
          <w:rFonts w:ascii="Times New Roman;Times;serif" w:hAnsi="Times New Roman;Times;serif"/>
          <w:b/>
          <w:sz w:val="20"/>
        </w:rPr>
        <w:t xml:space="preserve">Account”: </w:t>
      </w:r>
      <w:r>
        <w:rPr>
          <w:rFonts w:ascii="Times New Roman;Times;serif" w:hAnsi="Times New Roman;Times;serif"/>
          <w:sz w:val="20"/>
        </w:rPr>
        <w:t>A notional payroll deduction account maintained in the Participant’s name on the books of the Company.</w:t>
      </w:r>
    </w:p>
    <w:p>
      <w:pPr>
        <w:pStyle w:val="TextBody"/>
        <w:bidi w:val="0"/>
        <w:spacing w:before="0" w:after="240"/>
        <w:ind w:left="0" w:right="0" w:firstLine="720"/>
        <w:jc w:val="both"/>
        <w:rPr/>
      </w:pPr>
      <w:r>
        <w:rPr/>
        <w:t>“</w:t>
      </w:r>
      <w:r>
        <w:rPr>
          <w:rFonts w:ascii="Times New Roman;Times;serif" w:hAnsi="Times New Roman;Times;serif"/>
          <w:b/>
          <w:sz w:val="20"/>
        </w:rPr>
        <w:t xml:space="preserve">Accounting Rules”: </w:t>
      </w:r>
      <w:r>
        <w:rPr>
          <w:rFonts w:ascii="Times New Roman;Times;serif" w:hAnsi="Times New Roman;Times;serif"/>
          <w:sz w:val="20"/>
        </w:rPr>
        <w:t>Financial Accounting Standards Board Accounting Standards Codification Topic 718, or any successor provision.</w:t>
      </w:r>
    </w:p>
    <w:p>
      <w:pPr>
        <w:pStyle w:val="TextBody"/>
        <w:bidi w:val="0"/>
        <w:spacing w:before="0" w:after="240"/>
        <w:ind w:left="0" w:right="0" w:firstLine="720"/>
        <w:jc w:val="both"/>
        <w:rPr/>
      </w:pPr>
      <w:r>
        <w:rPr/>
        <w:t>“</w:t>
      </w:r>
      <w:r>
        <w:rPr>
          <w:rFonts w:ascii="Times New Roman;Times;serif" w:hAnsi="Times New Roman;Times;serif"/>
          <w:b/>
          <w:sz w:val="20"/>
        </w:rPr>
        <w:t xml:space="preserve">Administrator”: </w:t>
      </w:r>
      <w:r>
        <w:rPr>
          <w:rFonts w:ascii="Times New Roman;Times;serif" w:hAnsi="Times New Roman;Times;serif"/>
          <w:sz w:val="20"/>
        </w:rPr>
        <w:t>The Compensation Committee, except that the Compensation Committee may delegate its authority under the Plan to a sub-committee comprised of one or more of its members, to members of the Board, or to officers or employees of the Company to the extent permitted by applicable law. In each case, references herein to the Administrator refer, as applicable, to such persons or groups so delegated to the extent of such delegation.</w:t>
      </w:r>
    </w:p>
    <w:p>
      <w:pPr>
        <w:pStyle w:val="TextBody"/>
        <w:bidi w:val="0"/>
        <w:spacing w:before="0" w:after="240"/>
        <w:ind w:left="0" w:right="0" w:firstLine="720"/>
        <w:jc w:val="both"/>
        <w:rPr/>
      </w:pPr>
      <w:r>
        <w:rPr/>
        <w:t>“</w:t>
      </w:r>
      <w:r>
        <w:rPr>
          <w:rFonts w:ascii="Times New Roman;Times;serif" w:hAnsi="Times New Roman;Times;serif"/>
          <w:b/>
          <w:sz w:val="20"/>
        </w:rPr>
        <w:t xml:space="preserve">Board”: </w:t>
      </w:r>
      <w:r>
        <w:rPr>
          <w:rFonts w:ascii="Times New Roman;Times;serif" w:hAnsi="Times New Roman;Times;serif"/>
          <w:sz w:val="20"/>
        </w:rPr>
        <w:t>The board of directors of the Company.</w:t>
      </w:r>
    </w:p>
    <w:p>
      <w:pPr>
        <w:pStyle w:val="TextBody"/>
        <w:bidi w:val="0"/>
        <w:spacing w:before="0" w:after="240"/>
        <w:ind w:left="0" w:right="0" w:firstLine="720"/>
        <w:jc w:val="both"/>
        <w:rPr/>
      </w:pPr>
      <w:r>
        <w:rPr/>
        <w:t>“</w:t>
      </w:r>
      <w:r>
        <w:rPr>
          <w:rFonts w:ascii="Times New Roman;Times;serif" w:hAnsi="Times New Roman;Times;serif"/>
          <w:b/>
          <w:sz w:val="20"/>
        </w:rPr>
        <w:t xml:space="preserve">Business Day”: </w:t>
      </w:r>
      <w:r>
        <w:rPr>
          <w:rFonts w:ascii="Times New Roman;Times;serif" w:hAnsi="Times New Roman;Times;serif"/>
          <w:sz w:val="20"/>
        </w:rPr>
        <w:t>Any day on which the established national exchange or trading system (including the Nasdaq Global Stock Market) on which the Stock is traded is available and open for trading.</w:t>
      </w:r>
    </w:p>
    <w:p>
      <w:pPr>
        <w:pStyle w:val="TextBody"/>
        <w:bidi w:val="0"/>
        <w:spacing w:before="0" w:after="240"/>
        <w:ind w:left="0" w:right="0" w:firstLine="720"/>
        <w:jc w:val="both"/>
        <w:rPr/>
      </w:pPr>
      <w:r>
        <w:rPr/>
        <w:t>“</w:t>
      </w:r>
      <w:r>
        <w:rPr>
          <w:rFonts w:ascii="Times New Roman;Times;serif" w:hAnsi="Times New Roman;Times;serif"/>
          <w:b/>
          <w:sz w:val="20"/>
        </w:rPr>
        <w:t xml:space="preserve">Code”: </w:t>
      </w:r>
      <w:r>
        <w:rPr>
          <w:rFonts w:ascii="Times New Roman;Times;serif" w:hAnsi="Times New Roman;Times;serif"/>
          <w:sz w:val="20"/>
        </w:rPr>
        <w:t>The U.S. Internal Revenue Code of 1986, as from time to time amended and in effect, or any successor statute as from time to time in effect, including any applicable regulations and guidance thereunder.</w:t>
      </w:r>
    </w:p>
    <w:p>
      <w:pPr>
        <w:pStyle w:val="TextBody"/>
        <w:bidi w:val="0"/>
        <w:spacing w:before="0" w:after="240"/>
        <w:ind w:left="719" w:right="0" w:hanging="0"/>
        <w:jc w:val="both"/>
        <w:rPr/>
      </w:pPr>
      <w:r>
        <w:rPr/>
        <w:t>“</w:t>
      </w:r>
      <w:r>
        <w:rPr>
          <w:rFonts w:ascii="Times New Roman;Times;serif" w:hAnsi="Times New Roman;Times;serif"/>
          <w:b/>
          <w:sz w:val="20"/>
        </w:rPr>
        <w:t xml:space="preserve">Company”: </w:t>
      </w:r>
      <w:r>
        <w:rPr>
          <w:rFonts w:ascii="Times New Roman;Times;serif" w:hAnsi="Times New Roman;Times;serif"/>
          <w:sz w:val="20"/>
        </w:rPr>
        <w:t>Zenas BioPharma, Inc., a Delaware corporation.</w:t>
      </w:r>
    </w:p>
    <w:p>
      <w:pPr>
        <w:pStyle w:val="TextBody"/>
        <w:bidi w:val="0"/>
        <w:spacing w:before="0" w:after="240"/>
        <w:ind w:left="719" w:right="0" w:hanging="0"/>
        <w:jc w:val="both"/>
        <w:rPr/>
      </w:pPr>
      <w:r>
        <w:rPr/>
        <w:t>“</w:t>
      </w:r>
      <w:r>
        <w:rPr>
          <w:rFonts w:ascii="Times New Roman;Times;serif" w:hAnsi="Times New Roman;Times;serif"/>
          <w:b/>
          <w:sz w:val="20"/>
        </w:rPr>
        <w:t xml:space="preserve">Compensation Committee”: </w:t>
      </w:r>
      <w:r>
        <w:rPr>
          <w:rFonts w:ascii="Times New Roman;Times;serif" w:hAnsi="Times New Roman;Times;serif"/>
          <w:sz w:val="20"/>
        </w:rPr>
        <w:t>The Compensation Committee of the Board.</w:t>
      </w:r>
    </w:p>
    <w:p>
      <w:pPr>
        <w:pStyle w:val="TextBody"/>
        <w:bidi w:val="0"/>
        <w:spacing w:before="0" w:after="240"/>
        <w:ind w:left="0" w:right="0" w:firstLine="720"/>
        <w:jc w:val="both"/>
        <w:rPr/>
      </w:pPr>
      <w:r>
        <w:rPr/>
        <w:t>“</w:t>
      </w:r>
      <w:r>
        <w:rPr>
          <w:rFonts w:ascii="Times New Roman;Times;serif" w:hAnsi="Times New Roman;Times;serif"/>
          <w:b/>
          <w:sz w:val="20"/>
        </w:rPr>
        <w:t xml:space="preserve">Designated Subsidiary”: </w:t>
      </w:r>
      <w:r>
        <w:rPr>
          <w:rFonts w:ascii="Times New Roman;Times;serif" w:hAnsi="Times New Roman;Times;serif"/>
          <w:sz w:val="20"/>
        </w:rPr>
        <w:t>A Subsidiary of the Company that has been designated by the Board or the Compensation Committee from time to time as eligible to participate in the Plan. A list of the Designated Subsidiaries was approved by the Board on or around the date the Plan was adopted by the Board and is set forth in the prospectus as described in Rule 428(a) of the Securities Act. For the avoidance of doubt, any Subsidiary of the Company, whether or not a Subsidiary on the date the Plan was adopted by the Board, shall be eligible to be designated as a Designated Subsidiary hereunder.</w:t>
      </w:r>
    </w:p>
    <w:p>
      <w:pPr>
        <w:pStyle w:val="TextBody"/>
        <w:bidi w:val="0"/>
        <w:spacing w:before="0" w:after="120"/>
        <w:ind w:left="0" w:right="0" w:firstLine="72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 A-1</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b/>
          <w:sz w:val="20"/>
        </w:rPr>
        <w:t xml:space="preserve">Eligible Compensation”: </w:t>
      </w:r>
      <w:r>
        <w:rPr>
          <w:rFonts w:ascii="Times New Roman;Times;serif" w:hAnsi="Times New Roman;Times;serif"/>
          <w:sz w:val="20"/>
        </w:rPr>
        <w:t xml:space="preserve">Regular base salary, regular base wages, and overtime payments (excluding, for the avoidance of doubt, any long-term or equity-based incentive payments or awards, annual bonuses, commissions and sales incentives). Eligible Compensation will not be reduced by any income or employment tax withholdings or any contributions by the Employee to a 401(k) Plan or a plan under Section 125 of the Code, but will be reduced by any contributions made on the Employee’s behalf by the Company or any Subsidiary to any deferred compensation plan or welfare benefit program now or hereafter established. The Administrator shall have discretion to determine the application of this definition, including without limitation, to Participants on payrolls outside of the United States;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such discretion shall be exercised in a uniform and nondiscriminatory basis for Participants in the 423 Component.</w:t>
      </w:r>
    </w:p>
    <w:p>
      <w:pPr>
        <w:pStyle w:val="TextBody"/>
        <w:bidi w:val="0"/>
        <w:spacing w:before="0" w:after="240"/>
        <w:ind w:left="0" w:right="0" w:firstLine="720"/>
        <w:jc w:val="both"/>
        <w:rPr/>
      </w:pPr>
      <w:r>
        <w:rPr/>
        <w:t>“</w:t>
      </w:r>
      <w:r>
        <w:rPr>
          <w:rFonts w:ascii="Times New Roman;Times;serif" w:hAnsi="Times New Roman;Times;serif"/>
          <w:b/>
          <w:sz w:val="20"/>
        </w:rPr>
        <w:t xml:space="preserve">Eligible Employee”: </w:t>
      </w:r>
      <w:r>
        <w:rPr>
          <w:rFonts w:ascii="Times New Roman;Times;serif" w:hAnsi="Times New Roman;Times;serif"/>
          <w:sz w:val="20"/>
        </w:rPr>
        <w:t>Any Employee who meets the eligibility requirements set forth in Section 4 of the Plan.</w:t>
      </w:r>
    </w:p>
    <w:p>
      <w:pPr>
        <w:pStyle w:val="TextBody"/>
        <w:bidi w:val="0"/>
        <w:spacing w:before="0" w:after="240"/>
        <w:ind w:left="0" w:right="0" w:firstLine="720"/>
        <w:jc w:val="both"/>
        <w:rPr/>
      </w:pPr>
      <w:r>
        <w:rPr/>
        <w:t>“</w:t>
      </w:r>
      <w:r>
        <w:rPr>
          <w:rFonts w:ascii="Times New Roman;Times;serif" w:hAnsi="Times New Roman;Times;serif"/>
          <w:b/>
          <w:sz w:val="20"/>
        </w:rPr>
        <w:t xml:space="preserve">Employee”: </w:t>
      </w:r>
      <w:r>
        <w:rPr>
          <w:rFonts w:ascii="Times New Roman;Times;serif" w:hAnsi="Times New Roman;Times;serif"/>
          <w:sz w:val="20"/>
        </w:rPr>
        <w:t>Any person providing services to the Company or a Designated Subsidiary in an employee-employer relationship. For the avoidance of doubt, independent contractors and consultants are not “Employees”. A Participant shall be deemed to have ceased to be an Employee either upon an actual termination of employment or, if applicable, upon the entity employing the Participant ceasing to be a Designated Subsidiary</w:t>
      </w:r>
      <w:r>
        <w:rPr>
          <w:rFonts w:ascii="Times New Roman;Times;serif" w:hAnsi="Times New Roman;Times;serif"/>
          <w:color w:val="3952A3"/>
          <w:sz w:val="20"/>
        </w:rPr>
        <w:t>.</w:t>
      </w:r>
    </w:p>
    <w:p>
      <w:pPr>
        <w:pStyle w:val="TextBody"/>
        <w:bidi w:val="0"/>
        <w:spacing w:before="0" w:after="240"/>
        <w:ind w:left="0" w:right="0" w:firstLine="720"/>
        <w:jc w:val="both"/>
        <w:rPr/>
      </w:pPr>
      <w:r>
        <w:rPr/>
        <w:t>“</w:t>
      </w:r>
      <w:r>
        <w:rPr>
          <w:rFonts w:ascii="Times New Roman;Times;serif" w:hAnsi="Times New Roman;Times;serif"/>
          <w:b/>
          <w:sz w:val="20"/>
        </w:rPr>
        <w:t xml:space="preserve">Exercise Date”: </w:t>
      </w:r>
      <w:r>
        <w:rPr>
          <w:rFonts w:ascii="Times New Roman;Times;serif" w:hAnsi="Times New Roman;Times;serif"/>
          <w:sz w:val="20"/>
        </w:rPr>
        <w:t>The date set forth in Section 5 of the Plan or otherwise designated by the Administrator with respect to a particular Offering Period on which a Participant will be deemed to have exercised the Option granted to him or her for such Offering Period.</w:t>
      </w:r>
    </w:p>
    <w:p>
      <w:pPr>
        <w:pStyle w:val="TextBody"/>
        <w:bidi w:val="0"/>
        <w:spacing w:before="0" w:after="240"/>
        <w:ind w:left="719" w:right="0" w:hanging="0"/>
        <w:jc w:val="left"/>
        <w:rPr/>
      </w:pPr>
      <w:r>
        <w:rPr/>
        <w:t>“</w:t>
      </w:r>
      <w:r>
        <w:rPr>
          <w:rFonts w:ascii="Times New Roman;Times;serif" w:hAnsi="Times New Roman;Times;serif"/>
          <w:b/>
          <w:sz w:val="20"/>
        </w:rPr>
        <w:t>Fair Market Value”: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 xml:space="preserve">If the Stock is readily traded on an established national exchange or trading system (including the Nasdaq Global Stock Market), the closing price of a share of Stock as reported by the principal exchange on which such Stock is traded; </w:t>
      </w:r>
      <w:r>
        <w:rPr>
          <w:rFonts w:ascii="Times New Roman;Times;serif" w:hAnsi="Times New Roman;Times;serif"/>
          <w:sz w:val="20"/>
          <w:u w:val="single"/>
        </w:rPr>
        <w:t>provided</w:t>
      </w:r>
      <w:r>
        <w:rPr>
          <w:rFonts w:ascii="Times New Roman;Times;serif" w:hAnsi="Times New Roman;Times;serif"/>
          <w:i/>
          <w:sz w:val="20"/>
        </w:rPr>
        <w:t xml:space="preserve">, </w:t>
      </w:r>
      <w:r>
        <w:rPr>
          <w:rFonts w:ascii="Times New Roman;Times;serif" w:hAnsi="Times New Roman;Times;serif"/>
          <w:sz w:val="20"/>
          <w:u w:val="single"/>
        </w:rPr>
        <w:t>however</w:t>
      </w:r>
      <w:r>
        <w:rPr>
          <w:rFonts w:ascii="Times New Roman;Times;serif" w:hAnsi="Times New Roman;Times;serif"/>
          <w:i/>
          <w:sz w:val="20"/>
        </w:rPr>
        <w:t xml:space="preserve">, </w:t>
      </w:r>
      <w:r>
        <w:rPr>
          <w:rFonts w:ascii="Times New Roman;Times;serif" w:hAnsi="Times New Roman;Times;serif"/>
          <w:sz w:val="20"/>
        </w:rPr>
        <w:t>that if such day is not a trading day, Fair Market Value will mean the reported closing price of a share of Stock for the immediately preceding day that is a trading day.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If the Stock is not traded on an established national exchange or trading system, the average of the bid and ask prices for shares of Stock where the bid and ask prices are quoted.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If the Stock cannot be valued pursuant to clauses (a) or (b), the value as determined in good faith by the Board in its sole discretion.</w:t>
      </w:r>
    </w:p>
    <w:p>
      <w:pPr>
        <w:pStyle w:val="TextBody"/>
        <w:bidi w:val="0"/>
        <w:spacing w:before="0" w:after="240"/>
        <w:ind w:left="720" w:right="0" w:hanging="0"/>
        <w:jc w:val="both"/>
        <w:rPr/>
      </w:pPr>
      <w:r>
        <w:rPr/>
        <w:t>“</w:t>
      </w:r>
      <w:r>
        <w:rPr>
          <w:rFonts w:ascii="Times New Roman;Times;serif" w:hAnsi="Times New Roman;Times;serif"/>
          <w:b/>
          <w:sz w:val="20"/>
        </w:rPr>
        <w:t xml:space="preserve">Maximum Share Limit”: </w:t>
      </w:r>
      <w:r>
        <w:rPr>
          <w:rFonts w:ascii="Times New Roman;Times;serif" w:hAnsi="Times New Roman;Times;serif"/>
          <w:sz w:val="20"/>
        </w:rPr>
        <w:t>The meaning set forth in Section 10 of the Plan.</w:t>
      </w:r>
    </w:p>
    <w:p>
      <w:pPr>
        <w:pStyle w:val="TextBody"/>
        <w:bidi w:val="0"/>
        <w:spacing w:before="0" w:after="240"/>
        <w:ind w:left="0" w:right="0" w:firstLine="720"/>
        <w:jc w:val="both"/>
        <w:rPr/>
      </w:pPr>
      <w:r>
        <w:rPr/>
        <w:t>“</w:t>
      </w:r>
      <w:r>
        <w:rPr>
          <w:rFonts w:ascii="Times New Roman;Times;serif" w:hAnsi="Times New Roman;Times;serif"/>
          <w:b/>
          <w:sz w:val="20"/>
        </w:rPr>
        <w:t xml:space="preserve">Non-423 Component”: </w:t>
      </w:r>
      <w:r>
        <w:rPr>
          <w:rFonts w:ascii="Times New Roman;Times;serif" w:hAnsi="Times New Roman;Times;serif"/>
          <w:sz w:val="20"/>
        </w:rPr>
        <w:t>The part of this Plan, which excludes the 423 Component, pursuant to which Options that are not intended to satisfy the requirements for Section 423 may be granted to Eligible Employees.</w:t>
      </w:r>
    </w:p>
    <w:p>
      <w:pPr>
        <w:pStyle w:val="TextBody"/>
        <w:bidi w:val="0"/>
        <w:spacing w:before="0" w:after="240"/>
        <w:ind w:left="0" w:right="0" w:firstLine="720"/>
        <w:jc w:val="both"/>
        <w:rPr/>
      </w:pPr>
      <w:r>
        <w:rPr/>
        <w:t>“</w:t>
      </w:r>
      <w:r>
        <w:rPr>
          <w:rFonts w:ascii="Times New Roman;Times;serif" w:hAnsi="Times New Roman;Times;serif"/>
          <w:b/>
          <w:sz w:val="20"/>
        </w:rPr>
        <w:t xml:space="preserve">Option”: </w:t>
      </w:r>
      <w:r>
        <w:rPr>
          <w:rFonts w:ascii="Times New Roman;Times;serif" w:hAnsi="Times New Roman;Times;serif"/>
          <w:sz w:val="20"/>
        </w:rPr>
        <w:t>An option granted pursuant to the Plan entitling the holder to acquire shares of Stock upon payment of the Purchase Price per share of Stock.</w:t>
      </w:r>
    </w:p>
    <w:p>
      <w:pPr>
        <w:pStyle w:val="TextBody"/>
        <w:bidi w:val="0"/>
        <w:spacing w:before="0" w:after="120"/>
        <w:ind w:left="0" w:right="0" w:firstLine="72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 A-2</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b/>
          <w:sz w:val="20"/>
        </w:rPr>
        <w:t xml:space="preserve">Offering Period”: </w:t>
      </w:r>
      <w:r>
        <w:rPr>
          <w:rFonts w:ascii="Times New Roman;Times;serif" w:hAnsi="Times New Roman;Times;serif"/>
          <w:sz w:val="20"/>
        </w:rPr>
        <w:t>An offering period established in accordance with Section 5 of the Plan.</w:t>
      </w:r>
    </w:p>
    <w:p>
      <w:pPr>
        <w:pStyle w:val="TextBody"/>
        <w:bidi w:val="0"/>
        <w:spacing w:before="0" w:after="240"/>
        <w:ind w:left="0" w:right="0" w:firstLine="720"/>
        <w:jc w:val="both"/>
        <w:rPr/>
      </w:pPr>
      <w:r>
        <w:rPr/>
        <w:t>“</w:t>
      </w:r>
      <w:r>
        <w:rPr>
          <w:rFonts w:ascii="Times New Roman;Times;serif" w:hAnsi="Times New Roman;Times;serif"/>
          <w:b/>
          <w:sz w:val="20"/>
        </w:rPr>
        <w:t xml:space="preserve">Parent”: </w:t>
      </w:r>
      <w:r>
        <w:rPr>
          <w:rFonts w:ascii="Times New Roman;Times;serif" w:hAnsi="Times New Roman;Times;serif"/>
          <w:sz w:val="20"/>
        </w:rPr>
        <w:t>A “parent corporation” as defined in Section 424(e) of the Code.</w:t>
      </w:r>
    </w:p>
    <w:p>
      <w:pPr>
        <w:pStyle w:val="TextBody"/>
        <w:bidi w:val="0"/>
        <w:spacing w:before="0" w:after="240"/>
        <w:ind w:left="0" w:right="0" w:firstLine="720"/>
        <w:jc w:val="both"/>
        <w:rPr/>
      </w:pPr>
      <w:r>
        <w:rPr/>
        <w:t>“</w:t>
      </w:r>
      <w:r>
        <w:rPr>
          <w:rFonts w:ascii="Times New Roman;Times;serif" w:hAnsi="Times New Roman;Times;serif"/>
          <w:b/>
          <w:sz w:val="20"/>
        </w:rPr>
        <w:t xml:space="preserve">Participant”: </w:t>
      </w:r>
      <w:r>
        <w:rPr>
          <w:rFonts w:ascii="Times New Roman;Times;serif" w:hAnsi="Times New Roman;Times;serif"/>
          <w:sz w:val="20"/>
        </w:rPr>
        <w:t>An Eligible Employee who elects to participate in an Offering Period under the Plan.</w:t>
      </w:r>
    </w:p>
    <w:p>
      <w:pPr>
        <w:pStyle w:val="TextBody"/>
        <w:bidi w:val="0"/>
        <w:spacing w:before="0" w:after="240"/>
        <w:ind w:left="0" w:right="0" w:firstLine="720"/>
        <w:jc w:val="both"/>
        <w:rPr/>
      </w:pPr>
      <w:r>
        <w:rPr/>
        <w:t>“</w:t>
      </w:r>
      <w:r>
        <w:rPr>
          <w:rFonts w:ascii="Times New Roman;Times;serif" w:hAnsi="Times New Roman;Times;serif"/>
          <w:b/>
          <w:sz w:val="20"/>
        </w:rPr>
        <w:t xml:space="preserve">Plan”: </w:t>
      </w:r>
      <w:r>
        <w:rPr>
          <w:rFonts w:ascii="Times New Roman;Times;serif" w:hAnsi="Times New Roman;Times;serif"/>
          <w:sz w:val="20"/>
        </w:rPr>
        <w:t>The Zenas BioPharma, Inc. 2024 Employee Stock Purchase Plan, as from time to time amended and in effect.</w:t>
      </w:r>
    </w:p>
    <w:p>
      <w:pPr>
        <w:pStyle w:val="TextBody"/>
        <w:bidi w:val="0"/>
        <w:spacing w:before="0" w:after="240"/>
        <w:ind w:left="0" w:right="0" w:firstLine="720"/>
        <w:jc w:val="both"/>
        <w:rPr/>
      </w:pPr>
      <w:r>
        <w:rPr/>
        <w:t>“</w:t>
      </w:r>
      <w:r>
        <w:rPr>
          <w:rFonts w:ascii="Times New Roman;Times;serif" w:hAnsi="Times New Roman;Times;serif"/>
          <w:b/>
          <w:sz w:val="20"/>
        </w:rPr>
        <w:t xml:space="preserve">Purchase Price”: </w:t>
      </w:r>
      <w:r>
        <w:rPr>
          <w:rFonts w:ascii="Times New Roman;Times;serif" w:hAnsi="Times New Roman;Times;serif"/>
          <w:sz w:val="20"/>
        </w:rPr>
        <w:t>The price per share of Stock with respect to an Offering Period determined in accordance with Section 9 of the Plan.</w:t>
      </w:r>
    </w:p>
    <w:p>
      <w:pPr>
        <w:pStyle w:val="TextBody"/>
        <w:bidi w:val="0"/>
        <w:spacing w:before="0" w:after="240"/>
        <w:ind w:left="720" w:right="0" w:hanging="0"/>
        <w:jc w:val="both"/>
        <w:rPr/>
      </w:pPr>
      <w:r>
        <w:rPr/>
        <w:t>“</w:t>
      </w:r>
      <w:r>
        <w:rPr>
          <w:rFonts w:ascii="Times New Roman;Times;serif" w:hAnsi="Times New Roman;Times;serif"/>
          <w:b/>
          <w:sz w:val="20"/>
        </w:rPr>
        <w:t xml:space="preserve">Section 423”: </w:t>
      </w:r>
      <w:r>
        <w:rPr>
          <w:rFonts w:ascii="Times New Roman;Times;serif" w:hAnsi="Times New Roman;Times;serif"/>
          <w:sz w:val="20"/>
        </w:rPr>
        <w:t>Section 423 of the Code and the regulations thereunder.</w:t>
      </w:r>
    </w:p>
    <w:p>
      <w:pPr>
        <w:pStyle w:val="TextBody"/>
        <w:bidi w:val="0"/>
        <w:spacing w:before="0" w:after="240"/>
        <w:ind w:left="720" w:right="0" w:hanging="0"/>
        <w:jc w:val="both"/>
        <w:rPr/>
      </w:pPr>
      <w:r>
        <w:rPr/>
        <w:t>“</w:t>
      </w:r>
      <w:r>
        <w:rPr>
          <w:rFonts w:ascii="Times New Roman;Times;serif" w:hAnsi="Times New Roman;Times;serif"/>
          <w:b/>
          <w:sz w:val="20"/>
        </w:rPr>
        <w:t xml:space="preserve">Stock”: </w:t>
      </w:r>
      <w:r>
        <w:rPr>
          <w:rFonts w:ascii="Times New Roman;Times;serif" w:hAnsi="Times New Roman;Times;serif"/>
          <w:sz w:val="20"/>
        </w:rPr>
        <w:t xml:space="preserve">Common stock of the Company, par value U.S. $0.0001 per share. </w:t>
      </w:r>
    </w:p>
    <w:p>
      <w:pPr>
        <w:pStyle w:val="TextBody"/>
        <w:bidi w:val="0"/>
        <w:spacing w:before="0" w:after="240"/>
        <w:ind w:left="720" w:right="0" w:hanging="0"/>
        <w:jc w:val="both"/>
        <w:rPr/>
      </w:pPr>
      <w:r>
        <w:rPr/>
        <w:t>“</w:t>
      </w:r>
      <w:r>
        <w:rPr>
          <w:rFonts w:ascii="Times New Roman;Times;serif" w:hAnsi="Times New Roman;Times;serif"/>
          <w:b/>
          <w:sz w:val="20"/>
        </w:rPr>
        <w:t xml:space="preserve">Subsidiary”: </w:t>
      </w:r>
      <w:r>
        <w:rPr>
          <w:rFonts w:ascii="Times New Roman;Times;serif" w:hAnsi="Times New Roman;Times;serif"/>
          <w:sz w:val="20"/>
        </w:rPr>
        <w:t xml:space="preserve">A “subsidiary corporation” as defined in Section 424(f) of the Code. </w:t>
      </w:r>
    </w:p>
    <w:p>
      <w:pPr>
        <w:pStyle w:val="TextBody"/>
        <w:bidi w:val="0"/>
        <w:spacing w:before="0" w:after="240"/>
        <w:ind w:left="0" w:right="0" w:firstLine="720"/>
        <w:jc w:val="both"/>
        <w:rPr/>
      </w:pPr>
      <w:r>
        <w:rPr/>
        <w:t>“</w:t>
      </w:r>
      <w:r>
        <w:rPr>
          <w:rFonts w:ascii="Times New Roman;Times;serif" w:hAnsi="Times New Roman;Times;serif"/>
          <w:b/>
          <w:sz w:val="20"/>
        </w:rPr>
        <w:t xml:space="preserve">Tax-Related Items”: </w:t>
      </w:r>
      <w:r>
        <w:rPr>
          <w:rFonts w:ascii="Times New Roman;Times;serif" w:hAnsi="Times New Roman;Times;serif"/>
          <w:sz w:val="20"/>
        </w:rPr>
        <w:t>Any U.S. federal, state, local and non-U.S. income tax, social insurance, payroll tax, fringe benefit tax, payment on account or other tax-related items arising in relation to a Participant’s participation in the Plan and legally applicable or deemed applicable to a Participant.</w:t>
      </w:r>
    </w:p>
    <w:p>
      <w:pPr>
        <w:pStyle w:val="TextBody"/>
        <w:bidi w:val="0"/>
        <w:spacing w:before="0" w:after="240"/>
        <w:ind w:left="720" w:right="0" w:hanging="0"/>
        <w:jc w:val="both"/>
        <w:rPr/>
      </w:pPr>
      <w:r>
        <w:rPr/>
        <w:t>“</w:t>
      </w:r>
      <w:r>
        <w:rPr>
          <w:rFonts w:ascii="Times New Roman;Times;serif" w:hAnsi="Times New Roman;Times;serif"/>
          <w:b/>
          <w:sz w:val="20"/>
        </w:rPr>
        <w:t xml:space="preserve">U.S.”: </w:t>
      </w:r>
      <w:r>
        <w:rPr>
          <w:rFonts w:ascii="Times New Roman;Times;serif" w:hAnsi="Times New Roman;Times;serif"/>
          <w:sz w:val="20"/>
        </w:rPr>
        <w:t>The United States of America.</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 A-3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093" w:name="zbio-20260630xex31d1.htm"/>
      <w:bookmarkStart w:id="1094" w:name="kszbio20260630xex31d1"/>
      <w:bookmarkEnd w:id="1093"/>
      <w:bookmarkEnd w:id="1094"/>
      <w:r>
        <w:rPr>
          <w:rFonts w:ascii="Times New Roman;Times;serif" w:hAnsi="Times New Roman;Times;serif"/>
          <w:b/>
          <w:sz w:val="20"/>
        </w:rPr>
        <w:t>Exhibit 31.1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PURSUANT TO RULES 13a-14(a) AND 15d-14(a) UNDER THE SECURITIES EXCHANGE ACT OF 1934, AS ADOPTED</w:t>
        <w:br/>
        <w:t>PURSUANT TO SECTION 302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 Leon O. Moulder, Jr., certify that: </w:t>
      </w:r>
    </w:p>
    <w:tbl>
      <w:tblPr>
        <w:tblW w:w="6588" w:type="dxa"/>
        <w:jc w:val="left"/>
        <w:tblInd w:w="0" w:type="dxa"/>
        <w:tblLayout w:type="fixed"/>
        <w:tblCellMar>
          <w:top w:w="0" w:type="dxa"/>
          <w:left w:w="0" w:type="dxa"/>
          <w:bottom w:w="0" w:type="dxa"/>
          <w:right w:w="0" w:type="dxa"/>
        </w:tblCellMar>
      </w:tblPr>
      <w:tblGrid>
        <w:gridCol w:w="23"/>
        <w:gridCol w:w="170"/>
        <w:gridCol w:w="63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39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I have reviewed this Quarterly Report on Form 10-Q of </w:t>
            </w:r>
            <w:bookmarkStart w:id="1095" w:name="_Hlk87002707"/>
            <w:bookmarkEnd w:id="1095"/>
            <w:r>
              <w:rPr>
                <w:rFonts w:ascii="Times New Roman;Times;serif" w:hAnsi="Times New Roman;Times;serif"/>
                <w:b w:val="false"/>
                <w:i w:val="false"/>
                <w:caps w:val="false"/>
                <w:smallCaps w:val="false"/>
                <w:sz w:val="20"/>
              </w:rPr>
              <w:t xml:space="preserve">Zenas BioPharma, Inc.; </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tbl>
      <w:tblPr>
        <w:tblW w:w="5569" w:type="dxa"/>
        <w:jc w:val="center"/>
        <w:tblInd w:w="0" w:type="dxa"/>
        <w:tblLayout w:type="fixed"/>
        <w:tblCellMar>
          <w:top w:w="0" w:type="dxa"/>
          <w:left w:w="0" w:type="dxa"/>
          <w:bottom w:w="0" w:type="dxa"/>
          <w:right w:w="0" w:type="dxa"/>
        </w:tblCellMar>
      </w:tblPr>
      <w:tblGrid>
        <w:gridCol w:w="2056"/>
        <w:gridCol w:w="406"/>
        <w:gridCol w:w="631"/>
        <w:gridCol w:w="2476"/>
      </w:tblGrid>
      <w:tr>
        <w:trPr/>
        <w:tc>
          <w:tcPr>
            <w:tcW w:w="205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vAlign w:val="center"/>
          </w:tcPr>
          <w:p>
            <w:pPr>
              <w:pStyle w:val="TableContents"/>
              <w:bidi w:val="0"/>
              <w:spacing w:before="0" w:after="283"/>
              <w:ind w:left="0" w:right="0" w:hanging="0"/>
              <w:jc w:val="left"/>
              <w:rPr>
                <w:sz w:val="4"/>
                <w:szCs w:val="4"/>
              </w:rPr>
            </w:pPr>
            <w:r>
              <w:rPr>
                <w:sz w:val="4"/>
                <w:szCs w:val="4"/>
              </w:rPr>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13,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107"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Leon O. Moulder, Jr.</w:t>
            </w:r>
          </w:p>
        </w:tc>
      </w:tr>
      <w:tr>
        <w:trPr/>
        <w:tc>
          <w:tcPr>
            <w:tcW w:w="205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Leon O. Moulder, Jr. </w:t>
            </w:r>
          </w:p>
        </w:tc>
      </w:tr>
      <w:tr>
        <w:trPr/>
        <w:tc>
          <w:tcPr>
            <w:tcW w:w="205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205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096" w:name="zbio-20260630xex31d2.htm"/>
      <w:bookmarkStart w:id="1097" w:name="kszbio20260630xex31d2"/>
      <w:bookmarkEnd w:id="1096"/>
      <w:bookmarkEnd w:id="1097"/>
      <w:r>
        <w:rPr>
          <w:rFonts w:ascii="Times New Roman;Times;serif" w:hAnsi="Times New Roman;Times;serif"/>
          <w:b/>
          <w:sz w:val="20"/>
        </w:rPr>
        <w:t>Exhibit 31.2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PURSUANT TO RULES 13a-14(a) AND 15d-14(a) UNDER THE SECURITIES EXCHANGE ACT OF 1934, AS ADOPTED</w:t>
        <w:br/>
        <w:t>PURSUANT TO SECTION 302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 Jennifer Fox, certify that: </w:t>
      </w:r>
    </w:p>
    <w:tbl>
      <w:tblPr>
        <w:tblW w:w="6588" w:type="dxa"/>
        <w:jc w:val="left"/>
        <w:tblInd w:w="0" w:type="dxa"/>
        <w:tblLayout w:type="fixed"/>
        <w:tblCellMar>
          <w:top w:w="0" w:type="dxa"/>
          <w:left w:w="0" w:type="dxa"/>
          <w:bottom w:w="0" w:type="dxa"/>
          <w:right w:w="0" w:type="dxa"/>
        </w:tblCellMar>
      </w:tblPr>
      <w:tblGrid>
        <w:gridCol w:w="23"/>
        <w:gridCol w:w="170"/>
        <w:gridCol w:w="63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have reviewed this Quarterly Report on Form 10-Q of Zenas BioPharma, Inc.; </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tbl>
      <w:tblPr>
        <w:tblW w:w="7309" w:type="dxa"/>
        <w:jc w:val="center"/>
        <w:tblInd w:w="0" w:type="dxa"/>
        <w:tblLayout w:type="fixed"/>
        <w:tblCellMar>
          <w:top w:w="0" w:type="dxa"/>
          <w:left w:w="0" w:type="dxa"/>
          <w:bottom w:w="0" w:type="dxa"/>
          <w:right w:w="0" w:type="dxa"/>
        </w:tblCellMar>
      </w:tblPr>
      <w:tblGrid>
        <w:gridCol w:w="2056"/>
        <w:gridCol w:w="406"/>
        <w:gridCol w:w="631"/>
        <w:gridCol w:w="4216"/>
      </w:tblGrid>
      <w:tr>
        <w:trPr/>
        <w:tc>
          <w:tcPr>
            <w:tcW w:w="205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p>
        </w:tc>
        <w:tc>
          <w:tcPr>
            <w:tcW w:w="4216" w:type="dxa"/>
            <w:tcBorders/>
            <w:vAlign w:val="center"/>
          </w:tcPr>
          <w:p>
            <w:pPr>
              <w:pStyle w:val="TableContents"/>
              <w:bidi w:val="0"/>
              <w:spacing w:before="0" w:after="283"/>
              <w:ind w:left="0" w:right="0" w:hanging="0"/>
              <w:jc w:val="left"/>
              <w:rPr>
                <w:sz w:val="4"/>
                <w:szCs w:val="4"/>
              </w:rPr>
            </w:pPr>
            <w:r>
              <w:rPr>
                <w:sz w:val="4"/>
                <w:szCs w:val="4"/>
              </w:rPr>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13,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847"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Jennifer Fox</w:t>
            </w:r>
          </w:p>
        </w:tc>
      </w:tr>
      <w:tr>
        <w:trPr/>
        <w:tc>
          <w:tcPr>
            <w:tcW w:w="205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Jennifer Fox</w:t>
            </w:r>
          </w:p>
        </w:tc>
      </w:tr>
      <w:tr>
        <w:trPr/>
        <w:tc>
          <w:tcPr>
            <w:tcW w:w="205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Business Officer and Chief Financial Officer</w:t>
            </w:r>
          </w:p>
        </w:tc>
      </w:tr>
      <w:tr>
        <w:trPr/>
        <w:tc>
          <w:tcPr>
            <w:tcW w:w="205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1560" w:right="0" w:hanging="0"/>
        <w:jc w:val="right"/>
        <w:rPr>
          <w:rFonts w:ascii="Times New Roman;Times;serif" w:hAnsi="Times New Roman;Times;serif"/>
          <w:b/>
          <w:sz w:val="20"/>
        </w:rPr>
      </w:pPr>
      <w:bookmarkStart w:id="1098" w:name="zbio-20260630xex32d1.htm"/>
      <w:bookmarkStart w:id="1099" w:name="kszbio20260630xex32d1"/>
      <w:bookmarkEnd w:id="1098"/>
      <w:bookmarkEnd w:id="1099"/>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18 U.S.C. SECTION 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hanging="0"/>
        <w:jc w:val="center"/>
        <w:rPr/>
      </w:pPr>
      <w:r>
        <w:rPr/>
        <w:t>​</w:t>
      </w:r>
    </w:p>
    <w:p>
      <w:pPr>
        <w:pStyle w:val="TextBody"/>
        <w:bidi w:val="0"/>
        <w:spacing w:before="0" w:after="240"/>
        <w:ind w:left="0" w:right="0" w:hanging="0"/>
        <w:jc w:val="left"/>
        <w:rPr>
          <w:rFonts w:ascii="Times New Roman;Times;serif" w:hAnsi="Times New Roman;Times;serif"/>
          <w:sz w:val="20"/>
        </w:rPr>
      </w:pPr>
      <w:bookmarkStart w:id="1100" w:name="_Hlk87004374"/>
      <w:bookmarkEnd w:id="1100"/>
      <w:r>
        <w:rPr>
          <w:rFonts w:ascii="Times New Roman;Times;serif" w:hAnsi="Times New Roman;Times;serif"/>
          <w:sz w:val="20"/>
        </w:rPr>
        <w:t>Pursuant to 18 U.S.C. § 1350, as created by Section 906 of the Sarbanes-Oxley Act of 2002, the undersigned officer of Zenas BioPharma, Inc. (the “Company”) hereby certifies, to the best of my knowledge, that:</w:t>
      </w:r>
    </w:p>
    <w:tbl>
      <w:tblPr>
        <w:tblW w:w="10205" w:type="dxa"/>
        <w:jc w:val="left"/>
        <w:tblInd w:w="0" w:type="dxa"/>
        <w:tblLayout w:type="fixed"/>
        <w:tblCellMar>
          <w:top w:w="0" w:type="dxa"/>
          <w:left w:w="0" w:type="dxa"/>
          <w:bottom w:w="0" w:type="dxa"/>
          <w:right w:w="0" w:type="dxa"/>
        </w:tblCellMar>
      </w:tblPr>
      <w:tblGrid>
        <w:gridCol w:w="23"/>
        <w:gridCol w:w="169"/>
        <w:gridCol w:w="10013"/>
      </w:tblGrid>
      <w:tr>
        <w:trPr/>
        <w:tc>
          <w:tcPr>
            <w:tcW w:w="2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00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Quarterly Report on Form 10-Q of the Company for the fiscal quarter ended June 30, 2026 (the “Report”) fully complies with the requirements of Section 13(a) or Section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50"/>
        <w:gridCol w:w="9932"/>
      </w:tblGrid>
      <w:tr>
        <w:trPr/>
        <w:tc>
          <w:tcPr>
            <w:tcW w:w="2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tbl>
      <w:tblPr>
        <w:tblW w:w="5569" w:type="dxa"/>
        <w:jc w:val="center"/>
        <w:tblInd w:w="0" w:type="dxa"/>
        <w:tblLayout w:type="fixed"/>
        <w:tblCellMar>
          <w:top w:w="0" w:type="dxa"/>
          <w:left w:w="0" w:type="dxa"/>
          <w:bottom w:w="0" w:type="dxa"/>
          <w:right w:w="0" w:type="dxa"/>
        </w:tblCellMar>
      </w:tblPr>
      <w:tblGrid>
        <w:gridCol w:w="2056"/>
        <w:gridCol w:w="406"/>
        <w:gridCol w:w="631"/>
        <w:gridCol w:w="2476"/>
      </w:tblGrid>
      <w:tr>
        <w:trPr/>
        <w:tc>
          <w:tcPr>
            <w:tcW w:w="205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vAlign w:val="center"/>
          </w:tcPr>
          <w:p>
            <w:pPr>
              <w:pStyle w:val="TableContents"/>
              <w:bidi w:val="0"/>
              <w:spacing w:before="0" w:after="283"/>
              <w:ind w:left="0" w:right="0" w:hanging="0"/>
              <w:jc w:val="left"/>
              <w:rPr>
                <w:sz w:val="4"/>
                <w:szCs w:val="4"/>
              </w:rPr>
            </w:pPr>
            <w:r>
              <w:rPr>
                <w:sz w:val="4"/>
                <w:szCs w:val="4"/>
              </w:rPr>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13,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107"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 Leon O. Moulder, Jr. </w:t>
            </w:r>
          </w:p>
        </w:tc>
      </w:tr>
      <w:tr>
        <w:trPr/>
        <w:tc>
          <w:tcPr>
            <w:tcW w:w="205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Leon O. Moulder, Jr. </w:t>
            </w:r>
          </w:p>
        </w:tc>
      </w:tr>
      <w:tr>
        <w:trPr/>
        <w:tc>
          <w:tcPr>
            <w:tcW w:w="205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205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1560" w:right="0" w:hanging="0"/>
        <w:jc w:val="right"/>
        <w:rPr>
          <w:rFonts w:ascii="Times New Roman;Times;serif" w:hAnsi="Times New Roman;Times;serif"/>
          <w:b/>
          <w:sz w:val="20"/>
        </w:rPr>
      </w:pPr>
      <w:bookmarkStart w:id="1101" w:name="zbio-20260630xex32d2.htm"/>
      <w:bookmarkStart w:id="1102" w:name="kszbio20260630xex32d2"/>
      <w:bookmarkEnd w:id="1101"/>
      <w:bookmarkEnd w:id="1102"/>
      <w:r>
        <w:rPr>
          <w:rFonts w:ascii="Times New Roman;Times;serif" w:hAnsi="Times New Roman;Times;serif"/>
          <w:b/>
          <w:sz w:val="20"/>
        </w:rPr>
        <w:t>Exhibit 32.2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18 U.S.C. § 1350, as created by Section 906 of the Sarbanes-Oxley Act of 2002, the undersigned officer of Zenas BioPharma, Inc. (the “Company”) hereby certifies, to the best of my knowledge, that:</w:t>
      </w:r>
    </w:p>
    <w:tbl>
      <w:tblPr>
        <w:tblW w:w="10205" w:type="dxa"/>
        <w:jc w:val="left"/>
        <w:tblInd w:w="0" w:type="dxa"/>
        <w:tblLayout w:type="fixed"/>
        <w:tblCellMar>
          <w:top w:w="0" w:type="dxa"/>
          <w:left w:w="0" w:type="dxa"/>
          <w:bottom w:w="0" w:type="dxa"/>
          <w:right w:w="0" w:type="dxa"/>
        </w:tblCellMar>
      </w:tblPr>
      <w:tblGrid>
        <w:gridCol w:w="23"/>
        <w:gridCol w:w="169"/>
        <w:gridCol w:w="10013"/>
      </w:tblGrid>
      <w:tr>
        <w:trPr/>
        <w:tc>
          <w:tcPr>
            <w:tcW w:w="2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00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Quarterly Report on Form 10-Q of the Company for the fiscal quarter ended June 30, 2026 (the “Report”) fully complies with the requirements of Section 13(a) or Section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50"/>
        <w:gridCol w:w="9932"/>
      </w:tblGrid>
      <w:tr>
        <w:trPr/>
        <w:tc>
          <w:tcPr>
            <w:tcW w:w="2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tbl>
      <w:tblPr>
        <w:tblW w:w="7309" w:type="dxa"/>
        <w:jc w:val="center"/>
        <w:tblInd w:w="0" w:type="dxa"/>
        <w:tblLayout w:type="fixed"/>
        <w:tblCellMar>
          <w:top w:w="0" w:type="dxa"/>
          <w:left w:w="0" w:type="dxa"/>
          <w:bottom w:w="0" w:type="dxa"/>
          <w:right w:w="0" w:type="dxa"/>
        </w:tblCellMar>
      </w:tblPr>
      <w:tblGrid>
        <w:gridCol w:w="2056"/>
        <w:gridCol w:w="406"/>
        <w:gridCol w:w="631"/>
        <w:gridCol w:w="4216"/>
      </w:tblGrid>
      <w:tr>
        <w:trPr/>
        <w:tc>
          <w:tcPr>
            <w:tcW w:w="205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p>
        </w:tc>
        <w:tc>
          <w:tcPr>
            <w:tcW w:w="4216" w:type="dxa"/>
            <w:tcBorders/>
            <w:vAlign w:val="center"/>
          </w:tcPr>
          <w:p>
            <w:pPr>
              <w:pStyle w:val="TableContents"/>
              <w:bidi w:val="0"/>
              <w:spacing w:before="0" w:after="283"/>
              <w:ind w:left="0" w:right="0" w:hanging="0"/>
              <w:jc w:val="left"/>
              <w:rPr>
                <w:sz w:val="4"/>
                <w:szCs w:val="4"/>
              </w:rPr>
            </w:pPr>
            <w:r>
              <w:rPr>
                <w:sz w:val="4"/>
                <w:szCs w:val="4"/>
              </w:rPr>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13,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847"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Jennifer Fox</w:t>
            </w:r>
          </w:p>
        </w:tc>
      </w:tr>
      <w:tr>
        <w:trPr/>
        <w:tc>
          <w:tcPr>
            <w:tcW w:w="205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Jennifer Fox</w:t>
            </w:r>
          </w:p>
        </w:tc>
      </w:tr>
      <w:tr>
        <w:trPr/>
        <w:tc>
          <w:tcPr>
            <w:tcW w:w="205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Business Officer and Chief Financial Officer</w:t>
            </w:r>
          </w:p>
        </w:tc>
      </w:tr>
      <w:tr>
        <w:trPr/>
        <w:tc>
          <w:tcPr>
            <w:tcW w:w="205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0001953926/000110465924100177/tm2332800d24_ex3-1.htm" TargetMode="External"/><Relationship Id="rId4" Type="http://schemas.openxmlformats.org/officeDocument/2006/relationships/hyperlink" Target="https://www.sec.gov/Archives/edgar/data/0001953926/000110465924100177/tm2332800d24_ex3-2.htm" TargetMode="External"/><Relationship Id="rId5" Type="http://schemas.openxmlformats.org/officeDocument/2006/relationships/image" Target="media/image2.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39141</Words>
  <Characters>216690</Characters>
  <CharactersWithSpaces>256738</CharactersWithSpaces>
  <Paragraphs>5243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