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451485</wp:posOffset>
            </wp:positionV>
            <wp:extent cx="567309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73090" cy="31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-163195</wp:posOffset>
            </wp:positionV>
            <wp:extent cx="56730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73090" cy="7620"/>
                    </a:xfrm>
                    <a:prstGeom prst="rect">
                      <a:avLst/>
                    </a:prstGeom>
                    <a:noFill/>
                  </pic:spPr>
                </pic:pic>
              </a:graphicData>
            </a:graphic>
          </wp:anchor>
        </w:drawing>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2154555</wp:posOffset>
            </wp:positionH>
            <wp:positionV relativeFrom="paragraph">
              <wp:posOffset>58420</wp:posOffset>
            </wp:positionV>
            <wp:extent cx="14103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0335" cy="7620"/>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2154555</wp:posOffset>
            </wp:positionH>
            <wp:positionV relativeFrom="paragraph">
              <wp:posOffset>83820</wp:posOffset>
            </wp:positionV>
            <wp:extent cx="14103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0335" cy="7620"/>
                    </a:xfrm>
                    <a:prstGeom prst="rect">
                      <a:avLst/>
                    </a:prstGeom>
                    <a:noFill/>
                  </pic:spPr>
                </pic:pic>
              </a:graphicData>
            </a:graphic>
          </wp:anchor>
        </w:drawing>
      </w:r>
    </w:p>
    <w:p>
      <w:pPr>
        <w:spacing w:after="0" w:line="24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2" w:lineRule="exact"/>
        <w:rPr>
          <w:sz w:val="24"/>
          <w:szCs w:val="24"/>
          <w:color w:val="auto"/>
        </w:rPr>
      </w:pPr>
    </w:p>
    <w:p>
      <w:pPr>
        <w:ind w:left="3620" w:right="1419" w:hanging="2221"/>
        <w:spacing w:after="0" w:line="265" w:lineRule="auto"/>
        <w:tabs>
          <w:tab w:leader="none" w:pos="1978" w:val="left"/>
        </w:tabs>
        <w:numPr>
          <w:ilvl w:val="0"/>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For the quarterly period ended September 30, 2024</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48" w:lineRule="exact"/>
        <w:rPr>
          <w:sz w:val="24"/>
          <w:szCs w:val="24"/>
          <w:color w:val="auto"/>
        </w:rPr>
      </w:pPr>
    </w:p>
    <w:p>
      <w:pPr>
        <w:ind w:left="3620" w:right="1399" w:hanging="2237"/>
        <w:spacing w:after="0" w:line="350" w:lineRule="auto"/>
        <w:tabs>
          <w:tab w:leader="none" w:pos="1962"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6" w:lineRule="exact"/>
        <w:rPr>
          <w:sz w:val="24"/>
          <w:szCs w:val="24"/>
          <w:color w:val="auto"/>
        </w:rPr>
      </w:pPr>
    </w:p>
    <w:p>
      <w:pPr>
        <w:ind w:left="3140"/>
        <w:spacing w:after="0"/>
        <w:tabs>
          <w:tab w:leader="none" w:pos="5220" w:val="left"/>
        </w:tabs>
        <w:rPr>
          <w:sz w:val="20"/>
          <w:szCs w:val="20"/>
          <w:color w:val="auto"/>
        </w:rPr>
      </w:pPr>
      <w:r>
        <w:rPr>
          <w:rFonts w:ascii="Times New Roman" w:cs="Times New Roman" w:eastAsia="Times New Roman" w:hAnsi="Times New Roman"/>
          <w:sz w:val="11"/>
          <w:szCs w:val="11"/>
          <w:b w:val="1"/>
          <w:bCs w:val="1"/>
          <w:color w:val="auto"/>
        </w:rPr>
        <w:t>For the transition period from</w:t>
      </w:r>
      <w:r>
        <w:rPr>
          <w:sz w:val="20"/>
          <w:szCs w:val="20"/>
          <w:color w:val="auto"/>
        </w:rPr>
        <w:tab/>
      </w:r>
      <w:r>
        <w:rPr>
          <w:rFonts w:ascii="Times New Roman" w:cs="Times New Roman" w:eastAsia="Times New Roman" w:hAnsi="Times New Roman"/>
          <w:sz w:val="9"/>
          <w:szCs w:val="9"/>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2944495</wp:posOffset>
            </wp:positionH>
            <wp:positionV relativeFrom="paragraph">
              <wp:posOffset>635</wp:posOffset>
            </wp:positionV>
            <wp:extent cx="7829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2955" cy="7620"/>
                    </a:xfrm>
                    <a:prstGeom prst="rect">
                      <a:avLst/>
                    </a:prstGeom>
                    <a:noFill/>
                  </pic:spPr>
                </pic:pic>
              </a:graphicData>
            </a:graphic>
          </wp:anchor>
        </w:drawing>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Commission File Number: 001-42270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2154555</wp:posOffset>
            </wp:positionH>
            <wp:positionV relativeFrom="paragraph">
              <wp:posOffset>46990</wp:posOffset>
            </wp:positionV>
            <wp:extent cx="14103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0335" cy="762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93980</wp:posOffset>
            </wp:positionV>
            <wp:extent cx="1007745" cy="340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07745" cy="340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Zenas BioPharma, Inc.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2154555</wp:posOffset>
            </wp:positionH>
            <wp:positionV relativeFrom="paragraph">
              <wp:posOffset>46355</wp:posOffset>
            </wp:positionV>
            <wp:extent cx="14103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0335" cy="762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p>
      <w:pPr>
        <w:spacing w:after="0" w:line="12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5"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ind w:left="154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jc w:val="center"/>
        <w:ind w:right="1719"/>
        <w:spacing w:after="0"/>
        <w:rPr>
          <w:sz w:val="20"/>
          <w:szCs w:val="20"/>
          <w:color w:val="auto"/>
        </w:rPr>
      </w:pPr>
      <w:r>
        <w:rPr>
          <w:rFonts w:ascii="Times New Roman" w:cs="Times New Roman" w:eastAsia="Times New Roman" w:hAnsi="Times New Roman"/>
          <w:sz w:val="11"/>
          <w:szCs w:val="11"/>
          <w:color w:val="auto"/>
        </w:rPr>
        <w:t>93-2749244</w:t>
      </w:r>
    </w:p>
    <w:p>
      <w:pPr>
        <w:spacing w:after="0" w:line="3" w:lineRule="exact"/>
        <w:rPr>
          <w:sz w:val="24"/>
          <w:szCs w:val="24"/>
          <w:color w:val="auto"/>
        </w:rPr>
      </w:pPr>
    </w:p>
    <w:p>
      <w:pPr>
        <w:jc w:val="center"/>
        <w:ind w:right="1719"/>
        <w:spacing w:after="0"/>
        <w:rPr>
          <w:sz w:val="20"/>
          <w:szCs w:val="20"/>
          <w:color w:val="auto"/>
        </w:rPr>
      </w:pPr>
      <w:r>
        <w:rPr>
          <w:rFonts w:ascii="Times New Roman" w:cs="Times New Roman" w:eastAsia="Times New Roman" w:hAnsi="Times New Roman"/>
          <w:sz w:val="11"/>
          <w:szCs w:val="11"/>
          <w:b w:val="1"/>
          <w:bCs w:val="1"/>
          <w:color w:val="auto"/>
        </w:rPr>
        <w:t>(I.R.S. Employer</w:t>
      </w:r>
    </w:p>
    <w:p>
      <w:pPr>
        <w:jc w:val="center"/>
        <w:ind w:right="1719"/>
        <w:spacing w:after="0"/>
        <w:rPr>
          <w:sz w:val="20"/>
          <w:szCs w:val="20"/>
          <w:color w:val="auto"/>
        </w:rPr>
      </w:pPr>
      <w:r>
        <w:rPr>
          <w:rFonts w:ascii="Times New Roman" w:cs="Times New Roman" w:eastAsia="Times New Roman" w:hAnsi="Times New Roman"/>
          <w:sz w:val="11"/>
          <w:szCs w:val="11"/>
          <w:b w:val="1"/>
          <w:bCs w:val="1"/>
          <w:color w:val="auto"/>
        </w:rPr>
        <w:t>Identification Number)</w:t>
      </w:r>
    </w:p>
    <w:p>
      <w:pPr>
        <w:spacing w:after="0" w:line="67" w:lineRule="exact"/>
        <w:rPr>
          <w:sz w:val="24"/>
          <w:szCs w:val="24"/>
          <w:color w:val="auto"/>
        </w:rPr>
      </w:pPr>
    </w:p>
    <w:p>
      <w:pPr>
        <w:sectPr>
          <w:pgSz w:w="11900" w:h="16838" w:orient="portrait"/>
          <w:cols w:equalWidth="0" w:num="2">
            <w:col w:w="5460" w:space="720"/>
            <w:col w:w="2839"/>
          </w:cols>
          <w:pgMar w:left="1440" w:top="611"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1000 Winter Street, North Building, Suite 1200</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Waltham, MA 02451</w:t>
      </w: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(857) 271-2954</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2154555</wp:posOffset>
            </wp:positionH>
            <wp:positionV relativeFrom="paragraph">
              <wp:posOffset>38100</wp:posOffset>
            </wp:positionV>
            <wp:extent cx="14103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0335" cy="762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p>
      <w:pPr>
        <w:spacing w:after="0" w:line="118" w:lineRule="exact"/>
        <w:rPr>
          <w:sz w:val="24"/>
          <w:szCs w:val="24"/>
          <w:color w:val="auto"/>
        </w:rPr>
      </w:pPr>
    </w:p>
    <w:p>
      <w:pPr>
        <w:ind w:left="40" w:right="259"/>
        <w:spacing w:after="0" w:line="150"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30" w:lineRule="exact"/>
        <w:rPr>
          <w:sz w:val="24"/>
          <w:szCs w:val="24"/>
          <w:color w:val="auto"/>
        </w:rPr>
      </w:pPr>
    </w:p>
    <w:p>
      <w:pPr>
        <w:ind w:left="40" w:right="159"/>
        <w:spacing w:after="0" w:line="150"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42" w:lineRule="exact"/>
        <w:rPr>
          <w:sz w:val="24"/>
          <w:szCs w:val="24"/>
          <w:color w:val="auto"/>
        </w:rPr>
      </w:pPr>
    </w:p>
    <w:p>
      <w:pPr>
        <w:ind w:left="40" w:right="439"/>
        <w:spacing w:after="0" w:line="271"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140"/>
        </w:trPr>
        <w:tc>
          <w:tcPr>
            <w:tcW w:w="12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1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2520" w:type="dxa"/>
            <w:vAlign w:val="bottom"/>
          </w:tcPr>
          <w:p>
            <w:pPr>
              <w:ind w:left="980"/>
              <w:spacing w:after="0"/>
              <w:rPr>
                <w:sz w:val="20"/>
                <w:szCs w:val="20"/>
                <w:color w:val="auto"/>
              </w:rPr>
            </w:pPr>
            <w:r>
              <w:rPr>
                <w:rFonts w:ascii="Times New Roman" w:cs="Times New Roman" w:eastAsia="Times New Roman" w:hAnsi="Times New Roman"/>
                <w:sz w:val="11"/>
                <w:szCs w:val="11"/>
                <w:color w:val="auto"/>
              </w:rPr>
              <w:t>Accelerated filer</w:t>
            </w:r>
          </w:p>
        </w:tc>
        <w:tc>
          <w:tcPr>
            <w:tcW w:w="1020" w:type="dxa"/>
            <w:vAlign w:val="bottom"/>
          </w:tcPr>
          <w:p>
            <w:pPr>
              <w:ind w:left="280"/>
              <w:spacing w:after="0" w:line="111" w:lineRule="exact"/>
              <w:rPr>
                <w:sz w:val="20"/>
                <w:szCs w:val="20"/>
                <w:color w:val="auto"/>
              </w:rPr>
            </w:pPr>
            <w:r>
              <w:rPr>
                <w:rFonts w:ascii="MS PGothic" w:cs="MS PGothic" w:eastAsia="MS PGothic" w:hAnsi="MS PGothic"/>
                <w:sz w:val="11"/>
                <w:szCs w:val="11"/>
                <w:color w:val="auto"/>
              </w:rPr>
              <w:t>☐</w:t>
            </w:r>
          </w:p>
        </w:tc>
        <w:tc>
          <w:tcPr>
            <w:tcW w:w="2200" w:type="dxa"/>
            <w:vAlign w:val="bottom"/>
          </w:tcPr>
          <w:p>
            <w:pPr>
              <w:spacing w:after="0"/>
              <w:rPr>
                <w:sz w:val="12"/>
                <w:szCs w:val="12"/>
                <w:color w:val="auto"/>
              </w:rPr>
            </w:pPr>
          </w:p>
        </w:tc>
        <w:tc>
          <w:tcPr>
            <w:tcW w:w="400" w:type="dxa"/>
            <w:vAlign w:val="bottom"/>
            <w:vMerge w:val="restart"/>
          </w:tcPr>
          <w:p>
            <w:pPr>
              <w:ind w:left="30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92"/>
        </w:trPr>
        <w:tc>
          <w:tcPr>
            <w:tcW w:w="12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1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2520" w:type="dxa"/>
            <w:vAlign w:val="bottom"/>
          </w:tcPr>
          <w:p>
            <w:pPr>
              <w:ind w:left="98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020" w:type="dxa"/>
            <w:vAlign w:val="bottom"/>
          </w:tcPr>
          <w:p>
            <w:pPr>
              <w:ind w:left="280"/>
              <w:spacing w:after="0" w:line="111" w:lineRule="exact"/>
              <w:rPr>
                <w:sz w:val="20"/>
                <w:szCs w:val="20"/>
                <w:color w:val="auto"/>
              </w:rPr>
            </w:pPr>
            <w:r>
              <w:rPr>
                <w:rFonts w:ascii="MS PGothic" w:cs="MS PGothic" w:eastAsia="MS PGothic" w:hAnsi="MS PGothic"/>
                <w:sz w:val="11"/>
                <w:szCs w:val="11"/>
                <w:color w:val="auto"/>
              </w:rPr>
              <w:t>☒</w:t>
            </w:r>
          </w:p>
        </w:tc>
        <w:tc>
          <w:tcPr>
            <w:tcW w:w="220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Emerging growth company</w:t>
            </w: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right="79"/>
        <w:spacing w:after="0" w:line="150"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8" w:lineRule="exact"/>
        <w:rPr>
          <w:sz w:val="24"/>
          <w:szCs w:val="24"/>
          <w:color w:val="auto"/>
        </w:rPr>
      </w:pPr>
    </w:p>
    <w:p>
      <w:pPr>
        <w:ind w:left="40"/>
        <w:spacing w:after="0" w:line="127" w:lineRule="exact"/>
        <w:tabs>
          <w:tab w:leader="none" w:pos="5300" w:val="left"/>
          <w:tab w:leader="none" w:pos="574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Exchange Act).</w:t>
        <w:tab/>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1"/>
          <w:szCs w:val="11"/>
          <w:color w:val="auto"/>
        </w:rPr>
        <w: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147"/>
        </w:trPr>
        <w:tc>
          <w:tcPr>
            <w:tcW w:w="40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8"/>
        </w:trPr>
        <w:tc>
          <w:tcPr>
            <w:tcW w:w="1040" w:type="dxa"/>
            <w:vAlign w:val="bottom"/>
          </w:tcPr>
          <w:p>
            <w:pPr>
              <w:spacing w:after="0"/>
              <w:rPr>
                <w:sz w:val="17"/>
                <w:szCs w:val="17"/>
                <w:color w:val="auto"/>
              </w:rPr>
            </w:pPr>
          </w:p>
        </w:tc>
        <w:tc>
          <w:tcPr>
            <w:tcW w:w="3040" w:type="dxa"/>
            <w:vAlign w:val="bottom"/>
            <w:gridSpan w:val="2"/>
          </w:tcPr>
          <w:p>
            <w:pPr>
              <w:jc w:val="center"/>
              <w:ind w:right="21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400" w:type="dxa"/>
            <w:vAlign w:val="bottom"/>
            <w:gridSpan w:val="2"/>
          </w:tcPr>
          <w:p>
            <w:pPr>
              <w:jc w:val="center"/>
              <w:ind w:right="1640"/>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1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Exchange on which registered</w:t>
            </w:r>
          </w:p>
        </w:tc>
      </w:tr>
      <w:tr>
        <w:trPr>
          <w:trHeight w:val="20"/>
        </w:trPr>
        <w:tc>
          <w:tcPr>
            <w:tcW w:w="10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r>
      <w:tr>
        <w:trPr>
          <w:trHeight w:val="142"/>
        </w:trPr>
        <w:tc>
          <w:tcPr>
            <w:tcW w:w="4080" w:type="dxa"/>
            <w:vAlign w:val="bottom"/>
            <w:gridSpan w:val="3"/>
          </w:tcPr>
          <w:p>
            <w:pPr>
              <w:jc w:val="center"/>
              <w:ind w:right="1100"/>
              <w:spacing w:after="0"/>
              <w:rPr>
                <w:sz w:val="20"/>
                <w:szCs w:val="20"/>
                <w:color w:val="auto"/>
              </w:rPr>
            </w:pPr>
            <w:r>
              <w:rPr>
                <w:rFonts w:ascii="Times New Roman" w:cs="Times New Roman" w:eastAsia="Times New Roman" w:hAnsi="Times New Roman"/>
                <w:sz w:val="11"/>
                <w:szCs w:val="11"/>
                <w:b w:val="1"/>
                <w:bCs w:val="1"/>
                <w:color w:val="auto"/>
              </w:rPr>
              <w:t>Common stock, par value $0.0001 per share</w:t>
            </w:r>
          </w:p>
        </w:tc>
        <w:tc>
          <w:tcPr>
            <w:tcW w:w="2400" w:type="dxa"/>
            <w:vAlign w:val="bottom"/>
            <w:gridSpan w:val="2"/>
          </w:tcPr>
          <w:p>
            <w:pPr>
              <w:jc w:val="center"/>
              <w:ind w:right="1640"/>
              <w:spacing w:after="0"/>
              <w:rPr>
                <w:sz w:val="20"/>
                <w:szCs w:val="20"/>
                <w:color w:val="auto"/>
              </w:rPr>
            </w:pPr>
            <w:r>
              <w:rPr>
                <w:rFonts w:ascii="Times New Roman" w:cs="Times New Roman" w:eastAsia="Times New Roman" w:hAnsi="Times New Roman"/>
                <w:sz w:val="11"/>
                <w:szCs w:val="11"/>
                <w:b w:val="1"/>
                <w:bCs w:val="1"/>
                <w:color w:val="auto"/>
              </w:rPr>
              <w:t>ZBIO</w:t>
            </w:r>
          </w:p>
        </w:tc>
        <w:tc>
          <w:tcPr>
            <w:tcW w:w="1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Nasdaq Global Select Market</w:t>
            </w:r>
          </w:p>
        </w:tc>
      </w:tr>
    </w:tbl>
    <w:p>
      <w:pPr>
        <w:spacing w:after="0" w:line="4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color w:val="auto"/>
        </w:rPr>
        <w:t>As of October 31, 2024, there were 41,791,037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542290</wp:posOffset>
            </wp:positionV>
            <wp:extent cx="5673090"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3090" cy="23495"/>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61595</wp:posOffset>
            </wp:positionV>
            <wp:extent cx="56730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3090" cy="762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100330</wp:posOffset>
            </wp:positionV>
            <wp:extent cx="5673090" cy="31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3090" cy="3111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346"/>
        </w:trPr>
        <w:tc>
          <w:tcPr>
            <w:tcW w:w="4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b w:val="1"/>
                <w:bCs w:val="1"/>
                <w:color w:val="0000EE"/>
              </w:rPr>
              <w:t>Part I</w:t>
            </w:r>
          </w:p>
        </w:tc>
        <w:tc>
          <w:tcPr>
            <w:tcW w:w="780" w:type="dxa"/>
            <w:vAlign w:val="bottom"/>
            <w:gridSpan w:val="5"/>
          </w:tcPr>
          <w:p>
            <w:pPr>
              <w:spacing w:after="0"/>
              <w:rPr>
                <w:sz w:val="24"/>
                <w:szCs w:val="24"/>
                <w:color w:val="auto"/>
              </w:rPr>
            </w:pPr>
          </w:p>
        </w:tc>
        <w:tc>
          <w:tcPr>
            <w:tcW w:w="15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b w:val="1"/>
                <w:bCs w:val="1"/>
                <w:color w:val="0000EE"/>
              </w:rPr>
              <w:t>Financial Information</w:t>
            </w:r>
          </w:p>
        </w:tc>
        <w:tc>
          <w:tcPr>
            <w:tcW w:w="5780" w:type="dxa"/>
            <w:vAlign w:val="bottom"/>
            <w:gridSpan w:val="14"/>
          </w:tcPr>
          <w:p>
            <w:pPr>
              <w:spacing w:after="0"/>
              <w:rPr>
                <w:sz w:val="24"/>
                <w:szCs w:val="24"/>
                <w:color w:val="auto"/>
              </w:rPr>
            </w:pPr>
          </w:p>
        </w:tc>
        <w:tc>
          <w:tcPr>
            <w:tcW w:w="360" w:type="dxa"/>
            <w:vAlign w:val="bottom"/>
          </w:tcPr>
          <w:p>
            <w:pPr>
              <w:spacing w:after="0"/>
              <w:rPr>
                <w:sz w:val="24"/>
                <w:szCs w:val="24"/>
                <w:color w:val="auto"/>
              </w:rPr>
            </w:pPr>
          </w:p>
        </w:tc>
      </w:tr>
      <w:tr>
        <w:trPr>
          <w:trHeight w:val="371"/>
        </w:trPr>
        <w:tc>
          <w:tcPr>
            <w:tcW w:w="1240" w:type="dxa"/>
            <w:vAlign w:val="bottom"/>
            <w:gridSpan w:val="6"/>
          </w:tcPr>
          <w:p>
            <w:pPr>
              <w:spacing w:after="0"/>
              <w:rPr>
                <w:sz w:val="20"/>
                <w:szCs w:val="20"/>
                <w:color w:val="auto"/>
              </w:rPr>
            </w:pPr>
            <w:r>
              <w:rPr>
                <w:rFonts w:ascii="Times New Roman" w:cs="Times New Roman" w:eastAsia="Times New Roman" w:hAnsi="Times New Roman"/>
                <w:sz w:val="16"/>
                <w:szCs w:val="16"/>
                <w:color w:val="0000EE"/>
              </w:rPr>
              <w:t>Item 1.</w:t>
            </w:r>
          </w:p>
        </w:tc>
        <w:tc>
          <w:tcPr>
            <w:tcW w:w="732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Financial Statements (Unaudited)</w:t>
            </w: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1"/>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6"/>
                <w:szCs w:val="16"/>
                <w:color w:val="0000EE"/>
              </w:rPr>
              <w:t>Condensed Consolidated Balance Sheets as of September 30, 2024 and December 31, 2023</w:t>
            </w:r>
          </w:p>
        </w:tc>
        <w:tc>
          <w:tcPr>
            <w:tcW w:w="1380" w:type="dxa"/>
            <w:vAlign w:val="bottom"/>
            <w:gridSpan w:val="4"/>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r>
      <w:tr>
        <w:trPr>
          <w:trHeight w:val="371"/>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6"/>
                <w:szCs w:val="16"/>
                <w:color w:val="0000EE"/>
              </w:rPr>
              <w:t>Condensed Consolidated Statements of Operations and Comprehensive (Loss) Income for the three and</w:t>
            </w:r>
          </w:p>
        </w:tc>
        <w:tc>
          <w:tcPr>
            <w:tcW w:w="58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r>
      <w:tr>
        <w:trPr>
          <w:trHeight w:val="175"/>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20" w:type="dxa"/>
            <w:vAlign w:val="bottom"/>
            <w:tcBorders>
              <w:bottom w:val="single" w:sz="8" w:color="0000EE"/>
            </w:tcBorders>
            <w:gridSpan w:val="9"/>
          </w:tcPr>
          <w:p>
            <w:pPr>
              <w:spacing w:after="0" w:line="175" w:lineRule="exact"/>
              <w:rPr>
                <w:sz w:val="20"/>
                <w:szCs w:val="20"/>
                <w:color w:val="auto"/>
              </w:rPr>
            </w:pPr>
            <w:r>
              <w:rPr>
                <w:rFonts w:ascii="Times New Roman" w:cs="Times New Roman" w:eastAsia="Times New Roman" w:hAnsi="Times New Roman"/>
                <w:sz w:val="16"/>
                <w:szCs w:val="16"/>
                <w:color w:val="0000EE"/>
              </w:rPr>
              <w:t>nine months ended September 30, 2024 and 2023</w:t>
            </w:r>
          </w:p>
        </w:tc>
        <w:tc>
          <w:tcPr>
            <w:tcW w:w="4100" w:type="dxa"/>
            <w:vAlign w:val="bottom"/>
            <w:gridSpan w:val="10"/>
          </w:tcPr>
          <w:p>
            <w:pPr>
              <w:spacing w:after="0"/>
              <w:rPr>
                <w:sz w:val="15"/>
                <w:szCs w:val="15"/>
                <w:color w:val="auto"/>
              </w:rPr>
            </w:pPr>
          </w:p>
        </w:tc>
        <w:tc>
          <w:tcPr>
            <w:tcW w:w="3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8</w:t>
            </w:r>
          </w:p>
        </w:tc>
      </w:tr>
      <w:tr>
        <w:trPr>
          <w:trHeight w:val="371"/>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6"/>
                <w:szCs w:val="16"/>
                <w:color w:val="0000EE"/>
              </w:rPr>
              <w:t>Condensed Consolidated Statements of Changes in Convertible Preferred Stock and Stockholders’ Equity</w:t>
            </w:r>
          </w:p>
        </w:tc>
        <w:tc>
          <w:tcPr>
            <w:tcW w:w="44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r>
      <w:tr>
        <w:trPr>
          <w:trHeight w:val="175"/>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320" w:type="dxa"/>
            <w:vAlign w:val="bottom"/>
            <w:gridSpan w:val="19"/>
          </w:tcPr>
          <w:p>
            <w:pPr>
              <w:spacing w:after="0" w:line="175" w:lineRule="exact"/>
              <w:rPr>
                <w:sz w:val="20"/>
                <w:szCs w:val="20"/>
                <w:color w:val="auto"/>
              </w:rPr>
            </w:pPr>
            <w:r>
              <w:rPr>
                <w:rFonts w:ascii="Times New Roman" w:cs="Times New Roman" w:eastAsia="Times New Roman" w:hAnsi="Times New Roman"/>
                <w:sz w:val="16"/>
                <w:szCs w:val="16"/>
                <w:color w:val="0000EE"/>
              </w:rPr>
              <w:t>(Deficit) for the three and nine months ended September 30, 2024 and 2023</w:t>
            </w:r>
          </w:p>
        </w:tc>
        <w:tc>
          <w:tcPr>
            <w:tcW w:w="3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9</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1"/>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6"/>
                <w:szCs w:val="16"/>
                <w:color w:val="0000EE"/>
              </w:rPr>
              <w:t>Condensed Consolidated Statements of Cash Flows for the nine months ended September 30, 2024 and 2023</w:t>
            </w:r>
          </w:p>
        </w:tc>
        <w:tc>
          <w:tcPr>
            <w:tcW w:w="2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r>
      <w:tr>
        <w:trPr>
          <w:trHeight w:val="371"/>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2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Notes to Condensed Consolidated Financial Statements</w:t>
            </w: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1"/>
        </w:trPr>
        <w:tc>
          <w:tcPr>
            <w:tcW w:w="1240" w:type="dxa"/>
            <w:vAlign w:val="bottom"/>
            <w:gridSpan w:val="6"/>
          </w:tcPr>
          <w:p>
            <w:pPr>
              <w:spacing w:after="0"/>
              <w:rPr>
                <w:sz w:val="20"/>
                <w:szCs w:val="20"/>
                <w:color w:val="auto"/>
              </w:rPr>
            </w:pPr>
            <w:r>
              <w:rPr>
                <w:rFonts w:ascii="Times New Roman" w:cs="Times New Roman" w:eastAsia="Times New Roman" w:hAnsi="Times New Roman"/>
                <w:sz w:val="16"/>
                <w:szCs w:val="16"/>
                <w:color w:val="0000EE"/>
              </w:rPr>
              <w:t>Item 2.</w:t>
            </w:r>
          </w:p>
        </w:tc>
        <w:tc>
          <w:tcPr>
            <w:tcW w:w="732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1"/>
        </w:trPr>
        <w:tc>
          <w:tcPr>
            <w:tcW w:w="1240" w:type="dxa"/>
            <w:vAlign w:val="bottom"/>
            <w:gridSpan w:val="6"/>
          </w:tcPr>
          <w:p>
            <w:pPr>
              <w:spacing w:after="0"/>
              <w:rPr>
                <w:sz w:val="20"/>
                <w:szCs w:val="20"/>
                <w:color w:val="auto"/>
              </w:rPr>
            </w:pPr>
            <w:r>
              <w:rPr>
                <w:rFonts w:ascii="Times New Roman" w:cs="Times New Roman" w:eastAsia="Times New Roman" w:hAnsi="Times New Roman"/>
                <w:sz w:val="16"/>
                <w:szCs w:val="16"/>
                <w:color w:val="0000EE"/>
              </w:rPr>
              <w:t>Item 3.</w:t>
            </w:r>
          </w:p>
        </w:tc>
        <w:tc>
          <w:tcPr>
            <w:tcW w:w="732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1"/>
        </w:trPr>
        <w:tc>
          <w:tcPr>
            <w:tcW w:w="1240" w:type="dxa"/>
            <w:vAlign w:val="bottom"/>
            <w:gridSpan w:val="6"/>
          </w:tcPr>
          <w:p>
            <w:pPr>
              <w:spacing w:after="0"/>
              <w:rPr>
                <w:sz w:val="20"/>
                <w:szCs w:val="20"/>
                <w:color w:val="auto"/>
              </w:rPr>
            </w:pPr>
            <w:r>
              <w:rPr>
                <w:rFonts w:ascii="Times New Roman" w:cs="Times New Roman" w:eastAsia="Times New Roman" w:hAnsi="Times New Roman"/>
                <w:sz w:val="16"/>
                <w:szCs w:val="16"/>
                <w:color w:val="0000EE"/>
              </w:rPr>
              <w:t>Item 4.</w:t>
            </w:r>
          </w:p>
        </w:tc>
        <w:tc>
          <w:tcPr>
            <w:tcW w:w="732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Controls and Procedures</w:t>
            </w: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1"/>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0000EE"/>
                <w:w w:val="98"/>
              </w:rPr>
              <w:t>Part II</w:t>
            </w:r>
          </w:p>
        </w:tc>
        <w:tc>
          <w:tcPr>
            <w:tcW w:w="760" w:type="dxa"/>
            <w:vAlign w:val="bottom"/>
            <w:gridSpan w:val="4"/>
          </w:tcPr>
          <w:p>
            <w:pPr>
              <w:spacing w:after="0"/>
              <w:rPr>
                <w:sz w:val="24"/>
                <w:szCs w:val="24"/>
                <w:color w:val="auto"/>
              </w:rPr>
            </w:pPr>
          </w:p>
        </w:tc>
        <w:tc>
          <w:tcPr>
            <w:tcW w:w="7320" w:type="dxa"/>
            <w:vAlign w:val="bottom"/>
            <w:gridSpan w:val="19"/>
          </w:tcPr>
          <w:p>
            <w:pPr>
              <w:spacing w:after="0"/>
              <w:rPr>
                <w:sz w:val="20"/>
                <w:szCs w:val="20"/>
                <w:color w:val="auto"/>
              </w:rPr>
            </w:pPr>
            <w:r>
              <w:rPr>
                <w:rFonts w:ascii="Times New Roman" w:cs="Times New Roman" w:eastAsia="Times New Roman" w:hAnsi="Times New Roman"/>
                <w:sz w:val="16"/>
                <w:szCs w:val="16"/>
                <w:b w:val="1"/>
                <w:bCs w:val="1"/>
                <w:color w:val="0000EE"/>
              </w:rPr>
              <w:t>Other Information</w:t>
            </w:r>
          </w:p>
        </w:tc>
        <w:tc>
          <w:tcPr>
            <w:tcW w:w="360" w:type="dxa"/>
            <w:vAlign w:val="bottom"/>
          </w:tcPr>
          <w:p>
            <w:pPr>
              <w:spacing w:after="0"/>
              <w:rPr>
                <w:sz w:val="24"/>
                <w:szCs w:val="24"/>
                <w:color w:val="auto"/>
              </w:rPr>
            </w:pPr>
          </w:p>
        </w:tc>
      </w:tr>
      <w:tr>
        <w:trPr>
          <w:trHeight w:val="371"/>
        </w:trPr>
        <w:tc>
          <w:tcPr>
            <w:tcW w:w="4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rPr>
              <w:t>Item 1.</w:t>
            </w:r>
          </w:p>
        </w:tc>
        <w:tc>
          <w:tcPr>
            <w:tcW w:w="760" w:type="dxa"/>
            <w:vAlign w:val="bottom"/>
            <w:gridSpan w:val="4"/>
          </w:tcPr>
          <w:p>
            <w:pPr>
              <w:spacing w:after="0"/>
              <w:rPr>
                <w:sz w:val="24"/>
                <w:szCs w:val="24"/>
                <w:color w:val="auto"/>
              </w:rPr>
            </w:pPr>
          </w:p>
        </w:tc>
        <w:tc>
          <w:tcPr>
            <w:tcW w:w="13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Legal Proceedings</w:t>
            </w:r>
          </w:p>
        </w:tc>
        <w:tc>
          <w:tcPr>
            <w:tcW w:w="6020" w:type="dxa"/>
            <w:vAlign w:val="bottom"/>
            <w:gridSpan w:val="15"/>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gridSpan w:val="4"/>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1"/>
        </w:trPr>
        <w:tc>
          <w:tcPr>
            <w:tcW w:w="1240" w:type="dxa"/>
            <w:vAlign w:val="bottom"/>
            <w:gridSpan w:val="6"/>
          </w:tcPr>
          <w:p>
            <w:pPr>
              <w:spacing w:after="0"/>
              <w:rPr>
                <w:sz w:val="20"/>
                <w:szCs w:val="20"/>
                <w:color w:val="auto"/>
              </w:rPr>
            </w:pPr>
            <w:r>
              <w:rPr>
                <w:rFonts w:ascii="Times New Roman" w:cs="Times New Roman" w:eastAsia="Times New Roman" w:hAnsi="Times New Roman"/>
                <w:sz w:val="16"/>
                <w:szCs w:val="16"/>
                <w:color w:val="0000EE"/>
              </w:rPr>
              <w:t>Item 1A.</w:t>
            </w:r>
          </w:p>
        </w:tc>
        <w:tc>
          <w:tcPr>
            <w:tcW w:w="732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Risk Factors</w:t>
            </w: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1"/>
        </w:trPr>
        <w:tc>
          <w:tcPr>
            <w:tcW w:w="58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Item 2.</w:t>
            </w:r>
          </w:p>
        </w:tc>
        <w:tc>
          <w:tcPr>
            <w:tcW w:w="660" w:type="dxa"/>
            <w:vAlign w:val="bottom"/>
            <w:gridSpan w:val="3"/>
          </w:tcPr>
          <w:p>
            <w:pPr>
              <w:spacing w:after="0"/>
              <w:rPr>
                <w:sz w:val="24"/>
                <w:szCs w:val="24"/>
                <w:color w:val="auto"/>
              </w:rPr>
            </w:pPr>
          </w:p>
        </w:tc>
        <w:tc>
          <w:tcPr>
            <w:tcW w:w="732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Unregistered Sales of Equity Securities and Use of Proceeds</w:t>
            </w: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4"/>
            <w:shd w:val="clear" w:color="auto" w:fill="0000EE"/>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1"/>
        </w:trPr>
        <w:tc>
          <w:tcPr>
            <w:tcW w:w="1240" w:type="dxa"/>
            <w:vAlign w:val="bottom"/>
            <w:gridSpan w:val="6"/>
          </w:tcPr>
          <w:p>
            <w:pPr>
              <w:spacing w:after="0"/>
              <w:rPr>
                <w:sz w:val="20"/>
                <w:szCs w:val="20"/>
                <w:color w:val="auto"/>
              </w:rPr>
            </w:pPr>
            <w:r>
              <w:rPr>
                <w:rFonts w:ascii="Times New Roman" w:cs="Times New Roman" w:eastAsia="Times New Roman" w:hAnsi="Times New Roman"/>
                <w:sz w:val="16"/>
                <w:szCs w:val="16"/>
                <w:color w:val="0000EE"/>
              </w:rPr>
              <w:t>Item 3.</w:t>
            </w:r>
          </w:p>
        </w:tc>
        <w:tc>
          <w:tcPr>
            <w:tcW w:w="732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Defaults Upon Senior Securities</w:t>
            </w: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4"/>
            <w:shd w:val="clear" w:color="auto" w:fill="0000EE"/>
          </w:tcPr>
          <w:p>
            <w:pPr>
              <w:spacing w:after="0" w:line="20" w:lineRule="exact"/>
              <w:rPr>
                <w:sz w:val="1"/>
                <w:szCs w:val="1"/>
                <w:color w:val="auto"/>
              </w:rPr>
            </w:pPr>
          </w:p>
        </w:tc>
        <w:tc>
          <w:tcPr>
            <w:tcW w:w="522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1"/>
        </w:trPr>
        <w:tc>
          <w:tcPr>
            <w:tcW w:w="1240" w:type="dxa"/>
            <w:vAlign w:val="bottom"/>
            <w:gridSpan w:val="6"/>
          </w:tcPr>
          <w:p>
            <w:pPr>
              <w:spacing w:after="0"/>
              <w:rPr>
                <w:sz w:val="20"/>
                <w:szCs w:val="20"/>
                <w:color w:val="auto"/>
              </w:rPr>
            </w:pPr>
            <w:r>
              <w:rPr>
                <w:rFonts w:ascii="Times New Roman" w:cs="Times New Roman" w:eastAsia="Times New Roman" w:hAnsi="Times New Roman"/>
                <w:sz w:val="16"/>
                <w:szCs w:val="16"/>
                <w:color w:val="0000EE"/>
              </w:rPr>
              <w:t>Item 4.</w:t>
            </w:r>
          </w:p>
        </w:tc>
        <w:tc>
          <w:tcPr>
            <w:tcW w:w="732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Mine Safety Disclosures</w:t>
            </w: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572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1"/>
        </w:trPr>
        <w:tc>
          <w:tcPr>
            <w:tcW w:w="1240" w:type="dxa"/>
            <w:vAlign w:val="bottom"/>
            <w:gridSpan w:val="6"/>
          </w:tcPr>
          <w:p>
            <w:pPr>
              <w:spacing w:after="0"/>
              <w:rPr>
                <w:sz w:val="20"/>
                <w:szCs w:val="20"/>
                <w:color w:val="auto"/>
              </w:rPr>
            </w:pPr>
            <w:r>
              <w:rPr>
                <w:rFonts w:ascii="Times New Roman" w:cs="Times New Roman" w:eastAsia="Times New Roman" w:hAnsi="Times New Roman"/>
                <w:sz w:val="16"/>
                <w:szCs w:val="16"/>
                <w:color w:val="0000EE"/>
              </w:rPr>
              <w:t>Item 5.</w:t>
            </w:r>
          </w:p>
        </w:tc>
        <w:tc>
          <w:tcPr>
            <w:tcW w:w="732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Other Information</w:t>
            </w: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14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1"/>
        </w:trPr>
        <w:tc>
          <w:tcPr>
            <w:tcW w:w="1240" w:type="dxa"/>
            <w:vAlign w:val="bottom"/>
            <w:gridSpan w:val="6"/>
          </w:tcPr>
          <w:p>
            <w:pPr>
              <w:spacing w:after="0"/>
              <w:rPr>
                <w:sz w:val="20"/>
                <w:szCs w:val="20"/>
                <w:color w:val="auto"/>
              </w:rPr>
            </w:pPr>
            <w:r>
              <w:rPr>
                <w:rFonts w:ascii="Times New Roman" w:cs="Times New Roman" w:eastAsia="Times New Roman" w:hAnsi="Times New Roman"/>
                <w:sz w:val="16"/>
                <w:szCs w:val="16"/>
                <w:color w:val="0000EE"/>
              </w:rPr>
              <w:t>Item 6.</w:t>
            </w:r>
          </w:p>
        </w:tc>
        <w:tc>
          <w:tcPr>
            <w:tcW w:w="7320" w:type="dxa"/>
            <w:vAlign w:val="bottom"/>
            <w:gridSpan w:val="19"/>
          </w:tcPr>
          <w:p>
            <w:pPr>
              <w:spacing w:after="0"/>
              <w:rPr>
                <w:sz w:val="20"/>
                <w:szCs w:val="20"/>
                <w:color w:val="auto"/>
              </w:rPr>
            </w:pPr>
            <w:r>
              <w:rPr>
                <w:rFonts w:ascii="Times New Roman" w:cs="Times New Roman" w:eastAsia="Times New Roman" w:hAnsi="Times New Roman"/>
                <w:sz w:val="16"/>
                <w:szCs w:val="16"/>
                <w:color w:val="0000EE"/>
              </w:rPr>
              <w:t>Exhibits</w:t>
            </w: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1"/>
        </w:trPr>
        <w:tc>
          <w:tcPr>
            <w:tcW w:w="9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rPr>
              <w:t>Exhibit Index</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r>
      <w:tr>
        <w:trPr>
          <w:trHeight w:val="371"/>
        </w:trPr>
        <w:tc>
          <w:tcPr>
            <w:tcW w:w="1240" w:type="dxa"/>
            <w:vAlign w:val="bottom"/>
            <w:gridSpan w:val="6"/>
          </w:tcPr>
          <w:p>
            <w:pPr>
              <w:spacing w:after="0"/>
              <w:rPr>
                <w:sz w:val="20"/>
                <w:szCs w:val="20"/>
                <w:color w:val="auto"/>
              </w:rPr>
            </w:pPr>
            <w:r>
              <w:rPr>
                <w:rFonts w:ascii="Times New Roman" w:cs="Times New Roman" w:eastAsia="Times New Roman" w:hAnsi="Times New Roman"/>
                <w:sz w:val="16"/>
                <w:szCs w:val="16"/>
                <w:color w:val="0000EE"/>
              </w:rPr>
              <w:t>Signatures</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209"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6"/>
          <w:szCs w:val="16"/>
          <w:color w:val="auto"/>
        </w:rPr>
        <w:t>This Quarterly Report on Form 10-Q (“Quarterly Report”) contains forward-looking statements. All statements other than statements of historical facts contained in this Quarterly Report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w:t>
      </w:r>
    </w:p>
    <w:p>
      <w:pPr>
        <w:spacing w:after="0" w:line="200" w:lineRule="exact"/>
        <w:rPr>
          <w:sz w:val="20"/>
          <w:szCs w:val="20"/>
          <w:color w:val="auto"/>
        </w:rPr>
      </w:pPr>
    </w:p>
    <w:p>
      <w:pPr>
        <w:spacing w:after="0" w:line="211" w:lineRule="exact"/>
        <w:rPr>
          <w:sz w:val="20"/>
          <w:szCs w:val="20"/>
          <w:color w:val="auto"/>
        </w:rPr>
      </w:pPr>
    </w:p>
    <w:p>
      <w:pPr>
        <w:ind w:left="140" w:hanging="98"/>
        <w:spacing w:after="0"/>
        <w:tabs>
          <w:tab w:leader="none" w:pos="1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commercial opportunities stemming from the development of obexelimab for multiple I&amp;I diseases;</w:t>
      </w:r>
    </w:p>
    <w:p>
      <w:pPr>
        <w:spacing w:after="0" w:line="145" w:lineRule="exact"/>
        <w:rPr>
          <w:rFonts w:ascii="Times New Roman" w:cs="Times New Roman" w:eastAsia="Times New Roman" w:hAnsi="Times New Roman"/>
          <w:sz w:val="16"/>
          <w:szCs w:val="16"/>
          <w:color w:val="auto"/>
        </w:rPr>
      </w:pPr>
    </w:p>
    <w:p>
      <w:pPr>
        <w:ind w:left="140" w:hanging="98"/>
        <w:spacing w:after="0"/>
        <w:tabs>
          <w:tab w:leader="none" w:pos="1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develop and, if approved, ultimately commercialize obexelimab and, with partners, our other programs;</w:t>
      </w:r>
    </w:p>
    <w:p>
      <w:pPr>
        <w:spacing w:after="0" w:line="133" w:lineRule="exact"/>
        <w:rPr>
          <w:rFonts w:ascii="Times New Roman" w:cs="Times New Roman" w:eastAsia="Times New Roman" w:hAnsi="Times New Roman"/>
          <w:sz w:val="16"/>
          <w:szCs w:val="16"/>
          <w:color w:val="auto"/>
        </w:rPr>
      </w:pPr>
    </w:p>
    <w:p>
      <w:pPr>
        <w:ind w:left="140" w:hanging="98"/>
        <w:spacing w:after="0"/>
        <w:tabs>
          <w:tab w:leader="none" w:pos="1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or maintain orphan drug designation for certain of our product candidates;</w:t>
      </w:r>
    </w:p>
    <w:p>
      <w:pPr>
        <w:spacing w:after="0" w:line="133" w:lineRule="exact"/>
        <w:rPr>
          <w:rFonts w:ascii="Times New Roman" w:cs="Times New Roman" w:eastAsia="Times New Roman" w:hAnsi="Times New Roman"/>
          <w:sz w:val="16"/>
          <w:szCs w:val="16"/>
          <w:color w:val="auto"/>
        </w:rPr>
      </w:pPr>
    </w:p>
    <w:p>
      <w:pPr>
        <w:jc w:val="both"/>
        <w:ind w:left="40" w:right="59" w:firstLine="2"/>
        <w:spacing w:after="0" w:line="392" w:lineRule="auto"/>
        <w:tabs>
          <w:tab w:leader="none" w:pos="14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initiation, timing, progress, results, and cost of our development programs, and our current and future preclinical and clinical studies, including statements regarding the timing of initiation and completion of our clinical trials, and the period during which the results of the trials will become available;</w:t>
      </w:r>
    </w:p>
    <w:p>
      <w:pPr>
        <w:spacing w:after="0" w:line="1" w:lineRule="exact"/>
        <w:rPr>
          <w:rFonts w:ascii="Times New Roman" w:cs="Times New Roman" w:eastAsia="Times New Roman" w:hAnsi="Times New Roman"/>
          <w:sz w:val="16"/>
          <w:szCs w:val="16"/>
          <w:color w:val="auto"/>
        </w:rPr>
      </w:pPr>
    </w:p>
    <w:p>
      <w:pPr>
        <w:ind w:left="140" w:hanging="98"/>
        <w:spacing w:after="0"/>
        <w:tabs>
          <w:tab w:leader="none" w:pos="1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cost and timing of our clinical development of our product candidates;</w:t>
      </w:r>
    </w:p>
    <w:p>
      <w:pPr>
        <w:spacing w:after="0" w:line="133" w:lineRule="exact"/>
        <w:rPr>
          <w:rFonts w:ascii="Times New Roman" w:cs="Times New Roman" w:eastAsia="Times New Roman" w:hAnsi="Times New Roman"/>
          <w:sz w:val="16"/>
          <w:szCs w:val="16"/>
          <w:color w:val="auto"/>
        </w:rPr>
      </w:pPr>
    </w:p>
    <w:p>
      <w:pPr>
        <w:ind w:left="140" w:hanging="98"/>
        <w:spacing w:after="0"/>
        <w:tabs>
          <w:tab w:leader="none" w:pos="1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establish clinical differentiation of our product candidates;</w:t>
      </w:r>
    </w:p>
    <w:p>
      <w:pPr>
        <w:spacing w:after="0" w:line="133" w:lineRule="exact"/>
        <w:rPr>
          <w:rFonts w:ascii="Times New Roman" w:cs="Times New Roman" w:eastAsia="Times New Roman" w:hAnsi="Times New Roman"/>
          <w:sz w:val="16"/>
          <w:szCs w:val="16"/>
          <w:color w:val="auto"/>
        </w:rPr>
      </w:pPr>
    </w:p>
    <w:p>
      <w:pPr>
        <w:ind w:left="140" w:hanging="98"/>
        <w:spacing w:after="0"/>
        <w:tabs>
          <w:tab w:leader="none" w:pos="1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develop product candidates that have broad therapeutic potential;</w:t>
      </w:r>
    </w:p>
    <w:p>
      <w:pPr>
        <w:spacing w:after="0" w:line="145" w:lineRule="exact"/>
        <w:rPr>
          <w:rFonts w:ascii="Times New Roman" w:cs="Times New Roman" w:eastAsia="Times New Roman" w:hAnsi="Times New Roman"/>
          <w:sz w:val="16"/>
          <w:szCs w:val="16"/>
          <w:color w:val="auto"/>
        </w:rPr>
      </w:pPr>
    </w:p>
    <w:p>
      <w:pPr>
        <w:ind w:left="140" w:hanging="98"/>
        <w:spacing w:after="0"/>
        <w:tabs>
          <w:tab w:leader="none" w:pos="1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utilize our business development strategy and expertise to build a balanced portfolio;</w:t>
      </w:r>
    </w:p>
    <w:p>
      <w:pPr>
        <w:spacing w:after="0" w:line="133" w:lineRule="exact"/>
        <w:rPr>
          <w:rFonts w:ascii="Times New Roman" w:cs="Times New Roman" w:eastAsia="Times New Roman" w:hAnsi="Times New Roman"/>
          <w:sz w:val="16"/>
          <w:szCs w:val="16"/>
          <w:color w:val="auto"/>
        </w:rPr>
      </w:pPr>
    </w:p>
    <w:p>
      <w:pPr>
        <w:ind w:left="140" w:hanging="98"/>
        <w:spacing w:after="0"/>
        <w:tabs>
          <w:tab w:leader="none" w:pos="1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identify collaborations and strategic partnerships to maximize the value of our portfolio;</w:t>
      </w:r>
    </w:p>
    <w:p>
      <w:pPr>
        <w:spacing w:after="0" w:line="133" w:lineRule="exact"/>
        <w:rPr>
          <w:rFonts w:ascii="Times New Roman" w:cs="Times New Roman" w:eastAsia="Times New Roman" w:hAnsi="Times New Roman"/>
          <w:sz w:val="16"/>
          <w:szCs w:val="16"/>
          <w:color w:val="auto"/>
        </w:rPr>
      </w:pPr>
    </w:p>
    <w:p>
      <w:pPr>
        <w:ind w:left="40" w:right="59" w:firstLine="2"/>
        <w:spacing w:after="0" w:line="328" w:lineRule="auto"/>
        <w:tabs>
          <w:tab w:leader="none" w:pos="15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build our operational and commercial capabilities for supplying and marketing our products, if approved, in key markets;</w:t>
      </w:r>
    </w:p>
    <w:p>
      <w:pPr>
        <w:spacing w:after="0" w:line="358" w:lineRule="exact"/>
        <w:rPr>
          <w:rFonts w:ascii="Times New Roman" w:cs="Times New Roman" w:eastAsia="Times New Roman" w:hAnsi="Times New Roman"/>
          <w:sz w:val="16"/>
          <w:szCs w:val="16"/>
          <w:color w:val="auto"/>
        </w:rPr>
      </w:pPr>
    </w:p>
    <w:p>
      <w:pPr>
        <w:ind w:left="140" w:hanging="98"/>
        <w:spacing w:after="0"/>
        <w:tabs>
          <w:tab w:leader="none" w:pos="1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in the biopharmaceutical sector and issuance of securities analysts’ reports or recommendations;</w:t>
      </w:r>
    </w:p>
    <w:p>
      <w:pPr>
        <w:spacing w:after="0" w:line="133" w:lineRule="exact"/>
        <w:rPr>
          <w:rFonts w:ascii="Times New Roman" w:cs="Times New Roman" w:eastAsia="Times New Roman" w:hAnsi="Times New Roman"/>
          <w:sz w:val="16"/>
          <w:szCs w:val="16"/>
          <w:color w:val="auto"/>
        </w:rPr>
      </w:pPr>
    </w:p>
    <w:p>
      <w:pPr>
        <w:ind w:left="140" w:hanging="98"/>
        <w:spacing w:after="0"/>
        <w:tabs>
          <w:tab w:leader="none" w:pos="1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trading volume of our common stock;</w:t>
      </w:r>
    </w:p>
    <w:p>
      <w:pPr>
        <w:spacing w:after="0" w:line="145" w:lineRule="exact"/>
        <w:rPr>
          <w:rFonts w:ascii="Times New Roman" w:cs="Times New Roman" w:eastAsia="Times New Roman" w:hAnsi="Times New Roman"/>
          <w:sz w:val="16"/>
          <w:szCs w:val="16"/>
          <w:color w:val="auto"/>
        </w:rPr>
      </w:pPr>
    </w:p>
    <w:p>
      <w:pPr>
        <w:ind w:left="140" w:hanging="98"/>
        <w:spacing w:after="0"/>
        <w:tabs>
          <w:tab w:leader="none" w:pos="1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inability to obtain additional funding;</w:t>
      </w:r>
    </w:p>
    <w:p>
      <w:pPr>
        <w:spacing w:after="0" w:line="133" w:lineRule="exact"/>
        <w:rPr>
          <w:rFonts w:ascii="Times New Roman" w:cs="Times New Roman" w:eastAsia="Times New Roman" w:hAnsi="Times New Roman"/>
          <w:sz w:val="16"/>
          <w:szCs w:val="16"/>
          <w:color w:val="auto"/>
        </w:rPr>
      </w:pPr>
    </w:p>
    <w:p>
      <w:pPr>
        <w:ind w:left="140" w:hanging="98"/>
        <w:spacing w:after="0"/>
        <w:tabs>
          <w:tab w:leader="none" w:pos="1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initiate, recruit and enroll patients in and conduct our clinical trials at the pace that we project;</w:t>
      </w:r>
    </w:p>
    <w:p>
      <w:pPr>
        <w:spacing w:after="0" w:line="133" w:lineRule="exact"/>
        <w:rPr>
          <w:rFonts w:ascii="Times New Roman" w:cs="Times New Roman" w:eastAsia="Times New Roman" w:hAnsi="Times New Roman"/>
          <w:sz w:val="16"/>
          <w:szCs w:val="16"/>
          <w:color w:val="auto"/>
        </w:rPr>
      </w:pPr>
    </w:p>
    <w:p>
      <w:pPr>
        <w:ind w:left="40" w:right="59" w:firstLine="2"/>
        <w:spacing w:after="0" w:line="398" w:lineRule="auto"/>
        <w:tabs>
          <w:tab w:leader="none" w:pos="15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and maintain regulatory approval of our product candidates, and any related restrictions, limitations or warnings in the label of any of our product candidates, if approved;</w:t>
      </w:r>
    </w:p>
    <w:p>
      <w:pPr>
        <w:ind w:left="140" w:hanging="98"/>
        <w:spacing w:after="0"/>
        <w:tabs>
          <w:tab w:leader="none" w:pos="1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third parties to manufacture drug substance and drug product for use in our clinical trials;</w:t>
      </w:r>
    </w:p>
    <w:p>
      <w:pPr>
        <w:spacing w:after="0" w:line="133" w:lineRule="exact"/>
        <w:rPr>
          <w:rFonts w:ascii="Times New Roman" w:cs="Times New Roman" w:eastAsia="Times New Roman" w:hAnsi="Times New Roman"/>
          <w:sz w:val="16"/>
          <w:szCs w:val="16"/>
          <w:color w:val="auto"/>
        </w:rPr>
      </w:pPr>
    </w:p>
    <w:p>
      <w:pPr>
        <w:ind w:left="140" w:hanging="98"/>
        <w:spacing w:after="0"/>
        <w:tabs>
          <w:tab w:leader="none" w:pos="1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and recruit key personnel;</w:t>
      </w:r>
    </w:p>
    <w:p>
      <w:pPr>
        <w:spacing w:after="0" w:line="145" w:lineRule="exact"/>
        <w:rPr>
          <w:rFonts w:ascii="Times New Roman" w:cs="Times New Roman" w:eastAsia="Times New Roman" w:hAnsi="Times New Roman"/>
          <w:sz w:val="16"/>
          <w:szCs w:val="16"/>
          <w:color w:val="auto"/>
        </w:rPr>
      </w:pPr>
    </w:p>
    <w:p>
      <w:pPr>
        <w:ind w:left="140" w:hanging="98"/>
        <w:spacing w:after="0"/>
        <w:tabs>
          <w:tab w:leader="none" w:pos="1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and maintain adequate intellectual property rights;</w:t>
      </w:r>
    </w:p>
    <w:p>
      <w:pPr>
        <w:spacing w:after="0" w:line="133" w:lineRule="exact"/>
        <w:rPr>
          <w:rFonts w:ascii="Times New Roman" w:cs="Times New Roman" w:eastAsia="Times New Roman" w:hAnsi="Times New Roman"/>
          <w:sz w:val="16"/>
          <w:szCs w:val="16"/>
          <w:color w:val="auto"/>
        </w:rPr>
      </w:pPr>
    </w:p>
    <w:p>
      <w:pPr>
        <w:ind w:left="140" w:hanging="98"/>
        <w:spacing w:after="0"/>
        <w:tabs>
          <w:tab w:leader="none" w:pos="1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government and third-party payor coverage and reimbursement;</w:t>
      </w:r>
    </w:p>
    <w:p>
      <w:pPr>
        <w:spacing w:after="0" w:line="133" w:lineRule="exact"/>
        <w:rPr>
          <w:rFonts w:ascii="Times New Roman" w:cs="Times New Roman" w:eastAsia="Times New Roman" w:hAnsi="Times New Roman"/>
          <w:sz w:val="16"/>
          <w:szCs w:val="16"/>
          <w:color w:val="auto"/>
        </w:rPr>
      </w:pPr>
    </w:p>
    <w:p>
      <w:pPr>
        <w:ind w:left="140" w:hanging="98"/>
        <w:spacing w:after="0"/>
        <w:tabs>
          <w:tab w:leader="none" w:pos="1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estimates of our expenses, ongoing losses, capital requirements and our needs for or ability to obtain additional financing;</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right="59" w:firstLine="2"/>
        <w:spacing w:after="0" w:line="405" w:lineRule="auto"/>
        <w:tabs>
          <w:tab w:leader="none" w:pos="153"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existing cash and the sufficiency of our existing cash and proceeds from future capital-raising efforts, if any, to fund our future operating expenses and capital expenditure requirements;</w:t>
      </w:r>
    </w:p>
    <w:p>
      <w:pPr>
        <w:spacing w:after="0" w:line="1" w:lineRule="exact"/>
        <w:rPr>
          <w:rFonts w:ascii="Times New Roman" w:cs="Times New Roman" w:eastAsia="Times New Roman" w:hAnsi="Times New Roman"/>
          <w:sz w:val="16"/>
          <w:szCs w:val="16"/>
          <w:color w:val="auto"/>
        </w:rPr>
      </w:pPr>
    </w:p>
    <w:p>
      <w:pPr>
        <w:ind w:left="140" w:hanging="98"/>
        <w:spacing w:after="0"/>
        <w:tabs>
          <w:tab w:leader="none" w:pos="1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benefits of strategic collaboration agreements;</w:t>
      </w:r>
    </w:p>
    <w:p>
      <w:pPr>
        <w:spacing w:after="0" w:line="133" w:lineRule="exact"/>
        <w:rPr>
          <w:rFonts w:ascii="Times New Roman" w:cs="Times New Roman" w:eastAsia="Times New Roman" w:hAnsi="Times New Roman"/>
          <w:sz w:val="16"/>
          <w:szCs w:val="16"/>
          <w:color w:val="auto"/>
        </w:rPr>
      </w:pPr>
    </w:p>
    <w:p>
      <w:pPr>
        <w:jc w:val="both"/>
        <w:ind w:left="40" w:right="59" w:firstLine="2"/>
        <w:spacing w:after="0" w:line="442" w:lineRule="auto"/>
        <w:tabs>
          <w:tab w:leader="none" w:pos="153"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enter into strategic collaborations or arrangements, including potential business development opportunities and potential licensing partnerships, and our ability to attract collaborators with development, regulatory and commercialization expertise;</w:t>
      </w:r>
    </w:p>
    <w:p>
      <w:pPr>
        <w:spacing w:after="0" w:line="188" w:lineRule="exact"/>
        <w:rPr>
          <w:rFonts w:ascii="Times New Roman" w:cs="Times New Roman" w:eastAsia="Times New Roman" w:hAnsi="Times New Roman"/>
          <w:sz w:val="16"/>
          <w:szCs w:val="16"/>
          <w:color w:val="auto"/>
        </w:rPr>
      </w:pPr>
    </w:p>
    <w:p>
      <w:pPr>
        <w:ind w:left="40" w:right="59" w:firstLine="2"/>
        <w:spacing w:after="0" w:line="398" w:lineRule="auto"/>
        <w:tabs>
          <w:tab w:leader="none" w:pos="14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our stock by us, our insiders or our stockholders, as well as the anticipation of lock-up releases or expiration of market stand-off or lock-up agreements;</w:t>
      </w:r>
    </w:p>
    <w:p>
      <w:pPr>
        <w:ind w:left="40" w:right="59" w:firstLine="2"/>
        <w:spacing w:after="0" w:line="398" w:lineRule="auto"/>
        <w:tabs>
          <w:tab w:leader="none" w:pos="14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the time during which we will be an emerging growth company and smaller reporting company under the Jumpstart Our Business Startups Act of 2012, as amended (the “JOBS Act”);</w:t>
      </w:r>
    </w:p>
    <w:p>
      <w:pPr>
        <w:ind w:left="40" w:right="59" w:firstLine="2"/>
        <w:spacing w:after="0" w:line="398" w:lineRule="auto"/>
        <w:tabs>
          <w:tab w:leader="none" w:pos="17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industry, geopolitical and market conditions, such as military conflict or war, inflation and financial institution instability, or pandemic or epidemic disease outbreaks, many of which are beyond our control;</w:t>
      </w:r>
    </w:p>
    <w:p>
      <w:pPr>
        <w:ind w:left="140" w:hanging="98"/>
        <w:spacing w:after="0"/>
        <w:tabs>
          <w:tab w:leader="none" w:pos="1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or departures of senior management, directors or key personnel;</w:t>
      </w:r>
    </w:p>
    <w:p>
      <w:pPr>
        <w:spacing w:after="0" w:line="145" w:lineRule="exact"/>
        <w:rPr>
          <w:rFonts w:ascii="Times New Roman" w:cs="Times New Roman" w:eastAsia="Times New Roman" w:hAnsi="Times New Roman"/>
          <w:sz w:val="16"/>
          <w:szCs w:val="16"/>
          <w:color w:val="auto"/>
        </w:rPr>
      </w:pPr>
    </w:p>
    <w:p>
      <w:pPr>
        <w:ind w:left="140" w:hanging="98"/>
        <w:spacing w:after="0"/>
        <w:tabs>
          <w:tab w:leader="none" w:pos="1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financial performance;</w:t>
      </w:r>
    </w:p>
    <w:p>
      <w:pPr>
        <w:spacing w:after="0" w:line="133" w:lineRule="exact"/>
        <w:rPr>
          <w:rFonts w:ascii="Times New Roman" w:cs="Times New Roman" w:eastAsia="Times New Roman" w:hAnsi="Times New Roman"/>
          <w:sz w:val="16"/>
          <w:szCs w:val="16"/>
          <w:color w:val="auto"/>
        </w:rPr>
      </w:pPr>
    </w:p>
    <w:p>
      <w:pPr>
        <w:ind w:left="140" w:hanging="98"/>
        <w:spacing w:after="0"/>
        <w:tabs>
          <w:tab w:leader="none" w:pos="1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and projections relating to our competitors or our industry; and</w:t>
      </w:r>
    </w:p>
    <w:p>
      <w:pPr>
        <w:spacing w:after="0" w:line="133" w:lineRule="exact"/>
        <w:rPr>
          <w:rFonts w:ascii="Times New Roman" w:cs="Times New Roman" w:eastAsia="Times New Roman" w:hAnsi="Times New Roman"/>
          <w:sz w:val="16"/>
          <w:szCs w:val="16"/>
          <w:color w:val="auto"/>
        </w:rPr>
      </w:pPr>
    </w:p>
    <w:p>
      <w:pPr>
        <w:ind w:left="140" w:hanging="98"/>
        <w:spacing w:after="0"/>
        <w:tabs>
          <w:tab w:leader="none" w:pos="1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risks and uncertainties, including those included in the section titled “Risk Factors.”</w:t>
      </w:r>
    </w:p>
    <w:p>
      <w:pPr>
        <w:spacing w:after="0" w:line="255" w:lineRule="exact"/>
        <w:rPr>
          <w:sz w:val="20"/>
          <w:szCs w:val="20"/>
          <w:color w:val="auto"/>
        </w:rPr>
      </w:pPr>
    </w:p>
    <w:p>
      <w:pPr>
        <w:ind w:left="40" w:right="99"/>
        <w:spacing w:after="0" w:line="257" w:lineRule="auto"/>
        <w:rPr>
          <w:sz w:val="20"/>
          <w:szCs w:val="20"/>
          <w:color w:val="auto"/>
        </w:rPr>
      </w:pPr>
      <w:r>
        <w:rPr>
          <w:rFonts w:ascii="Times New Roman" w:cs="Times New Roman" w:eastAsia="Times New Roman" w:hAnsi="Times New Roman"/>
          <w:sz w:val="16"/>
          <w:szCs w:val="16"/>
          <w:color w:val="auto"/>
        </w:rPr>
        <w:t>The forward-looking statements in this Quarterly Report may prove incorrect. These forward-looking statements speak only as of the date of this Quarterly Report and are subject to a number of known and unknown risks, uncertainties and assumptions, including those described under the sections titled “Risk Factors” and “Management’s Discussion and Analysis of Financial Condition and Results of Operations” and elsewhere in this Quarterly Report. 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on these statements. Because forward-looking statements are inherently subject to risks and uncertainties, some of which cannot be predicted or quantified and some of which are beyond our control, you should not rely on these forward-looking statements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SUMMARY RISK FACTORS</w:t>
      </w:r>
    </w:p>
    <w:p>
      <w:pPr>
        <w:spacing w:after="0" w:line="209" w:lineRule="exact"/>
        <w:rPr>
          <w:sz w:val="20"/>
          <w:szCs w:val="20"/>
          <w:color w:val="auto"/>
        </w:rPr>
      </w:pPr>
    </w:p>
    <w:p>
      <w:pPr>
        <w:ind w:left="40" w:right="159"/>
        <w:spacing w:after="0" w:line="289" w:lineRule="auto"/>
        <w:rPr>
          <w:sz w:val="20"/>
          <w:szCs w:val="20"/>
          <w:color w:val="auto"/>
        </w:rPr>
      </w:pPr>
      <w:r>
        <w:rPr>
          <w:rFonts w:ascii="Times New Roman" w:cs="Times New Roman" w:eastAsia="Times New Roman" w:hAnsi="Times New Roman"/>
          <w:sz w:val="16"/>
          <w:szCs w:val="16"/>
          <w:color w:val="auto"/>
        </w:rPr>
        <w:t>Our business is subject to a number of risks of which you should be aware before making an investment decision. These risks are discussed more fully in Part II, Item 1A. “Risk Factors” in this Quarterly Report. These risks include the following:</w:t>
      </w:r>
    </w:p>
    <w:p>
      <w:pPr>
        <w:spacing w:after="0" w:line="143" w:lineRule="exact"/>
        <w:rPr>
          <w:sz w:val="20"/>
          <w:szCs w:val="20"/>
          <w:color w:val="auto"/>
        </w:rPr>
      </w:pPr>
    </w:p>
    <w:p>
      <w:pPr>
        <w:jc w:val="both"/>
        <w:ind w:left="40" w:right="59" w:firstLine="2"/>
        <w:spacing w:after="0" w:line="283" w:lineRule="auto"/>
        <w:tabs>
          <w:tab w:leader="none" w:pos="14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 clinical-stage biopharma company with a limited operating history and no products approved for commercial sale; we have incurred substantial losses since our inception, and we anticipate incurring substantial and increasing losses for the foreseeable future;</w:t>
      </w:r>
    </w:p>
    <w:p>
      <w:pPr>
        <w:spacing w:after="0" w:line="347" w:lineRule="exact"/>
        <w:rPr>
          <w:rFonts w:ascii="Times New Roman" w:cs="Times New Roman" w:eastAsia="Times New Roman" w:hAnsi="Times New Roman"/>
          <w:sz w:val="16"/>
          <w:szCs w:val="16"/>
          <w:color w:val="auto"/>
        </w:rPr>
      </w:pPr>
    </w:p>
    <w:p>
      <w:pPr>
        <w:ind w:left="40" w:right="59" w:firstLine="2"/>
        <w:spacing w:after="0" w:line="289" w:lineRule="auto"/>
        <w:tabs>
          <w:tab w:leader="none" w:pos="14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require substantial additional financing to achieve our goals, and failure to obtain additional capital when needed, or on acceptable terms, would cause us to delay, limit, reduce or terminate our product development efforts;</w:t>
      </w:r>
    </w:p>
    <w:p>
      <w:pPr>
        <w:spacing w:after="0" w:line="142" w:lineRule="exact"/>
        <w:rPr>
          <w:rFonts w:ascii="Times New Roman" w:cs="Times New Roman" w:eastAsia="Times New Roman" w:hAnsi="Times New Roman"/>
          <w:sz w:val="16"/>
          <w:szCs w:val="16"/>
          <w:color w:val="auto"/>
        </w:rPr>
      </w:pPr>
    </w:p>
    <w:p>
      <w:pPr>
        <w:ind w:left="40" w:right="59" w:firstLine="2"/>
        <w:spacing w:after="0" w:line="289" w:lineRule="auto"/>
        <w:tabs>
          <w:tab w:leader="none" w:pos="16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Raising additional capital may cause dilution to our stockholders, imposing restrictions on our operations or require us to relinquish rights to our product candidates;</w:t>
      </w:r>
    </w:p>
    <w:p>
      <w:pPr>
        <w:spacing w:after="0" w:line="154" w:lineRule="exact"/>
        <w:rPr>
          <w:rFonts w:ascii="Times New Roman" w:cs="Times New Roman" w:eastAsia="Times New Roman" w:hAnsi="Times New Roman"/>
          <w:sz w:val="16"/>
          <w:szCs w:val="16"/>
          <w:color w:val="auto"/>
        </w:rPr>
      </w:pPr>
    </w:p>
    <w:p>
      <w:pPr>
        <w:jc w:val="both"/>
        <w:ind w:left="40" w:right="59" w:firstLine="2"/>
        <w:spacing w:after="0" w:line="266" w:lineRule="auto"/>
        <w:tabs>
          <w:tab w:leader="none" w:pos="15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development is lengthy and expensive, characterized by uncertain outcomes, with results of earlier studies and trials often failing to predict future trial results or results in other indications of a product candidate. We may incur additional costs or experience delays in completing, or fail to complete, the development and commercialization of our current product candidates or any future product candidates;</w:t>
      </w:r>
    </w:p>
    <w:p>
      <w:pPr>
        <w:spacing w:after="0" w:line="172" w:lineRule="exact"/>
        <w:rPr>
          <w:rFonts w:ascii="Times New Roman" w:cs="Times New Roman" w:eastAsia="Times New Roman" w:hAnsi="Times New Roman"/>
          <w:sz w:val="16"/>
          <w:szCs w:val="16"/>
          <w:color w:val="auto"/>
        </w:rPr>
      </w:pPr>
    </w:p>
    <w:p>
      <w:pPr>
        <w:ind w:left="40" w:right="59" w:firstLine="2"/>
        <w:spacing w:after="0" w:line="264" w:lineRule="auto"/>
        <w:tabs>
          <w:tab w:leader="none" w:pos="14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difficulties in the enrollment and dosing of patients in clinical trials delay or prevent receipt of necessary regulatory approvals;</w:t>
      </w:r>
    </w:p>
    <w:p>
      <w:pPr>
        <w:spacing w:after="0" w:line="395" w:lineRule="exact"/>
        <w:rPr>
          <w:rFonts w:ascii="Times New Roman" w:cs="Times New Roman" w:eastAsia="Times New Roman" w:hAnsi="Times New Roman"/>
          <w:sz w:val="16"/>
          <w:szCs w:val="16"/>
          <w:color w:val="auto"/>
        </w:rPr>
      </w:pPr>
    </w:p>
    <w:p>
      <w:pPr>
        <w:jc w:val="both"/>
        <w:ind w:left="40" w:right="59" w:firstLine="2"/>
        <w:spacing w:after="0" w:line="283" w:lineRule="auto"/>
        <w:tabs>
          <w:tab w:leader="none" w:pos="15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significant adverse events or undesirable side effects caused by our product candidates may delay or prevent regulatory approval or market acceptance of our product candidates, or result in significant negative consequences following marketing approval, if any;</w:t>
      </w:r>
    </w:p>
    <w:p>
      <w:pPr>
        <w:spacing w:after="0" w:line="347" w:lineRule="exact"/>
        <w:rPr>
          <w:rFonts w:ascii="Times New Roman" w:cs="Times New Roman" w:eastAsia="Times New Roman" w:hAnsi="Times New Roman"/>
          <w:sz w:val="16"/>
          <w:szCs w:val="16"/>
          <w:color w:val="auto"/>
        </w:rPr>
      </w:pPr>
    </w:p>
    <w:p>
      <w:pPr>
        <w:jc w:val="both"/>
        <w:ind w:left="40" w:right="59" w:firstLine="2"/>
        <w:spacing w:after="0" w:line="272" w:lineRule="auto"/>
        <w:tabs>
          <w:tab w:leader="none" w:pos="14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potential competition from different sources that have made substantial investments into the rapid development of novel treatments for immunological indications, including large and specialty pharmaceutical and biotechnology companies, many of which already have approved therapies in our current indications;</w:t>
      </w:r>
    </w:p>
    <w:p>
      <w:pPr>
        <w:spacing w:after="0" w:line="167" w:lineRule="exact"/>
        <w:rPr>
          <w:rFonts w:ascii="Times New Roman" w:cs="Times New Roman" w:eastAsia="Times New Roman" w:hAnsi="Times New Roman"/>
          <w:sz w:val="16"/>
          <w:szCs w:val="16"/>
          <w:color w:val="auto"/>
        </w:rPr>
      </w:pPr>
    </w:p>
    <w:p>
      <w:pPr>
        <w:ind w:left="40" w:right="59" w:firstLine="2"/>
        <w:spacing w:after="0" w:line="289" w:lineRule="auto"/>
        <w:tabs>
          <w:tab w:leader="none" w:pos="15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realize the benefits of our current or future collaborations or licensing arrangements and may be unsuccessful in consummating future partnerships;</w:t>
      </w:r>
    </w:p>
    <w:p>
      <w:pPr>
        <w:spacing w:after="0" w:line="154" w:lineRule="exact"/>
        <w:rPr>
          <w:rFonts w:ascii="Times New Roman" w:cs="Times New Roman" w:eastAsia="Times New Roman" w:hAnsi="Times New Roman"/>
          <w:sz w:val="16"/>
          <w:szCs w:val="16"/>
          <w:color w:val="auto"/>
        </w:rPr>
      </w:pPr>
    </w:p>
    <w:p>
      <w:pPr>
        <w:jc w:val="both"/>
        <w:ind w:left="40" w:right="59" w:firstLine="2"/>
        <w:spacing w:after="0" w:line="283" w:lineRule="auto"/>
        <w:tabs>
          <w:tab w:leader="none" w:pos="17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Even if we complete the necessary clinical trials, we cannot predict when, or if, we will obtain regulatory approval to commercialize any product candidate in the United States or any other jurisdiction, and any such approval may be for a more narrow indication than we seek;</w:t>
      </w:r>
    </w:p>
    <w:p>
      <w:pPr>
        <w:spacing w:after="0" w:line="359" w:lineRule="exact"/>
        <w:rPr>
          <w:rFonts w:ascii="Times New Roman" w:cs="Times New Roman" w:eastAsia="Times New Roman" w:hAnsi="Times New Roman"/>
          <w:sz w:val="16"/>
          <w:szCs w:val="16"/>
          <w:color w:val="auto"/>
        </w:rPr>
      </w:pPr>
    </w:p>
    <w:p>
      <w:pPr>
        <w:ind w:left="40" w:right="59" w:firstLine="2"/>
        <w:spacing w:after="0" w:line="289" w:lineRule="auto"/>
        <w:tabs>
          <w:tab w:leader="none" w:pos="14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dependent on the services of our senior management and other clinical and scientific personnel, and if we are not able to retain these individuals or recruit additional management or clinical and scientific personnel, our business will suffer;</w:t>
      </w:r>
    </w:p>
    <w:p>
      <w:pPr>
        <w:spacing w:after="0" w:line="154" w:lineRule="exact"/>
        <w:rPr>
          <w:rFonts w:ascii="Times New Roman" w:cs="Times New Roman" w:eastAsia="Times New Roman" w:hAnsi="Times New Roman"/>
          <w:sz w:val="16"/>
          <w:szCs w:val="16"/>
          <w:color w:val="auto"/>
        </w:rPr>
      </w:pPr>
    </w:p>
    <w:p>
      <w:pPr>
        <w:ind w:left="40" w:right="59" w:firstLine="2"/>
        <w:spacing w:after="0" w:line="289" w:lineRule="auto"/>
        <w:tabs>
          <w:tab w:leader="none" w:pos="17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need to grow our organization, and we may experience difficulties in managing our growth and expanding our operations, which could adversely affect our business;</w:t>
      </w:r>
    </w:p>
    <w:p>
      <w:pPr>
        <w:spacing w:after="0" w:line="154" w:lineRule="exact"/>
        <w:rPr>
          <w:rFonts w:ascii="Times New Roman" w:cs="Times New Roman" w:eastAsia="Times New Roman" w:hAnsi="Times New Roman"/>
          <w:sz w:val="16"/>
          <w:szCs w:val="16"/>
          <w:color w:val="auto"/>
        </w:rPr>
      </w:pPr>
    </w:p>
    <w:p>
      <w:pPr>
        <w:jc w:val="both"/>
        <w:ind w:left="40" w:right="59" w:firstLine="2"/>
        <w:spacing w:after="0" w:line="269" w:lineRule="auto"/>
        <w:tabs>
          <w:tab w:leader="none" w:pos="16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manufacturing of our product candidates is complex, and our third-party manufacturers may encounter difficulties in production. If our third-party manufacturers encounter such difficulties, our ability to provide supply of our product candidates for clinical trials, our ability to obtain marketing approval, or provide commercial supply of our products, if approved, could be delayed or halted;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59" w:firstLine="2"/>
        <w:spacing w:after="0" w:line="266" w:lineRule="auto"/>
        <w:tabs>
          <w:tab w:leader="none" w:pos="16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obtain and maintain sufficient intellectual property protection for our product candidates or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impacted;</w:t>
      </w:r>
    </w:p>
    <w:p>
      <w:pPr>
        <w:spacing w:after="0" w:line="75" w:lineRule="exact"/>
        <w:rPr>
          <w:rFonts w:ascii="Times New Roman" w:cs="Times New Roman" w:eastAsia="Times New Roman" w:hAnsi="Times New Roman"/>
          <w:sz w:val="16"/>
          <w:szCs w:val="16"/>
          <w:color w:val="auto"/>
        </w:rPr>
      </w:pPr>
    </w:p>
    <w:p>
      <w:pPr>
        <w:jc w:val="both"/>
        <w:ind w:left="40" w:right="59" w:firstLine="2"/>
        <w:spacing w:after="0" w:line="266" w:lineRule="auto"/>
        <w:tabs>
          <w:tab w:leader="none" w:pos="14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relied and expect to continue to rely on third parties to conduct our preclinical studies and clinical trials. If those third parties do not perform as contractually required, fail to satisfy legal or regulatory requirements, miss deadlines or terminate the relationship, our development programs could be delayed, more costly or unsuccessful, and we may never be able to seek or obtain regulatory approval for or commercialize our product candidates;</w:t>
      </w:r>
    </w:p>
    <w:p>
      <w:pPr>
        <w:spacing w:after="0" w:line="63" w:lineRule="exact"/>
        <w:rPr>
          <w:rFonts w:ascii="Times New Roman" w:cs="Times New Roman" w:eastAsia="Times New Roman" w:hAnsi="Times New Roman"/>
          <w:sz w:val="16"/>
          <w:szCs w:val="16"/>
          <w:color w:val="auto"/>
        </w:rPr>
      </w:pPr>
    </w:p>
    <w:p>
      <w:pPr>
        <w:jc w:val="both"/>
        <w:ind w:left="40" w:right="59" w:firstLine="2"/>
        <w:spacing w:after="0" w:line="266" w:lineRule="auto"/>
        <w:tabs>
          <w:tab w:leader="none" w:pos="14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rights to develop and commercialize our product candidates are subject, in large part, to the terms and conditions of licenses granted to us by others, such as Xencor, Inc. (“Xencor”). If we fail to comply with our obligations in the agreements under which we in-license or acquire development or commercialization rights to product candidates, or data from third parties, we could lose such rights that are important to our business;</w:t>
      </w:r>
    </w:p>
    <w:p>
      <w:pPr>
        <w:spacing w:after="0" w:line="63" w:lineRule="exact"/>
        <w:rPr>
          <w:rFonts w:ascii="Times New Roman" w:cs="Times New Roman" w:eastAsia="Times New Roman" w:hAnsi="Times New Roman"/>
          <w:sz w:val="16"/>
          <w:szCs w:val="16"/>
          <w:color w:val="auto"/>
        </w:rPr>
      </w:pPr>
    </w:p>
    <w:p>
      <w:pPr>
        <w:jc w:val="both"/>
        <w:ind w:left="40" w:right="59" w:firstLine="2"/>
        <w:spacing w:after="0" w:line="266" w:lineRule="auto"/>
        <w:tabs>
          <w:tab w:leader="none" w:pos="15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operations of our suppliers, many of which are located outside of the United States, including our current sole contract manufacturing organization (“CMO”) for drug substance and drug product, WuXi Biologics (Hong Kong) Limited (“WuXi Biologics”), which is located in China, are subject to additional risks that are beyond our control and that could harm our business, financial condition, results of operations and prospects;</w:t>
      </w:r>
    </w:p>
    <w:p>
      <w:pPr>
        <w:spacing w:after="0" w:line="63" w:lineRule="exact"/>
        <w:rPr>
          <w:rFonts w:ascii="Times New Roman" w:cs="Times New Roman" w:eastAsia="Times New Roman" w:hAnsi="Times New Roman"/>
          <w:sz w:val="16"/>
          <w:szCs w:val="16"/>
          <w:color w:val="auto"/>
        </w:rPr>
      </w:pPr>
    </w:p>
    <w:p>
      <w:pPr>
        <w:ind w:left="140" w:hanging="98"/>
        <w:spacing w:after="0"/>
        <w:tabs>
          <w:tab w:leader="none" w:pos="1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active and liquid trading market for our common stock may not be sustained; and</w:t>
      </w:r>
    </w:p>
    <w:p>
      <w:pPr>
        <w:spacing w:after="0" w:line="108" w:lineRule="exact"/>
        <w:rPr>
          <w:rFonts w:ascii="Times New Roman" w:cs="Times New Roman" w:eastAsia="Times New Roman" w:hAnsi="Times New Roman"/>
          <w:sz w:val="16"/>
          <w:szCs w:val="16"/>
          <w:color w:val="auto"/>
        </w:rPr>
      </w:pPr>
    </w:p>
    <w:p>
      <w:pPr>
        <w:ind w:left="140" w:hanging="98"/>
        <w:spacing w:after="0"/>
        <w:tabs>
          <w:tab w:leader="none" w:pos="1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price of our common stock may be volatile, which could result in substantial losses for investors.</w:t>
      </w:r>
    </w:p>
    <w:p>
      <w:pPr>
        <w:spacing w:after="0" w:line="109"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If we are unable to adequately address these and other risks we face, our business, results of operations, financial condition and prospects may be harmed.</w:t>
      </w:r>
    </w:p>
    <w:p>
      <w:pPr>
        <w:spacing w:after="0" w:line="3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NOTE REGARDING TRADEMARKS</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Zenas BioPharma word mark and logos are trademarks of Zenas BioPharma, Inc. or its affiliated companies.</w:t>
      </w:r>
    </w:p>
    <w:p>
      <w:pPr>
        <w:spacing w:after="0" w:line="207"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6"/>
          <w:szCs w:val="16"/>
          <w:color w:val="auto"/>
        </w:rPr>
        <w:t>We have, in certain cases, omitted the ® and ™ designations for these and other trademarks used in this Quarterly Report. Nevertheless, all rights to such trademarks are reserved. These and other trademarks referenced in this Quarterly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PART I —FINANCIAL INFORMATION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Zenas BioPharma,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6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80" w:type="dxa"/>
            <w:vAlign w:val="bottom"/>
          </w:tcPr>
          <w:p>
            <w:pPr>
              <w:spacing w:after="0"/>
              <w:rPr>
                <w:sz w:val="13"/>
                <w:szCs w:val="13"/>
                <w:color w:val="auto"/>
              </w:rPr>
            </w:pPr>
          </w:p>
        </w:tc>
        <w:tc>
          <w:tcPr>
            <w:tcW w:w="900" w:type="dxa"/>
            <w:vAlign w:val="bottom"/>
          </w:tcPr>
          <w:p>
            <w:pPr>
              <w:jc w:val="right"/>
              <w:ind w:right="4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26"/>
        </w:trPr>
        <w:tc>
          <w:tcPr>
            <w:tcW w:w="668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327"/>
              <w:spacing w:after="0" w:line="127"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287"/>
              <w:spacing w:after="0" w:line="127" w:lineRule="exact"/>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75"/>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360,038</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56,857</w:t>
            </w:r>
          </w:p>
        </w:tc>
        <w:tc>
          <w:tcPr>
            <w:tcW w:w="0" w:type="dxa"/>
            <w:vAlign w:val="bottom"/>
          </w:tcPr>
          <w:p>
            <w:pPr>
              <w:spacing w:after="0"/>
              <w:rPr>
                <w:sz w:val="1"/>
                <w:szCs w:val="1"/>
                <w:color w:val="auto"/>
              </w:rPr>
            </w:pPr>
          </w:p>
        </w:tc>
      </w:tr>
      <w:tr>
        <w:trPr>
          <w:trHeight w:val="183"/>
        </w:trPr>
        <w:tc>
          <w:tcPr>
            <w:tcW w:w="6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Short-term investments</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26,761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6,979</w:t>
            </w: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2,947</w:t>
            </w:r>
          </w:p>
        </w:tc>
        <w:tc>
          <w:tcPr>
            <w:tcW w:w="0" w:type="dxa"/>
            <w:vAlign w:val="bottom"/>
          </w:tcPr>
          <w:p>
            <w:pPr>
              <w:spacing w:after="0"/>
              <w:rPr>
                <w:sz w:val="1"/>
                <w:szCs w:val="1"/>
                <w:color w:val="auto"/>
              </w:rPr>
            </w:pPr>
          </w:p>
        </w:tc>
      </w:tr>
      <w:tr>
        <w:trPr>
          <w:trHeight w:val="175"/>
        </w:trPr>
        <w:tc>
          <w:tcPr>
            <w:tcW w:w="6680" w:type="dxa"/>
            <w:vAlign w:val="bottom"/>
          </w:tcPr>
          <w:p>
            <w:pPr>
              <w:ind w:left="200"/>
              <w:spacing w:after="0" w:line="171" w:lineRule="exact"/>
              <w:rPr>
                <w:sz w:val="20"/>
                <w:szCs w:val="20"/>
                <w:color w:val="auto"/>
              </w:rPr>
            </w:pPr>
            <w:r>
              <w:rPr>
                <w:rFonts w:ascii="Times New Roman" w:cs="Times New Roman" w:eastAsia="Times New Roman" w:hAnsi="Times New Roman"/>
                <w:sz w:val="15"/>
                <w:szCs w:val="15"/>
                <w:color w:val="auto"/>
              </w:rPr>
              <w:t>Total current assets</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393,778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59,804</w:t>
            </w: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0" w:type="dxa"/>
            <w:vAlign w:val="bottom"/>
          </w:tcPr>
          <w:p>
            <w:pPr>
              <w:spacing w:after="0"/>
              <w:rPr>
                <w:sz w:val="1"/>
                <w:szCs w:val="1"/>
                <w:color w:val="auto"/>
              </w:rPr>
            </w:pPr>
          </w:p>
        </w:tc>
      </w:tr>
      <w:tr>
        <w:trPr>
          <w:trHeight w:val="183"/>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right-of-use assets, net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821</w:t>
            </w: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0" w:type="dxa"/>
            <w:vAlign w:val="bottom"/>
          </w:tcPr>
          <w:p>
            <w:pPr>
              <w:spacing w:after="0"/>
              <w:rPr>
                <w:sz w:val="1"/>
                <w:szCs w:val="1"/>
                <w:color w:val="auto"/>
              </w:rPr>
            </w:pPr>
          </w:p>
        </w:tc>
      </w:tr>
      <w:tr>
        <w:trPr>
          <w:trHeight w:val="183"/>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9,020</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7,276</w:t>
            </w:r>
          </w:p>
        </w:tc>
        <w:tc>
          <w:tcPr>
            <w:tcW w:w="0" w:type="dxa"/>
            <w:vAlign w:val="bottom"/>
          </w:tcPr>
          <w:p>
            <w:pPr>
              <w:spacing w:after="0"/>
              <w:rPr>
                <w:sz w:val="1"/>
                <w:szCs w:val="1"/>
                <w:color w:val="auto"/>
              </w:rPr>
            </w:pPr>
          </w:p>
        </w:tc>
      </w:tr>
      <w:tr>
        <w:trPr>
          <w:trHeight w:val="175"/>
        </w:trPr>
        <w:tc>
          <w:tcPr>
            <w:tcW w:w="6680" w:type="dxa"/>
            <w:vAlign w:val="bottom"/>
            <w:tcBorders>
              <w:bottom w:val="single" w:sz="8" w:color="CCEEFF"/>
            </w:tcBorders>
            <w:shd w:val="clear" w:color="auto" w:fill="CCEEFF"/>
          </w:tcPr>
          <w:p>
            <w:pPr>
              <w:ind w:left="200"/>
              <w:spacing w:after="0" w:line="171" w:lineRule="exact"/>
              <w:rPr>
                <w:sz w:val="20"/>
                <w:szCs w:val="20"/>
                <w:color w:val="auto"/>
              </w:rPr>
            </w:pPr>
            <w:r>
              <w:rPr>
                <w:rFonts w:ascii="Times New Roman" w:cs="Times New Roman" w:eastAsia="Times New Roman" w:hAnsi="Times New Roman"/>
                <w:sz w:val="15"/>
                <w:szCs w:val="15"/>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403,432</w:t>
            </w: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68,180</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Convertible Preferred Stock and Stockholders’ Equity (Deficit)</w:t>
            </w: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Accounts payable (includes $594 and $21 owed to related parties, respectively)</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15,082</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5,396</w:t>
            </w: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Accrued expenses (includes $1,873 and $404 owed to related parties, respectively)</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28,531</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17,306</w:t>
            </w:r>
          </w:p>
        </w:tc>
        <w:tc>
          <w:tcPr>
            <w:tcW w:w="0" w:type="dxa"/>
            <w:vAlign w:val="bottom"/>
          </w:tcPr>
          <w:p>
            <w:pPr>
              <w:spacing w:after="0"/>
              <w:rPr>
                <w:sz w:val="1"/>
                <w:szCs w:val="1"/>
                <w:color w:val="auto"/>
              </w:rPr>
            </w:pPr>
          </w:p>
        </w:tc>
      </w:tr>
      <w:tr>
        <w:trPr>
          <w:trHeight w:val="183"/>
        </w:trPr>
        <w:tc>
          <w:tcPr>
            <w:tcW w:w="6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Operating lease liabilities, current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556</w:t>
            </w: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43,997</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23,258</w:t>
            </w:r>
          </w:p>
        </w:tc>
        <w:tc>
          <w:tcPr>
            <w:tcW w:w="0" w:type="dxa"/>
            <w:vAlign w:val="bottom"/>
          </w:tcPr>
          <w:p>
            <w:pPr>
              <w:spacing w:after="0"/>
              <w:rPr>
                <w:sz w:val="1"/>
                <w:szCs w:val="1"/>
                <w:color w:val="auto"/>
              </w:rPr>
            </w:pPr>
          </w:p>
        </w:tc>
      </w:tr>
      <w:tr>
        <w:trPr>
          <w:trHeight w:val="183"/>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liabilities, non-current</w:t>
            </w:r>
          </w:p>
        </w:tc>
        <w:tc>
          <w:tcPr>
            <w:tcW w:w="10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w:t>
            </w: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notes, at fair value</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20,300</w:t>
            </w:r>
          </w:p>
        </w:tc>
        <w:tc>
          <w:tcPr>
            <w:tcW w:w="0" w:type="dxa"/>
            <w:vAlign w:val="bottom"/>
          </w:tcPr>
          <w:p>
            <w:pPr>
              <w:spacing w:after="0"/>
              <w:rPr>
                <w:sz w:val="1"/>
                <w:szCs w:val="1"/>
                <w:color w:val="auto"/>
              </w:rPr>
            </w:pPr>
          </w:p>
        </w:tc>
      </w:tr>
      <w:tr>
        <w:trPr>
          <w:trHeight w:val="175"/>
        </w:trPr>
        <w:tc>
          <w:tcPr>
            <w:tcW w:w="6680" w:type="dxa"/>
            <w:vAlign w:val="bottom"/>
            <w:tcBorders>
              <w:bottom w:val="single" w:sz="8" w:color="CCEEFF"/>
            </w:tcBorders>
          </w:tcPr>
          <w:p>
            <w:pPr>
              <w:ind w:left="200"/>
              <w:spacing w:after="0" w:line="171" w:lineRule="exact"/>
              <w:rPr>
                <w:sz w:val="20"/>
                <w:szCs w:val="20"/>
                <w:color w:val="auto"/>
              </w:rPr>
            </w:pPr>
            <w:r>
              <w:rPr>
                <w:rFonts w:ascii="Times New Roman" w:cs="Times New Roman" w:eastAsia="Times New Roman" w:hAnsi="Times New Roman"/>
                <w:sz w:val="15"/>
                <w:szCs w:val="15"/>
                <w:color w:val="auto"/>
              </w:rPr>
              <w:t>Total liabilities</w:t>
            </w:r>
          </w:p>
        </w:tc>
        <w:tc>
          <w:tcPr>
            <w:tcW w:w="1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43,997</w:t>
            </w:r>
          </w:p>
        </w:tc>
        <w:tc>
          <w:tcPr>
            <w:tcW w:w="20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43,815</w:t>
            </w:r>
          </w:p>
        </w:tc>
        <w:tc>
          <w:tcPr>
            <w:tcW w:w="0" w:type="dxa"/>
            <w:vAlign w:val="bottom"/>
          </w:tcPr>
          <w:p>
            <w:pPr>
              <w:spacing w:after="0"/>
              <w:rPr>
                <w:sz w:val="1"/>
                <w:szCs w:val="1"/>
                <w:color w:val="auto"/>
              </w:rPr>
            </w:pPr>
          </w:p>
        </w:tc>
      </w:tr>
      <w:tr>
        <w:trPr>
          <w:trHeight w:val="175"/>
        </w:trPr>
        <w:tc>
          <w:tcPr>
            <w:tcW w:w="66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Commitments and contingencies (Note 14)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Convertible preferred stock:</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68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5"/>
                <w:szCs w:val="15"/>
                <w:color w:val="auto"/>
              </w:rPr>
              <w:t>Series Seed convertible preferred stock, par value $0.0001 per share; 0 and 1,785,714 shares authorized,</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issued and outstanding as of September 30, 2024 and December 31, 2023, respectively; liquidation</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preference of $0 as of September 30, 2024</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956</w:t>
            </w:r>
          </w:p>
        </w:tc>
        <w:tc>
          <w:tcPr>
            <w:tcW w:w="0" w:type="dxa"/>
            <w:vAlign w:val="bottom"/>
          </w:tcPr>
          <w:p>
            <w:pPr>
              <w:spacing w:after="0"/>
              <w:rPr>
                <w:sz w:val="1"/>
                <w:szCs w:val="1"/>
                <w:color w:val="auto"/>
              </w:rPr>
            </w:pPr>
          </w:p>
        </w:tc>
      </w:tr>
      <w:tr>
        <w:trPr>
          <w:trHeight w:val="171"/>
        </w:trPr>
        <w:tc>
          <w:tcPr>
            <w:tcW w:w="6680" w:type="dxa"/>
            <w:vAlign w:val="bottom"/>
          </w:tcPr>
          <w:p>
            <w:pPr>
              <w:ind w:left="100"/>
              <w:spacing w:after="0" w:line="171" w:lineRule="exact"/>
              <w:rPr>
                <w:sz w:val="20"/>
                <w:szCs w:val="20"/>
                <w:color w:val="auto"/>
              </w:rPr>
            </w:pPr>
            <w:r>
              <w:rPr>
                <w:rFonts w:ascii="Times New Roman" w:cs="Times New Roman" w:eastAsia="Times New Roman" w:hAnsi="Times New Roman"/>
                <w:sz w:val="15"/>
                <w:szCs w:val="15"/>
                <w:color w:val="auto"/>
              </w:rPr>
              <w:t>Series A convertible preferred stock, par value $0.0001 per share; 0 and 17,589,380 shares authorized,</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issued and outstanding as of September 30, 2024 and December 31, 2023, respectively; liquidation</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preference of $0 as of September 30, 2024</w:t>
            </w:r>
          </w:p>
        </w:tc>
        <w:tc>
          <w:tcPr>
            <w:tcW w:w="10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55,840</w:t>
            </w:r>
          </w:p>
        </w:tc>
        <w:tc>
          <w:tcPr>
            <w:tcW w:w="0" w:type="dxa"/>
            <w:vAlign w:val="bottom"/>
          </w:tcPr>
          <w:p>
            <w:pPr>
              <w:spacing w:after="0"/>
              <w:rPr>
                <w:sz w:val="1"/>
                <w:szCs w:val="1"/>
                <w:color w:val="auto"/>
              </w:rPr>
            </w:pPr>
          </w:p>
        </w:tc>
      </w:tr>
      <w:tr>
        <w:trPr>
          <w:trHeight w:val="173"/>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Series B convertible preferred stock, par value $0.0001 per share; 0 and 81,242,587 shares authorized,</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issued and outstanding as of September 30, 2024 and December 31, 2023, respectively; liquidation</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preference of $0 as of September 30, 2024</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193,290</w:t>
            </w:r>
          </w:p>
        </w:tc>
        <w:tc>
          <w:tcPr>
            <w:tcW w:w="0" w:type="dxa"/>
            <w:vAlign w:val="bottom"/>
          </w:tcPr>
          <w:p>
            <w:pPr>
              <w:spacing w:after="0"/>
              <w:rPr>
                <w:sz w:val="1"/>
                <w:szCs w:val="1"/>
                <w:color w:val="auto"/>
              </w:rPr>
            </w:pPr>
          </w:p>
        </w:tc>
      </w:tr>
      <w:tr>
        <w:trPr>
          <w:trHeight w:val="183"/>
        </w:trPr>
        <w:tc>
          <w:tcPr>
            <w:tcW w:w="6680" w:type="dxa"/>
            <w:vAlign w:val="bottom"/>
          </w:tcPr>
          <w:p>
            <w:pPr>
              <w:spacing w:after="0"/>
              <w:rPr>
                <w:sz w:val="20"/>
                <w:szCs w:val="20"/>
                <w:color w:val="auto"/>
              </w:rPr>
            </w:pPr>
            <w:r>
              <w:rPr>
                <w:rFonts w:ascii="Times New Roman" w:cs="Times New Roman" w:eastAsia="Times New Roman" w:hAnsi="Times New Roman"/>
                <w:sz w:val="15"/>
                <w:szCs w:val="15"/>
                <w:color w:val="auto"/>
              </w:rPr>
              <w:t>Stockholders’ equity (deficit):</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68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5"/>
                <w:szCs w:val="15"/>
                <w:color w:val="auto"/>
              </w:rPr>
              <w:t>Preferred stock, par value $0.0001 per share; 25,000,000 and no shares authorized as of September 30, 2024</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and December 31, 2023, respectively; no shares issued and outstanding as of September 30, 2024 and</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December 31, 2023</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1"/>
        </w:trPr>
        <w:tc>
          <w:tcPr>
            <w:tcW w:w="6680" w:type="dxa"/>
            <w:vAlign w:val="bottom"/>
          </w:tcPr>
          <w:p>
            <w:pPr>
              <w:ind w:left="100"/>
              <w:spacing w:after="0" w:line="171" w:lineRule="exact"/>
              <w:rPr>
                <w:sz w:val="20"/>
                <w:szCs w:val="20"/>
                <w:color w:val="auto"/>
              </w:rPr>
            </w:pPr>
            <w:r>
              <w:rPr>
                <w:rFonts w:ascii="Times New Roman" w:cs="Times New Roman" w:eastAsia="Times New Roman" w:hAnsi="Times New Roman"/>
                <w:sz w:val="15"/>
                <w:szCs w:val="15"/>
                <w:color w:val="auto"/>
              </w:rPr>
              <w:t>Common stock, par value $0.0001 per share; 175,000,000 shares authorized as of September 30, 2024 and</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December 31, 2023; 41,780,938 and 1,576,854 shares issued and outstanding as of September 30, 2024 and</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December 31, 2023, respectively</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694,163</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4,645</w:t>
            </w:r>
          </w:p>
        </w:tc>
        <w:tc>
          <w:tcPr>
            <w:tcW w:w="0" w:type="dxa"/>
            <w:vAlign w:val="bottom"/>
          </w:tcPr>
          <w:p>
            <w:pPr>
              <w:spacing w:after="0"/>
              <w:rPr>
                <w:sz w:val="1"/>
                <w:szCs w:val="1"/>
                <w:color w:val="auto"/>
              </w:rPr>
            </w:pPr>
          </w:p>
        </w:tc>
      </w:tr>
      <w:tr>
        <w:trPr>
          <w:trHeight w:val="183"/>
        </w:trPr>
        <w:tc>
          <w:tcPr>
            <w:tcW w:w="6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Accumulated deficit</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(334,786)</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(230,403)</w:t>
            </w:r>
          </w:p>
        </w:tc>
        <w:tc>
          <w:tcPr>
            <w:tcW w:w="0" w:type="dxa"/>
            <w:vAlign w:val="bottom"/>
          </w:tcPr>
          <w:p>
            <w:pPr>
              <w:spacing w:after="0"/>
              <w:rPr>
                <w:sz w:val="1"/>
                <w:szCs w:val="1"/>
                <w:color w:val="auto"/>
              </w:rPr>
            </w:pPr>
          </w:p>
        </w:tc>
      </w:tr>
      <w:tr>
        <w:trPr>
          <w:trHeight w:val="175"/>
        </w:trPr>
        <w:tc>
          <w:tcPr>
            <w:tcW w:w="6680" w:type="dxa"/>
            <w:vAlign w:val="bottom"/>
            <w:tcBorders>
              <w:bottom w:val="single" w:sz="8" w:color="CCEEFF"/>
            </w:tcBorders>
          </w:tcPr>
          <w:p>
            <w:pPr>
              <w:ind w:left="200"/>
              <w:spacing w:after="0" w:line="171" w:lineRule="exact"/>
              <w:rPr>
                <w:sz w:val="20"/>
                <w:szCs w:val="20"/>
                <w:color w:val="auto"/>
              </w:rPr>
            </w:pPr>
            <w:r>
              <w:rPr>
                <w:rFonts w:ascii="Times New Roman" w:cs="Times New Roman" w:eastAsia="Times New Roman" w:hAnsi="Times New Roman"/>
                <w:sz w:val="15"/>
                <w:szCs w:val="15"/>
                <w:color w:val="auto"/>
              </w:rPr>
              <w:t>Total stockholders’ equity (deficit)</w:t>
            </w:r>
          </w:p>
        </w:tc>
        <w:tc>
          <w:tcPr>
            <w:tcW w:w="1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359,435</w:t>
            </w:r>
          </w:p>
        </w:tc>
        <w:tc>
          <w:tcPr>
            <w:tcW w:w="20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(225,721)</w:t>
            </w:r>
          </w:p>
        </w:tc>
        <w:tc>
          <w:tcPr>
            <w:tcW w:w="0" w:type="dxa"/>
            <w:vAlign w:val="bottom"/>
          </w:tcPr>
          <w:p>
            <w:pPr>
              <w:spacing w:after="0"/>
              <w:rPr>
                <w:sz w:val="1"/>
                <w:szCs w:val="1"/>
                <w:color w:val="auto"/>
              </w:rPr>
            </w:pPr>
          </w:p>
        </w:tc>
      </w:tr>
      <w:tr>
        <w:trPr>
          <w:trHeight w:val="175"/>
        </w:trPr>
        <w:tc>
          <w:tcPr>
            <w:tcW w:w="6680" w:type="dxa"/>
            <w:vAlign w:val="bottom"/>
            <w:tcBorders>
              <w:bottom w:val="single" w:sz="8" w:color="CCEEFF"/>
            </w:tcBorders>
            <w:shd w:val="clear" w:color="auto" w:fill="CCEEFF"/>
          </w:tcPr>
          <w:p>
            <w:pPr>
              <w:ind w:left="200"/>
              <w:spacing w:after="0" w:line="171" w:lineRule="exact"/>
              <w:rPr>
                <w:sz w:val="20"/>
                <w:szCs w:val="20"/>
                <w:color w:val="auto"/>
              </w:rPr>
            </w:pPr>
            <w:r>
              <w:rPr>
                <w:rFonts w:ascii="Times New Roman" w:cs="Times New Roman" w:eastAsia="Times New Roman" w:hAnsi="Times New Roman"/>
                <w:sz w:val="15"/>
                <w:szCs w:val="15"/>
                <w:color w:val="auto"/>
              </w:rPr>
              <w:t>Total liabilities, convertible preferred stock and stockholders’ equity (deficit)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403,432</w:t>
            </w: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68,180</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7309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Zenas BioPharma,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 Income</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5"/>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60" w:type="dxa"/>
            <w:vAlign w:val="bottom"/>
          </w:tcPr>
          <w:p>
            <w:pPr>
              <w:spacing w:after="0"/>
              <w:rPr>
                <w:sz w:val="12"/>
                <w:szCs w:val="12"/>
                <w:color w:val="auto"/>
              </w:rPr>
            </w:pPr>
          </w:p>
        </w:tc>
        <w:tc>
          <w:tcPr>
            <w:tcW w:w="1840" w:type="dxa"/>
            <w:vAlign w:val="bottom"/>
            <w:gridSpan w:val="4"/>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6"/>
        </w:trPr>
        <w:tc>
          <w:tcPr>
            <w:tcW w:w="4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5"/>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tcPr>
          <w:p>
            <w:pPr>
              <w:spacing w:after="0"/>
              <w:rPr>
                <w:sz w:val="13"/>
                <w:szCs w:val="13"/>
                <w:color w:val="auto"/>
              </w:rPr>
            </w:pPr>
          </w:p>
        </w:tc>
        <w:tc>
          <w:tcPr>
            <w:tcW w:w="1840" w:type="dxa"/>
            <w:vAlign w:val="bottom"/>
            <w:gridSpan w:val="4"/>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26"/>
        </w:trPr>
        <w:tc>
          <w:tcPr>
            <w:tcW w:w="484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ind w:right="261"/>
              <w:spacing w:after="0" w:line="127"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ind w:right="240"/>
              <w:spacing w:after="0" w:line="127"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ind w:right="261"/>
              <w:spacing w:after="0" w:line="127"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ind w:right="260"/>
              <w:spacing w:after="0" w:line="127" w:lineRule="exact"/>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8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Collaboration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187"/>
        </w:trPr>
        <w:tc>
          <w:tcPr>
            <w:tcW w:w="48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840" w:type="dxa"/>
            <w:vAlign w:val="bottom"/>
            <w:shd w:val="clear" w:color="auto" w:fill="CCEEFF"/>
          </w:tcPr>
          <w:p>
            <w:pPr>
              <w:ind w:left="100"/>
              <w:spacing w:after="0" w:line="179" w:lineRule="exact"/>
              <w:rPr>
                <w:sz w:val="20"/>
                <w:szCs w:val="20"/>
                <w:color w:val="auto"/>
              </w:rPr>
            </w:pPr>
            <w:r>
              <w:rPr>
                <w:rFonts w:ascii="Times New Roman" w:cs="Times New Roman" w:eastAsia="Times New Roman" w:hAnsi="Times New Roman"/>
                <w:sz w:val="16"/>
                <w:szCs w:val="16"/>
                <w:color w:val="auto"/>
              </w:rPr>
              <w:t>Research and development (includes $1,375, $612, $3,247 and $2,704</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from related parties, respectively)</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39,615</w:t>
            </w:r>
          </w:p>
        </w:tc>
        <w:tc>
          <w:tcPr>
            <w:tcW w:w="0" w:type="dxa"/>
            <w:vAlign w:val="bottom"/>
          </w:tcPr>
          <w:p>
            <w:pPr>
              <w:spacing w:after="0"/>
              <w:rPr>
                <w:sz w:val="1"/>
                <w:szCs w:val="1"/>
                <w:color w:val="auto"/>
              </w:rPr>
            </w:pPr>
          </w:p>
        </w:tc>
      </w:tr>
      <w:tr>
        <w:trPr>
          <w:trHeight w:val="179"/>
        </w:trPr>
        <w:tc>
          <w:tcPr>
            <w:tcW w:w="4840" w:type="dxa"/>
            <w:vAlign w:val="bottom"/>
          </w:tcPr>
          <w:p>
            <w:pPr>
              <w:ind w:left="100"/>
              <w:spacing w:after="0" w:line="179" w:lineRule="exact"/>
              <w:rPr>
                <w:sz w:val="20"/>
                <w:szCs w:val="20"/>
                <w:color w:val="auto"/>
              </w:rPr>
            </w:pPr>
            <w:r>
              <w:rPr>
                <w:rFonts w:ascii="Times New Roman" w:cs="Times New Roman" w:eastAsia="Times New Roman" w:hAnsi="Times New Roman"/>
                <w:sz w:val="16"/>
                <w:szCs w:val="16"/>
                <w:color w:val="auto"/>
              </w:rPr>
              <w:t>General and administrative (includes $0, $3, $0 and $71 from related</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parties, respectively)</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12,753</w:t>
            </w:r>
          </w:p>
        </w:tc>
        <w:tc>
          <w:tcPr>
            <w:tcW w:w="0" w:type="dxa"/>
            <w:vAlign w:val="bottom"/>
          </w:tcPr>
          <w:p>
            <w:pPr>
              <w:spacing w:after="0"/>
              <w:rPr>
                <w:sz w:val="1"/>
                <w:szCs w:val="1"/>
                <w:color w:val="auto"/>
              </w:rPr>
            </w:pPr>
          </w:p>
        </w:tc>
      </w:tr>
      <w:tr>
        <w:trPr>
          <w:trHeight w:val="196"/>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Acquired in-process research and development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87"/>
        </w:trPr>
        <w:tc>
          <w:tcPr>
            <w:tcW w:w="4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40,984</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14,376</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108,265</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62,368</w:t>
            </w:r>
          </w:p>
        </w:tc>
        <w:tc>
          <w:tcPr>
            <w:tcW w:w="0" w:type="dxa"/>
            <w:vAlign w:val="bottom"/>
          </w:tcPr>
          <w:p>
            <w:pPr>
              <w:spacing w:after="0"/>
              <w:rPr>
                <w:sz w:val="1"/>
                <w:szCs w:val="1"/>
                <w:color w:val="auto"/>
              </w:rPr>
            </w:pPr>
          </w:p>
        </w:tc>
      </w:tr>
      <w:tr>
        <w:trPr>
          <w:trHeight w:val="18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(108,265)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(12,368)</w:t>
            </w:r>
          </w:p>
        </w:tc>
        <w:tc>
          <w:tcPr>
            <w:tcW w:w="0" w:type="dxa"/>
            <w:vAlign w:val="bottom"/>
          </w:tcPr>
          <w:p>
            <w:pPr>
              <w:spacing w:after="0"/>
              <w:rPr>
                <w:sz w:val="1"/>
                <w:szCs w:val="1"/>
                <w:color w:val="auto"/>
              </w:rPr>
            </w:pPr>
          </w:p>
        </w:tc>
      </w:tr>
      <w:tr>
        <w:trPr>
          <w:trHeight w:val="187"/>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Fair value adjustments to convertible notes</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(846)</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4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187"/>
        </w:trPr>
        <w:tc>
          <w:tcPr>
            <w:tcW w:w="48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27"/>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(12,537)</w:t>
            </w:r>
          </w:p>
        </w:tc>
        <w:tc>
          <w:tcPr>
            <w:tcW w:w="0" w:type="dxa"/>
            <w:vAlign w:val="bottom"/>
          </w:tcPr>
          <w:p>
            <w:pPr>
              <w:spacing w:after="0"/>
              <w:rPr>
                <w:sz w:val="1"/>
                <w:szCs w:val="1"/>
                <w:color w:val="auto"/>
              </w:rPr>
            </w:pPr>
          </w:p>
        </w:tc>
      </w:tr>
      <w:tr>
        <w:trPr>
          <w:trHeight w:val="172"/>
        </w:trPr>
        <w:tc>
          <w:tcPr>
            <w:tcW w:w="484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Net (loss) income per share attributable to common stockholders - basic</w:t>
            </w:r>
          </w:p>
        </w:tc>
        <w:tc>
          <w:tcPr>
            <w:tcW w:w="14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(5.02)</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2.42</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(28.83)</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(8.21)</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line="171" w:lineRule="exact"/>
              <w:rPr>
                <w:sz w:val="20"/>
                <w:szCs w:val="20"/>
                <w:color w:val="auto"/>
              </w:rPr>
            </w:pPr>
            <w:r>
              <w:rPr>
                <w:rFonts w:ascii="Times New Roman" w:cs="Times New Roman" w:eastAsia="Times New Roman" w:hAnsi="Times New Roman"/>
                <w:sz w:val="16"/>
                <w:szCs w:val="16"/>
                <w:color w:val="auto"/>
              </w:rPr>
              <w:t>Net (loss) income per share attributable to common stockholders -</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840" w:type="dxa"/>
            <w:vAlign w:val="bottom"/>
            <w:vMerge w:val="continue"/>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(5.02)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(28.83)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0" w:type="dxa"/>
            <w:vAlign w:val="bottom"/>
          </w:tcPr>
          <w:p>
            <w:pPr>
              <w:spacing w:after="0"/>
              <w:rPr>
                <w:sz w:val="1"/>
                <w:szCs w:val="1"/>
                <w:color w:val="auto"/>
              </w:rPr>
            </w:pPr>
          </w:p>
        </w:tc>
      </w:tr>
      <w:tr>
        <w:trPr>
          <w:trHeight w:val="240"/>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840" w:type="dxa"/>
            <w:vAlign w:val="bottom"/>
            <w:tcBorders>
              <w:top w:val="single" w:sz="8" w:color="CCEEFF"/>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Weighted-average common stock outstanding - basic</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7,697,695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1,537,918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3,621,276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1,527,730</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Weighted-average common stock outstanding - diluted</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4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7,697,695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1,898,391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3,621,276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6"/>
                <w:szCs w:val="16"/>
                <w:color w:val="auto"/>
              </w:rPr>
              <w:t>1,527,730</w:t>
            </w:r>
          </w:p>
        </w:tc>
        <w:tc>
          <w:tcPr>
            <w:tcW w:w="0" w:type="dxa"/>
            <w:vAlign w:val="bottom"/>
          </w:tcPr>
          <w:p>
            <w:pPr>
              <w:spacing w:after="0"/>
              <w:rPr>
                <w:sz w:val="1"/>
                <w:szCs w:val="1"/>
                <w:color w:val="auto"/>
              </w:rPr>
            </w:pPr>
          </w:p>
        </w:tc>
      </w:tr>
      <w:tr>
        <w:trPr>
          <w:trHeight w:val="172"/>
        </w:trPr>
        <w:tc>
          <w:tcPr>
            <w:tcW w:w="48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Comprehensive loss: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(38,606)</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(104,384)</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(12,537)</w:t>
            </w:r>
          </w:p>
        </w:tc>
        <w:tc>
          <w:tcPr>
            <w:tcW w:w="0" w:type="dxa"/>
            <w:vAlign w:val="bottom"/>
          </w:tcPr>
          <w:p>
            <w:pPr>
              <w:spacing w:after="0"/>
              <w:rPr>
                <w:sz w:val="1"/>
                <w:szCs w:val="1"/>
                <w:color w:val="auto"/>
              </w:rPr>
            </w:pPr>
          </w:p>
        </w:tc>
      </w:tr>
      <w:tr>
        <w:trPr>
          <w:trHeight w:val="19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187"/>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(loss)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(38,656)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(104,368)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(12,372)</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Zenas BioPharma,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Convertible Preferred Stock and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Stockholders’ Equity (Deficit)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4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1"/>
                <w:szCs w:val="11"/>
                <w:b w:val="1"/>
                <w:bCs w:val="1"/>
                <w:color w:val="auto"/>
              </w:rPr>
              <w:t>Convertible Preferred Stock</w:t>
            </w: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4"/>
        </w:trPr>
        <w:tc>
          <w:tcPr>
            <w:tcW w:w="1440" w:type="dxa"/>
            <w:vAlign w:val="bottom"/>
          </w:tcPr>
          <w:p>
            <w:pPr>
              <w:spacing w:after="0"/>
              <w:rPr>
                <w:sz w:val="9"/>
                <w:szCs w:val="9"/>
                <w:color w:val="auto"/>
              </w:rPr>
            </w:pPr>
          </w:p>
        </w:tc>
        <w:tc>
          <w:tcPr>
            <w:tcW w:w="840" w:type="dxa"/>
            <w:vAlign w:val="bottom"/>
            <w:gridSpan w:val="3"/>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Series Seed</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4"/>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Series A</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Borders>
              <w:right w:val="single" w:sz="8" w:color="auto"/>
            </w:tcBorders>
            <w:gridSpan w:val="5"/>
          </w:tcPr>
          <w:p>
            <w:pPr>
              <w:ind w:left="380"/>
              <w:spacing w:after="0" w:line="114" w:lineRule="exact"/>
              <w:rPr>
                <w:sz w:val="20"/>
                <w:szCs w:val="20"/>
                <w:color w:val="auto"/>
              </w:rPr>
            </w:pPr>
            <w:r>
              <w:rPr>
                <w:rFonts w:ascii="Times New Roman" w:cs="Times New Roman" w:eastAsia="Times New Roman" w:hAnsi="Times New Roman"/>
                <w:sz w:val="11"/>
                <w:szCs w:val="11"/>
                <w:b w:val="1"/>
                <w:bCs w:val="1"/>
                <w:color w:val="auto"/>
              </w:rPr>
              <w:t>Series B</w:t>
            </w:r>
          </w:p>
        </w:tc>
        <w:tc>
          <w:tcPr>
            <w:tcW w:w="40" w:type="dxa"/>
            <w:vAlign w:val="bottom"/>
          </w:tcPr>
          <w:p>
            <w:pPr>
              <w:spacing w:after="0"/>
              <w:rPr>
                <w:sz w:val="9"/>
                <w:szCs w:val="9"/>
                <w:color w:val="auto"/>
              </w:rPr>
            </w:pPr>
          </w:p>
        </w:tc>
        <w:tc>
          <w:tcPr>
            <w:tcW w:w="940" w:type="dxa"/>
            <w:vAlign w:val="bottom"/>
            <w:gridSpan w:val="3"/>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ind w:right="63"/>
              <w:spacing w:after="0" w:line="114" w:lineRule="exact"/>
              <w:rPr>
                <w:sz w:val="20"/>
                <w:szCs w:val="20"/>
                <w:color w:val="auto"/>
              </w:rPr>
            </w:pPr>
            <w:r>
              <w:rPr>
                <w:rFonts w:ascii="Times New Roman" w:cs="Times New Roman" w:eastAsia="Times New Roman" w:hAnsi="Times New Roman"/>
                <w:sz w:val="11"/>
                <w:szCs w:val="11"/>
                <w:b w:val="1"/>
                <w:bCs w:val="1"/>
                <w:color w:val="auto"/>
              </w:rPr>
              <w:t>Paid-in</w:t>
            </w:r>
          </w:p>
        </w:tc>
        <w:tc>
          <w:tcPr>
            <w:tcW w:w="860" w:type="dxa"/>
            <w:vAlign w:val="bottom"/>
            <w:gridSpan w:val="3"/>
          </w:tcPr>
          <w:p>
            <w:pPr>
              <w:jc w:val="center"/>
              <w:ind w:left="43"/>
              <w:spacing w:after="0" w:line="114"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820" w:type="dxa"/>
            <w:vAlign w:val="bottom"/>
            <w:gridSpan w:val="4"/>
          </w:tcPr>
          <w:p>
            <w:pPr>
              <w:ind w:left="120"/>
              <w:spacing w:after="0" w:line="114"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720" w:type="dxa"/>
            <w:vAlign w:val="bottom"/>
            <w:gridSpan w:val="3"/>
          </w:tcPr>
          <w:p>
            <w:pPr>
              <w:ind w:left="60"/>
              <w:spacing w:after="0" w:line="114" w:lineRule="exact"/>
              <w:rPr>
                <w:sz w:val="20"/>
                <w:szCs w:val="20"/>
                <w:color w:val="auto"/>
              </w:rPr>
            </w:pPr>
            <w:r>
              <w:rPr>
                <w:rFonts w:ascii="Times New Roman" w:cs="Times New Roman" w:eastAsia="Times New Roman" w:hAnsi="Times New Roman"/>
                <w:sz w:val="11"/>
                <w:szCs w:val="11"/>
                <w:b w:val="1"/>
                <w:bCs w:val="1"/>
                <w:color w:val="auto"/>
                <w:w w:val="99"/>
              </w:rPr>
              <w:t>Stockholders'</w:t>
            </w:r>
          </w:p>
        </w:tc>
        <w:tc>
          <w:tcPr>
            <w:tcW w:w="0" w:type="dxa"/>
            <w:vAlign w:val="bottom"/>
          </w:tcPr>
          <w:p>
            <w:pPr>
              <w:spacing w:after="0"/>
              <w:rPr>
                <w:sz w:val="1"/>
                <w:szCs w:val="1"/>
                <w:color w:val="auto"/>
              </w:rPr>
            </w:pPr>
          </w:p>
        </w:tc>
      </w:tr>
      <w:tr>
        <w:trPr>
          <w:trHeight w:val="114"/>
        </w:trPr>
        <w:tc>
          <w:tcPr>
            <w:tcW w:w="1440" w:type="dxa"/>
            <w:vAlign w:val="bottom"/>
            <w:tcBorders>
              <w:bottom w:val="single" w:sz="8" w:color="CCEEFF"/>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23"/>
              <w:spacing w:after="0" w:line="114"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top w:val="single" w:sz="8" w:color="auto"/>
              <w:bottom w:val="single" w:sz="8" w:color="CCEEFF"/>
            </w:tcBorders>
          </w:tcPr>
          <w:p>
            <w:pPr>
              <w:spacing w:after="0"/>
              <w:rPr>
                <w:sz w:val="9"/>
                <w:szCs w:val="9"/>
                <w:color w:val="auto"/>
              </w:rPr>
            </w:pPr>
          </w:p>
        </w:tc>
        <w:tc>
          <w:tcPr>
            <w:tcW w:w="460" w:type="dxa"/>
            <w:vAlign w:val="bottom"/>
            <w:tcBorders>
              <w:top w:val="single" w:sz="8" w:color="auto"/>
              <w:bottom w:val="single" w:sz="8" w:color="auto"/>
            </w:tcBorders>
            <w:gridSpan w:val="2"/>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Borders>
              <w:bottom w:val="single" w:sz="8" w:color="CCEEFF"/>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23"/>
              <w:spacing w:after="0" w:line="114" w:lineRule="exact"/>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Borders>
              <w:top w:val="single" w:sz="8" w:color="auto"/>
              <w:bottom w:val="single" w:sz="8" w:color="auto"/>
            </w:tcBorders>
          </w:tcPr>
          <w:p>
            <w:pPr>
              <w:spacing w:after="0"/>
              <w:rPr>
                <w:sz w:val="9"/>
                <w:szCs w:val="9"/>
                <w:color w:val="auto"/>
              </w:rPr>
            </w:pPr>
          </w:p>
        </w:tc>
        <w:tc>
          <w:tcPr>
            <w:tcW w:w="120" w:type="dxa"/>
            <w:vAlign w:val="bottom"/>
            <w:tcBorders>
              <w:top w:val="single" w:sz="8" w:color="auto"/>
              <w:bottom w:val="single" w:sz="8" w:color="CCEEFF"/>
            </w:tcBorders>
          </w:tcPr>
          <w:p>
            <w:pPr>
              <w:spacing w:after="0"/>
              <w:rPr>
                <w:sz w:val="9"/>
                <w:szCs w:val="9"/>
                <w:color w:val="auto"/>
              </w:rPr>
            </w:pPr>
          </w:p>
        </w:tc>
        <w:tc>
          <w:tcPr>
            <w:tcW w:w="460" w:type="dxa"/>
            <w:vAlign w:val="bottom"/>
            <w:tcBorders>
              <w:top w:val="single" w:sz="8" w:color="auto"/>
              <w:bottom w:val="single" w:sz="8" w:color="auto"/>
            </w:tcBorders>
            <w:gridSpan w:val="2"/>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Borders>
              <w:bottom w:val="single" w:sz="8" w:color="CCEEFF"/>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63"/>
              <w:spacing w:after="0" w:line="114"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bottom w:val="single" w:sz="8" w:color="CCEEFF"/>
            </w:tcBorders>
          </w:tcPr>
          <w:p>
            <w:pPr>
              <w:spacing w:after="0"/>
              <w:rPr>
                <w:sz w:val="9"/>
                <w:szCs w:val="9"/>
                <w:color w:val="auto"/>
              </w:rPr>
            </w:pPr>
          </w:p>
        </w:tc>
        <w:tc>
          <w:tcPr>
            <w:tcW w:w="20" w:type="dxa"/>
            <w:vAlign w:val="bottom"/>
            <w:tcBorders>
              <w:top w:val="single" w:sz="8" w:color="auto"/>
              <w:bottom w:val="single" w:sz="8" w:color="CCEEFF"/>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3"/>
              <w:spacing w:after="0" w:line="114"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Borders>
              <w:bottom w:val="single" w:sz="8" w:color="CCEEFF"/>
              <w:right w:val="single" w:sz="8" w:color="auto"/>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43"/>
              <w:spacing w:after="0" w:line="114"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top w:val="single" w:sz="8" w:color="auto"/>
              <w:bottom w:val="single" w:sz="8" w:color="CCEEFF"/>
            </w:tcBorders>
          </w:tcPr>
          <w:p>
            <w:pPr>
              <w:spacing w:after="0"/>
              <w:rPr>
                <w:sz w:val="9"/>
                <w:szCs w:val="9"/>
                <w:color w:val="auto"/>
              </w:rPr>
            </w:pPr>
          </w:p>
        </w:tc>
        <w:tc>
          <w:tcPr>
            <w:tcW w:w="460" w:type="dxa"/>
            <w:vAlign w:val="bottom"/>
            <w:tcBorders>
              <w:top w:val="single" w:sz="8" w:color="auto"/>
              <w:bottom w:val="single" w:sz="8" w:color="auto"/>
            </w:tcBorders>
            <w:gridSpan w:val="2"/>
          </w:tcPr>
          <w:p>
            <w:pPr>
              <w:ind w:left="40"/>
              <w:spacing w:after="0" w:line="114"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63"/>
              <w:spacing w:after="0" w:line="114"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gridSpan w:val="2"/>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rPr>
              <w:t>Income (Loss)</w:t>
            </w:r>
          </w:p>
        </w:tc>
        <w:tc>
          <w:tcPr>
            <w:tcW w:w="1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03"/>
              <w:spacing w:after="0" w:line="114" w:lineRule="exact"/>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03"/>
              <w:spacing w:after="0" w:line="114" w:lineRule="exact"/>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84"/>
        </w:trPr>
        <w:tc>
          <w:tcPr>
            <w:tcW w:w="144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9"/>
                <w:szCs w:val="9"/>
                <w:b w:val="1"/>
                <w:bCs w:val="1"/>
                <w:color w:val="auto"/>
              </w:rPr>
              <w:t>Balance at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1,785,714</w:t>
            </w:r>
          </w:p>
        </w:tc>
        <w:tc>
          <w:tcPr>
            <w:tcW w:w="340" w:type="dxa"/>
            <w:vAlign w:val="bottom"/>
            <w:gridSpan w:val="2"/>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956</w:t>
            </w:r>
          </w:p>
        </w:tc>
        <w:tc>
          <w:tcPr>
            <w:tcW w:w="12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17,589,380</w:t>
            </w:r>
          </w:p>
        </w:tc>
        <w:tc>
          <w:tcPr>
            <w:tcW w:w="260" w:type="dxa"/>
            <w:vAlign w:val="bottom"/>
            <w:gridSpan w:val="3"/>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55,840</w:t>
            </w:r>
          </w:p>
        </w:tc>
        <w:tc>
          <w:tcPr>
            <w:tcW w:w="12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77,052,632</w:t>
            </w:r>
          </w:p>
        </w:tc>
        <w:tc>
          <w:tcPr>
            <w:tcW w:w="100" w:type="dxa"/>
            <w:vAlign w:val="bottom"/>
            <w:shd w:val="clear" w:color="auto" w:fill="CCEEFF"/>
          </w:tcPr>
          <w:p>
            <w:pPr>
              <w:spacing w:after="0"/>
              <w:rPr>
                <w:sz w:val="7"/>
                <w:szCs w:val="7"/>
                <w:color w:val="auto"/>
              </w:rPr>
            </w:pPr>
          </w:p>
        </w:tc>
        <w:tc>
          <w:tcPr>
            <w:tcW w:w="520" w:type="dxa"/>
            <w:vAlign w:val="bottom"/>
            <w:gridSpan w:val="2"/>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9"/>
              </w:rPr>
              <w:t>$ 183,290</w:t>
            </w:r>
          </w:p>
        </w:tc>
        <w:tc>
          <w:tcPr>
            <w:tcW w:w="100" w:type="dxa"/>
            <w:vAlign w:val="bottom"/>
            <w:tcBorders>
              <w:right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1,549,275</w:t>
            </w:r>
          </w:p>
        </w:tc>
        <w:tc>
          <w:tcPr>
            <w:tcW w:w="420" w:type="dxa"/>
            <w:vAlign w:val="bottom"/>
            <w:gridSpan w:val="2"/>
            <w:vMerge w:val="restart"/>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1,034</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240" w:type="dxa"/>
            <w:vAlign w:val="bottom"/>
            <w:gridSpan w:val="2"/>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(193,279)</w:t>
            </w:r>
          </w:p>
        </w:tc>
        <w:tc>
          <w:tcPr>
            <w:tcW w:w="60" w:type="dxa"/>
            <w:vAlign w:val="bottom"/>
            <w:shd w:val="clear" w:color="auto" w:fill="CCEEFF"/>
          </w:tcPr>
          <w:p>
            <w:pPr>
              <w:spacing w:after="0"/>
              <w:rPr>
                <w:sz w:val="7"/>
                <w:szCs w:val="7"/>
                <w:color w:val="auto"/>
              </w:rPr>
            </w:pPr>
          </w:p>
        </w:tc>
        <w:tc>
          <w:tcPr>
            <w:tcW w:w="1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(192,286)</w:t>
            </w:r>
          </w:p>
        </w:tc>
        <w:tc>
          <w:tcPr>
            <w:tcW w:w="0" w:type="dxa"/>
            <w:vAlign w:val="bottom"/>
          </w:tcPr>
          <w:p>
            <w:pPr>
              <w:spacing w:after="0"/>
              <w:rPr>
                <w:sz w:val="1"/>
                <w:szCs w:val="1"/>
                <w:color w:val="auto"/>
              </w:rPr>
            </w:pPr>
          </w:p>
        </w:tc>
      </w:tr>
      <w:tr>
        <w:trPr>
          <w:trHeight w:val="128"/>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500" w:type="dxa"/>
            <w:vAlign w:val="bottom"/>
            <w:vMerge w:val="continue"/>
            <w:shd w:val="clear" w:color="auto" w:fill="CCEEFF"/>
          </w:tcPr>
          <w:p>
            <w:pPr>
              <w:spacing w:after="0"/>
              <w:rPr>
                <w:sz w:val="11"/>
                <w:szCs w:val="11"/>
                <w:color w:val="auto"/>
              </w:rPr>
            </w:pPr>
          </w:p>
        </w:tc>
        <w:tc>
          <w:tcPr>
            <w:tcW w:w="340" w:type="dxa"/>
            <w:vAlign w:val="bottom"/>
            <w:gridSpan w:val="2"/>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260" w:type="dxa"/>
            <w:vAlign w:val="bottom"/>
            <w:gridSpan w:val="3"/>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420" w:type="dxa"/>
            <w:vAlign w:val="bottom"/>
            <w:gridSpan w:val="2"/>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60" w:type="dxa"/>
            <w:vAlign w:val="bottom"/>
            <w:gridSpan w:val="2"/>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gridSpan w:val="2"/>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bottom w:val="single" w:sz="8" w:color="CCEEFF"/>
            </w:tcBorders>
            <w:vMerge w:val="restart"/>
          </w:tcPr>
          <w:p>
            <w:pPr>
              <w:spacing w:after="0" w:line="99" w:lineRule="exact"/>
              <w:rPr>
                <w:sz w:val="20"/>
                <w:szCs w:val="20"/>
                <w:color w:val="auto"/>
              </w:rPr>
            </w:pPr>
            <w:r>
              <w:rPr>
                <w:rFonts w:ascii="Times New Roman" w:cs="Times New Roman" w:eastAsia="Times New Roman" w:hAnsi="Times New Roman"/>
                <w:sz w:val="11"/>
                <w:szCs w:val="11"/>
                <w:color w:val="auto"/>
              </w:rPr>
              <w:t>Exercises of common stock</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14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440" w:type="dxa"/>
            <w:vAlign w:val="bottom"/>
          </w:tcPr>
          <w:p>
            <w:pPr>
              <w:spacing w:after="0"/>
              <w:rPr>
                <w:sz w:val="20"/>
                <w:szCs w:val="20"/>
                <w:color w:val="auto"/>
              </w:rPr>
            </w:pPr>
            <w:r>
              <w:rPr>
                <w:rFonts w:ascii="Times New Roman" w:cs="Times New Roman" w:eastAsia="Times New Roman" w:hAnsi="Times New Roman"/>
                <w:sz w:val="11"/>
                <w:szCs w:val="11"/>
                <w:color w:val="auto"/>
              </w:rPr>
              <w:t>options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15,835</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0" w:type="dxa"/>
            <w:vAlign w:val="bottom"/>
          </w:tcPr>
          <w:p>
            <w:pPr>
              <w:spacing w:after="0"/>
              <w:rPr>
                <w:sz w:val="1"/>
                <w:szCs w:val="1"/>
                <w:color w:val="auto"/>
              </w:rPr>
            </w:pPr>
          </w:p>
        </w:tc>
      </w:tr>
      <w:tr>
        <w:trPr>
          <w:trHeight w:val="106"/>
        </w:trPr>
        <w:tc>
          <w:tcPr>
            <w:tcW w:w="14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Stock-based compensation</w:t>
            </w: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expense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687</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687</w:t>
            </w:r>
          </w:p>
        </w:tc>
        <w:tc>
          <w:tcPr>
            <w:tcW w:w="0" w:type="dxa"/>
            <w:vAlign w:val="bottom"/>
          </w:tcPr>
          <w:p>
            <w:pPr>
              <w:spacing w:after="0"/>
              <w:rPr>
                <w:sz w:val="1"/>
                <w:szCs w:val="1"/>
                <w:color w:val="auto"/>
              </w:rPr>
            </w:pPr>
          </w:p>
        </w:tc>
      </w:tr>
      <w:tr>
        <w:trPr>
          <w:trHeight w:val="122"/>
        </w:trPr>
        <w:tc>
          <w:tcPr>
            <w:tcW w:w="14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600" w:type="dxa"/>
            <w:vAlign w:val="bottom"/>
            <w:tcBorders>
              <w:right w:val="single" w:sz="8" w:color="auto"/>
            </w:tcBorders>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3"/>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(19,098)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(19,098)</w:t>
            </w:r>
          </w:p>
        </w:tc>
        <w:tc>
          <w:tcPr>
            <w:tcW w:w="0" w:type="dxa"/>
            <w:vAlign w:val="bottom"/>
          </w:tcPr>
          <w:p>
            <w:pPr>
              <w:spacing w:after="0"/>
              <w:rPr>
                <w:sz w:val="1"/>
                <w:szCs w:val="1"/>
                <w:color w:val="auto"/>
              </w:rPr>
            </w:pPr>
          </w:p>
        </w:tc>
      </w:tr>
      <w:tr>
        <w:trPr>
          <w:trHeight w:val="106"/>
        </w:trPr>
        <w:tc>
          <w:tcPr>
            <w:tcW w:w="14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54"/>
        </w:trPr>
        <w:tc>
          <w:tcPr>
            <w:tcW w:w="1440" w:type="dxa"/>
            <w:vAlign w:val="bottom"/>
            <w:tcBorders>
              <w:bottom w:val="single" w:sz="8" w:color="CCEEFF"/>
            </w:tcBorders>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Balance at March 31, 2023</w:t>
            </w:r>
          </w:p>
        </w:tc>
        <w:tc>
          <w:tcPr>
            <w:tcW w:w="50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w w:val="99"/>
              </w:rPr>
              <w:t>1,785,714</w:t>
            </w:r>
          </w:p>
        </w:tc>
        <w:tc>
          <w:tcPr>
            <w:tcW w:w="1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956</w:t>
            </w:r>
          </w:p>
        </w:tc>
        <w:tc>
          <w:tcPr>
            <w:tcW w:w="120" w:type="dxa"/>
            <w:vAlign w:val="bottom"/>
            <w:tcBorders>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17,589,380</w:t>
            </w: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w w:val="99"/>
              </w:rPr>
              <w:t>55,840</w:t>
            </w:r>
          </w:p>
        </w:tc>
        <w:tc>
          <w:tcPr>
            <w:tcW w:w="12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77,052,632</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3"/>
              <w:spacing w:after="0" w:line="114" w:lineRule="exact"/>
              <w:rPr>
                <w:sz w:val="20"/>
                <w:szCs w:val="20"/>
                <w:color w:val="auto"/>
              </w:rPr>
            </w:pPr>
            <w:r>
              <w:rPr>
                <w:rFonts w:ascii="Times New Roman" w:cs="Times New Roman" w:eastAsia="Times New Roman" w:hAnsi="Times New Roman"/>
                <w:sz w:val="11"/>
                <w:szCs w:val="11"/>
                <w:color w:val="auto"/>
                <w:w w:val="95"/>
              </w:rPr>
              <w:t>$ 183,290</w:t>
            </w:r>
          </w:p>
        </w:tc>
        <w:tc>
          <w:tcPr>
            <w:tcW w:w="100" w:type="dxa"/>
            <w:vAlign w:val="bottom"/>
            <w:tcBorders>
              <w:bottom w:val="single" w:sz="8" w:color="CCEEFF"/>
              <w:right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1,565,110</w:t>
            </w:r>
          </w:p>
        </w:tc>
        <w:tc>
          <w:tcPr>
            <w:tcW w:w="12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jc w:val="right"/>
              <w:ind w:right="183"/>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tcPr>
          <w:p>
            <w:pPr>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line="114"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tcPr>
          <w:p>
            <w:pPr>
              <w:jc w:val="right"/>
              <w:ind w:right="3"/>
              <w:spacing w:after="0" w:line="114" w:lineRule="exact"/>
              <w:rPr>
                <w:sz w:val="20"/>
                <w:szCs w:val="20"/>
                <w:color w:val="auto"/>
              </w:rPr>
            </w:pPr>
            <w:r>
              <w:rPr>
                <w:rFonts w:ascii="Times New Roman" w:cs="Times New Roman" w:eastAsia="Times New Roman" w:hAnsi="Times New Roman"/>
                <w:sz w:val="11"/>
                <w:szCs w:val="11"/>
                <w:color w:val="auto"/>
              </w:rPr>
              <w:t>1,776</w:t>
            </w:r>
          </w:p>
        </w:tc>
        <w:tc>
          <w:tcPr>
            <w:tcW w:w="120" w:type="dxa"/>
            <w:vAlign w:val="bottom"/>
            <w:tcBorders>
              <w:bottom w:val="single" w:sz="8" w:color="CCEEFF"/>
            </w:tcBorders>
          </w:tcPr>
          <w:p>
            <w:pPr>
              <w:spacing w:after="0"/>
              <w:rPr>
                <w:sz w:val="13"/>
                <w:szCs w:val="13"/>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(45)</w:t>
            </w:r>
          </w:p>
        </w:tc>
        <w:tc>
          <w:tcPr>
            <w:tcW w:w="1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(212,377)</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14"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(210,646)</w:t>
            </w:r>
          </w:p>
        </w:tc>
        <w:tc>
          <w:tcPr>
            <w:tcW w:w="0" w:type="dxa"/>
            <w:vAlign w:val="bottom"/>
          </w:tcPr>
          <w:p>
            <w:pPr>
              <w:spacing w:after="0"/>
              <w:rPr>
                <w:sz w:val="1"/>
                <w:szCs w:val="1"/>
                <w:color w:val="auto"/>
              </w:rPr>
            </w:pPr>
          </w:p>
        </w:tc>
      </w:tr>
      <w:tr>
        <w:trPr>
          <w:trHeight w:val="58"/>
        </w:trPr>
        <w:tc>
          <w:tcPr>
            <w:tcW w:w="1440" w:type="dxa"/>
            <w:vAlign w:val="bottom"/>
            <w:shd w:val="clear" w:color="auto" w:fill="CCEEFF"/>
          </w:tcPr>
          <w:p>
            <w:pPr>
              <w:spacing w:after="0" w:line="59" w:lineRule="exact"/>
              <w:rPr>
                <w:sz w:val="20"/>
                <w:szCs w:val="20"/>
                <w:color w:val="auto"/>
              </w:rPr>
            </w:pPr>
            <w:r>
              <w:rPr>
                <w:rFonts w:ascii="Times New Roman" w:cs="Times New Roman" w:eastAsia="Times New Roman" w:hAnsi="Times New Roman"/>
                <w:sz w:val="6"/>
                <w:szCs w:val="6"/>
                <w:color w:val="auto"/>
              </w:rPr>
              <w:t>Issuance of Series B</w:t>
            </w:r>
          </w:p>
        </w:tc>
        <w:tc>
          <w:tcPr>
            <w:tcW w:w="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tcBorders>
              <w:right w:val="single" w:sz="8" w:color="auto"/>
            </w:tcBorders>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convertible preferred stock</w:t>
            </w: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as payment of Xencor</w:t>
            </w: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milestone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4,189,955</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10,000</w:t>
            </w: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6"/>
        </w:trPr>
        <w:tc>
          <w:tcPr>
            <w:tcW w:w="144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Exercises of common stock</w:t>
            </w: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440" w:type="dxa"/>
            <w:vAlign w:val="bottom"/>
          </w:tcPr>
          <w:p>
            <w:pPr>
              <w:spacing w:after="0"/>
              <w:rPr>
                <w:sz w:val="20"/>
                <w:szCs w:val="20"/>
                <w:color w:val="auto"/>
              </w:rPr>
            </w:pPr>
            <w:r>
              <w:rPr>
                <w:rFonts w:ascii="Times New Roman" w:cs="Times New Roman" w:eastAsia="Times New Roman" w:hAnsi="Times New Roman"/>
                <w:sz w:val="11"/>
                <w:szCs w:val="11"/>
                <w:color w:val="auto"/>
              </w:rPr>
              <w:t>options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3,108</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06"/>
        </w:trPr>
        <w:tc>
          <w:tcPr>
            <w:tcW w:w="14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Stock-based compensation</w:t>
            </w: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expense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669</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669</w:t>
            </w:r>
          </w:p>
        </w:tc>
        <w:tc>
          <w:tcPr>
            <w:tcW w:w="0" w:type="dxa"/>
            <w:vAlign w:val="bottom"/>
          </w:tcPr>
          <w:p>
            <w:pPr>
              <w:spacing w:after="0"/>
              <w:rPr>
                <w:sz w:val="1"/>
                <w:szCs w:val="1"/>
                <w:color w:val="auto"/>
              </w:rPr>
            </w:pPr>
          </w:p>
        </w:tc>
      </w:tr>
      <w:tr>
        <w:trPr>
          <w:trHeight w:val="122"/>
        </w:trPr>
        <w:tc>
          <w:tcPr>
            <w:tcW w:w="14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600" w:type="dxa"/>
            <w:vAlign w:val="bottom"/>
            <w:tcBorders>
              <w:right w:val="single" w:sz="8" w:color="auto"/>
            </w:tcBorders>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3"/>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(29,047)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(29,047)</w:t>
            </w:r>
          </w:p>
        </w:tc>
        <w:tc>
          <w:tcPr>
            <w:tcW w:w="0" w:type="dxa"/>
            <w:vAlign w:val="bottom"/>
          </w:tcPr>
          <w:p>
            <w:pPr>
              <w:spacing w:after="0"/>
              <w:rPr>
                <w:sz w:val="1"/>
                <w:szCs w:val="1"/>
                <w:color w:val="auto"/>
              </w:rPr>
            </w:pPr>
          </w:p>
        </w:tc>
      </w:tr>
      <w:tr>
        <w:trPr>
          <w:trHeight w:val="106"/>
        </w:trPr>
        <w:tc>
          <w:tcPr>
            <w:tcW w:w="14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0" w:type="dxa"/>
            <w:vAlign w:val="bottom"/>
          </w:tcPr>
          <w:p>
            <w:pPr>
              <w:spacing w:after="0"/>
              <w:rPr>
                <w:sz w:val="1"/>
                <w:szCs w:val="1"/>
                <w:color w:val="auto"/>
              </w:rPr>
            </w:pPr>
          </w:p>
        </w:tc>
      </w:tr>
      <w:tr>
        <w:trPr>
          <w:trHeight w:val="154"/>
        </w:trPr>
        <w:tc>
          <w:tcPr>
            <w:tcW w:w="1440" w:type="dxa"/>
            <w:vAlign w:val="bottom"/>
            <w:tcBorders>
              <w:bottom w:val="single" w:sz="8" w:color="CCEEFF"/>
            </w:tcBorders>
          </w:tcPr>
          <w:p>
            <w:pPr>
              <w:spacing w:after="0" w:line="114" w:lineRule="exact"/>
              <w:rPr>
                <w:sz w:val="20"/>
                <w:szCs w:val="20"/>
                <w:color w:val="auto"/>
              </w:rPr>
            </w:pPr>
            <w:r>
              <w:rPr>
                <w:rFonts w:ascii="Times New Roman" w:cs="Times New Roman" w:eastAsia="Times New Roman" w:hAnsi="Times New Roman"/>
                <w:sz w:val="11"/>
                <w:szCs w:val="11"/>
                <w:b w:val="1"/>
                <w:bCs w:val="1"/>
                <w:color w:val="auto"/>
              </w:rPr>
              <w:t>Balance at June 30, 2023</w:t>
            </w:r>
          </w:p>
        </w:tc>
        <w:tc>
          <w:tcPr>
            <w:tcW w:w="50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w w:val="99"/>
              </w:rPr>
              <w:t>1,785,714</w:t>
            </w:r>
          </w:p>
        </w:tc>
        <w:tc>
          <w:tcPr>
            <w:tcW w:w="1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956</w:t>
            </w:r>
          </w:p>
        </w:tc>
        <w:tc>
          <w:tcPr>
            <w:tcW w:w="120" w:type="dxa"/>
            <w:vAlign w:val="bottom"/>
            <w:tcBorders>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17,589,380</w:t>
            </w: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w w:val="99"/>
              </w:rPr>
              <w:t>55,840</w:t>
            </w:r>
          </w:p>
        </w:tc>
        <w:tc>
          <w:tcPr>
            <w:tcW w:w="12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81,242,587</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3"/>
              <w:spacing w:after="0" w:line="114" w:lineRule="exact"/>
              <w:rPr>
                <w:sz w:val="20"/>
                <w:szCs w:val="20"/>
                <w:color w:val="auto"/>
              </w:rPr>
            </w:pPr>
            <w:r>
              <w:rPr>
                <w:rFonts w:ascii="Times New Roman" w:cs="Times New Roman" w:eastAsia="Times New Roman" w:hAnsi="Times New Roman"/>
                <w:sz w:val="11"/>
                <w:szCs w:val="11"/>
                <w:color w:val="auto"/>
                <w:w w:val="95"/>
              </w:rPr>
              <w:t>$ 193,290</w:t>
            </w:r>
          </w:p>
        </w:tc>
        <w:tc>
          <w:tcPr>
            <w:tcW w:w="100" w:type="dxa"/>
            <w:vAlign w:val="bottom"/>
            <w:tcBorders>
              <w:bottom w:val="single" w:sz="8" w:color="CCEEFF"/>
              <w:right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1,568,218</w:t>
            </w:r>
          </w:p>
        </w:tc>
        <w:tc>
          <w:tcPr>
            <w:tcW w:w="12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jc w:val="right"/>
              <w:ind w:right="183"/>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tcPr>
          <w:p>
            <w:pPr>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line="114"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tcPr>
          <w:p>
            <w:pPr>
              <w:jc w:val="right"/>
              <w:ind w:right="3"/>
              <w:spacing w:after="0" w:line="114" w:lineRule="exact"/>
              <w:rPr>
                <w:sz w:val="20"/>
                <w:szCs w:val="20"/>
                <w:color w:val="auto"/>
              </w:rPr>
            </w:pPr>
            <w:r>
              <w:rPr>
                <w:rFonts w:ascii="Times New Roman" w:cs="Times New Roman" w:eastAsia="Times New Roman" w:hAnsi="Times New Roman"/>
                <w:sz w:val="11"/>
                <w:szCs w:val="11"/>
                <w:color w:val="auto"/>
              </w:rPr>
              <w:t>2,456</w:t>
            </w:r>
          </w:p>
        </w:tc>
        <w:tc>
          <w:tcPr>
            <w:tcW w:w="120" w:type="dxa"/>
            <w:vAlign w:val="bottom"/>
            <w:tcBorders>
              <w:bottom w:val="single" w:sz="8" w:color="CCEEFF"/>
            </w:tcBorders>
          </w:tcPr>
          <w:p>
            <w:pPr>
              <w:spacing w:after="0"/>
              <w:rPr>
                <w:sz w:val="13"/>
                <w:szCs w:val="13"/>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115</w:t>
            </w:r>
          </w:p>
        </w:tc>
        <w:tc>
          <w:tcPr>
            <w:tcW w:w="1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(241,424)</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14"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(238,853)</w:t>
            </w:r>
          </w:p>
        </w:tc>
        <w:tc>
          <w:tcPr>
            <w:tcW w:w="0" w:type="dxa"/>
            <w:vAlign w:val="bottom"/>
          </w:tcPr>
          <w:p>
            <w:pPr>
              <w:spacing w:after="0"/>
              <w:rPr>
                <w:sz w:val="1"/>
                <w:szCs w:val="1"/>
                <w:color w:val="auto"/>
              </w:rPr>
            </w:pPr>
          </w:p>
        </w:tc>
      </w:tr>
      <w:tr>
        <w:trPr>
          <w:trHeight w:val="58"/>
        </w:trPr>
        <w:tc>
          <w:tcPr>
            <w:tcW w:w="1440" w:type="dxa"/>
            <w:vAlign w:val="bottom"/>
            <w:shd w:val="clear" w:color="auto" w:fill="CCEEFF"/>
          </w:tcPr>
          <w:p>
            <w:pPr>
              <w:spacing w:after="0" w:line="59" w:lineRule="exact"/>
              <w:rPr>
                <w:sz w:val="20"/>
                <w:szCs w:val="20"/>
                <w:color w:val="auto"/>
              </w:rPr>
            </w:pPr>
            <w:r>
              <w:rPr>
                <w:rFonts w:ascii="Times New Roman" w:cs="Times New Roman" w:eastAsia="Times New Roman" w:hAnsi="Times New Roman"/>
                <w:sz w:val="6"/>
                <w:szCs w:val="6"/>
                <w:color w:val="auto"/>
              </w:rPr>
              <w:t>Exercises of common stock</w:t>
            </w:r>
          </w:p>
        </w:tc>
        <w:tc>
          <w:tcPr>
            <w:tcW w:w="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tcBorders>
              <w:right w:val="single" w:sz="8" w:color="auto"/>
            </w:tcBorders>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options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6"/>
        </w:trPr>
        <w:tc>
          <w:tcPr>
            <w:tcW w:w="144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Stock-based compensation</w:t>
            </w: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440" w:type="dxa"/>
            <w:vAlign w:val="bottom"/>
          </w:tcPr>
          <w:p>
            <w:pPr>
              <w:spacing w:after="0"/>
              <w:rPr>
                <w:sz w:val="20"/>
                <w:szCs w:val="20"/>
                <w:color w:val="auto"/>
              </w:rPr>
            </w:pPr>
            <w:r>
              <w:rPr>
                <w:rFonts w:ascii="Times New Roman" w:cs="Times New Roman" w:eastAsia="Times New Roman" w:hAnsi="Times New Roman"/>
                <w:sz w:val="11"/>
                <w:szCs w:val="11"/>
                <w:color w:val="auto"/>
              </w:rPr>
              <w:t>expense</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1,004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1,004</w:t>
            </w:r>
          </w:p>
        </w:tc>
        <w:tc>
          <w:tcPr>
            <w:tcW w:w="0" w:type="dxa"/>
            <w:vAlign w:val="bottom"/>
          </w:tcPr>
          <w:p>
            <w:pPr>
              <w:spacing w:after="0"/>
              <w:rPr>
                <w:sz w:val="1"/>
                <w:szCs w:val="1"/>
                <w:color w:val="auto"/>
              </w:rPr>
            </w:pPr>
          </w:p>
        </w:tc>
      </w:tr>
      <w:tr>
        <w:trPr>
          <w:trHeight w:val="122"/>
        </w:trPr>
        <w:tc>
          <w:tcPr>
            <w:tcW w:w="14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600" w:type="dxa"/>
            <w:vAlign w:val="bottom"/>
            <w:tcBorders>
              <w:right w:val="single" w:sz="8" w:color="auto"/>
            </w:tcBorders>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3"/>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35,608</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35,608</w:t>
            </w:r>
          </w:p>
        </w:tc>
        <w:tc>
          <w:tcPr>
            <w:tcW w:w="0" w:type="dxa"/>
            <w:vAlign w:val="bottom"/>
          </w:tcPr>
          <w:p>
            <w:pPr>
              <w:spacing w:after="0"/>
              <w:rPr>
                <w:sz w:val="1"/>
                <w:szCs w:val="1"/>
                <w:color w:val="auto"/>
              </w:rPr>
            </w:pPr>
          </w:p>
        </w:tc>
      </w:tr>
      <w:tr>
        <w:trPr>
          <w:trHeight w:val="106"/>
        </w:trPr>
        <w:tc>
          <w:tcPr>
            <w:tcW w:w="144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adjustment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right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84"/>
        </w:trPr>
        <w:tc>
          <w:tcPr>
            <w:tcW w:w="144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9"/>
                <w:szCs w:val="9"/>
                <w:b w:val="1"/>
                <w:bCs w:val="1"/>
                <w:color w:val="auto"/>
              </w:rPr>
              <w:t>Balance at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1,785,714</w:t>
            </w:r>
          </w:p>
        </w:tc>
        <w:tc>
          <w:tcPr>
            <w:tcW w:w="340" w:type="dxa"/>
            <w:vAlign w:val="bottom"/>
            <w:gridSpan w:val="2"/>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956</w:t>
            </w:r>
          </w:p>
        </w:tc>
        <w:tc>
          <w:tcPr>
            <w:tcW w:w="12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17,589,380</w:t>
            </w:r>
          </w:p>
        </w:tc>
        <w:tc>
          <w:tcPr>
            <w:tcW w:w="260" w:type="dxa"/>
            <w:vAlign w:val="bottom"/>
            <w:gridSpan w:val="3"/>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55,840</w:t>
            </w:r>
          </w:p>
        </w:tc>
        <w:tc>
          <w:tcPr>
            <w:tcW w:w="12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81,242,587</w:t>
            </w:r>
          </w:p>
        </w:tc>
        <w:tc>
          <w:tcPr>
            <w:tcW w:w="100" w:type="dxa"/>
            <w:vAlign w:val="bottom"/>
            <w:shd w:val="clear" w:color="auto" w:fill="CCEEFF"/>
          </w:tcPr>
          <w:p>
            <w:pPr>
              <w:spacing w:after="0"/>
              <w:rPr>
                <w:sz w:val="7"/>
                <w:szCs w:val="7"/>
                <w:color w:val="auto"/>
              </w:rPr>
            </w:pPr>
          </w:p>
        </w:tc>
        <w:tc>
          <w:tcPr>
            <w:tcW w:w="520" w:type="dxa"/>
            <w:vAlign w:val="bottom"/>
            <w:gridSpan w:val="2"/>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9"/>
              </w:rPr>
              <w:t>$ 193,290</w:t>
            </w:r>
          </w:p>
        </w:tc>
        <w:tc>
          <w:tcPr>
            <w:tcW w:w="100" w:type="dxa"/>
            <w:vAlign w:val="bottom"/>
            <w:tcBorders>
              <w:right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1,568,218</w:t>
            </w:r>
          </w:p>
        </w:tc>
        <w:tc>
          <w:tcPr>
            <w:tcW w:w="420" w:type="dxa"/>
            <w:vAlign w:val="bottom"/>
            <w:gridSpan w:val="2"/>
            <w:vMerge w:val="restart"/>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3,460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240" w:type="dxa"/>
            <w:vAlign w:val="bottom"/>
            <w:gridSpan w:val="2"/>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(205,816)</w:t>
            </w:r>
          </w:p>
        </w:tc>
        <w:tc>
          <w:tcPr>
            <w:tcW w:w="60" w:type="dxa"/>
            <w:vAlign w:val="bottom"/>
            <w:shd w:val="clear" w:color="auto" w:fill="CCEEFF"/>
          </w:tcPr>
          <w:p>
            <w:pPr>
              <w:spacing w:after="0"/>
              <w:rPr>
                <w:sz w:val="7"/>
                <w:szCs w:val="7"/>
                <w:color w:val="auto"/>
              </w:rPr>
            </w:pPr>
          </w:p>
        </w:tc>
        <w:tc>
          <w:tcPr>
            <w:tcW w:w="1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(202,232)</w:t>
            </w:r>
          </w:p>
        </w:tc>
        <w:tc>
          <w:tcPr>
            <w:tcW w:w="0" w:type="dxa"/>
            <w:vAlign w:val="bottom"/>
          </w:tcPr>
          <w:p>
            <w:pPr>
              <w:spacing w:after="0"/>
              <w:rPr>
                <w:sz w:val="1"/>
                <w:szCs w:val="1"/>
                <w:color w:val="auto"/>
              </w:rPr>
            </w:pPr>
          </w:p>
        </w:tc>
      </w:tr>
      <w:tr>
        <w:trPr>
          <w:trHeight w:val="128"/>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September 30, 2023</w:t>
            </w:r>
          </w:p>
        </w:tc>
        <w:tc>
          <w:tcPr>
            <w:tcW w:w="500" w:type="dxa"/>
            <w:vAlign w:val="bottom"/>
            <w:vMerge w:val="continue"/>
            <w:shd w:val="clear" w:color="auto" w:fill="CCEEFF"/>
          </w:tcPr>
          <w:p>
            <w:pPr>
              <w:spacing w:after="0"/>
              <w:rPr>
                <w:sz w:val="11"/>
                <w:szCs w:val="11"/>
                <w:color w:val="auto"/>
              </w:rPr>
            </w:pPr>
          </w:p>
        </w:tc>
        <w:tc>
          <w:tcPr>
            <w:tcW w:w="340" w:type="dxa"/>
            <w:vAlign w:val="bottom"/>
            <w:gridSpan w:val="2"/>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260" w:type="dxa"/>
            <w:vAlign w:val="bottom"/>
            <w:gridSpan w:val="3"/>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420" w:type="dxa"/>
            <w:vAlign w:val="bottom"/>
            <w:gridSpan w:val="2"/>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60" w:type="dxa"/>
            <w:vAlign w:val="bottom"/>
            <w:gridSpan w:val="2"/>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gridSpan w:val="2"/>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327660</wp:posOffset>
            </wp:positionV>
            <wp:extent cx="5998210"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98210" cy="23495"/>
                    </a:xfrm>
                    <a:prstGeom prst="rect">
                      <a:avLst/>
                    </a:prstGeom>
                    <a:noFill/>
                  </pic:spPr>
                </pic:pic>
              </a:graphicData>
            </a:graphic>
          </wp:anchor>
        </w:drawing>
      </w:r>
    </w:p>
    <w:p>
      <w:pPr>
        <w:sectPr>
          <w:pgSz w:w="11900" w:h="16838" w:orient="portrait"/>
          <w:cols w:equalWidth="0" w:num="1">
            <w:col w:w="9440"/>
          </w:cols>
          <w:pgMar w:left="1220" w:top="477" w:right="1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Zenas BioPharma, Inc.</w:t>
      </w:r>
    </w:p>
    <w:p>
      <w:pPr>
        <w:spacing w:after="0" w:line="2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Convertible Preferred Stock and</w:t>
      </w:r>
    </w:p>
    <w:p>
      <w:pPr>
        <w:spacing w:after="0" w:line="1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Stockholders’ Equity (Deficit)</w:t>
      </w:r>
    </w:p>
    <w:p>
      <w:pPr>
        <w:spacing w:after="0" w:line="1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1"/>
                <w:szCs w:val="11"/>
                <w:b w:val="1"/>
                <w:bCs w:val="1"/>
                <w:color w:val="auto"/>
              </w:rPr>
              <w:t>Convertible Preferred Stock</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87"/>
              </w:rPr>
              <w:t>Additional</w:t>
            </w:r>
          </w:p>
        </w:tc>
        <w:tc>
          <w:tcPr>
            <w:tcW w:w="180" w:type="dxa"/>
            <w:vAlign w:val="bottom"/>
          </w:tcPr>
          <w:p>
            <w:pPr>
              <w:spacing w:after="0"/>
              <w:rPr>
                <w:sz w:val="12"/>
                <w:szCs w:val="12"/>
                <w:color w:val="auto"/>
              </w:rPr>
            </w:pPr>
          </w:p>
        </w:tc>
        <w:tc>
          <w:tcPr>
            <w:tcW w:w="70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4"/>
              </w:rPr>
              <w:t>Stockholder</w:t>
            </w:r>
          </w:p>
        </w:tc>
        <w:tc>
          <w:tcPr>
            <w:tcW w:w="0" w:type="dxa"/>
            <w:vAlign w:val="bottom"/>
          </w:tcPr>
          <w:p>
            <w:pPr>
              <w:spacing w:after="0"/>
              <w:rPr>
                <w:sz w:val="1"/>
                <w:szCs w:val="1"/>
                <w:color w:val="auto"/>
              </w:rPr>
            </w:pPr>
          </w:p>
        </w:tc>
      </w:tr>
      <w:tr>
        <w:trPr>
          <w:trHeight w:val="114"/>
        </w:trPr>
        <w:tc>
          <w:tcPr>
            <w:tcW w:w="1080" w:type="dxa"/>
            <w:vAlign w:val="bottom"/>
          </w:tcPr>
          <w:p>
            <w:pPr>
              <w:spacing w:after="0"/>
              <w:rPr>
                <w:sz w:val="9"/>
                <w:szCs w:val="9"/>
                <w:color w:val="auto"/>
              </w:rPr>
            </w:pPr>
          </w:p>
        </w:tc>
        <w:tc>
          <w:tcPr>
            <w:tcW w:w="800" w:type="dxa"/>
            <w:vAlign w:val="bottom"/>
            <w:gridSpan w:val="3"/>
          </w:tcPr>
          <w:p>
            <w:pPr>
              <w:ind w:left="240"/>
              <w:spacing w:after="0" w:line="114" w:lineRule="exact"/>
              <w:rPr>
                <w:sz w:val="20"/>
                <w:szCs w:val="20"/>
                <w:color w:val="auto"/>
              </w:rPr>
            </w:pPr>
            <w:r>
              <w:rPr>
                <w:rFonts w:ascii="Times New Roman" w:cs="Times New Roman" w:eastAsia="Times New Roman" w:hAnsi="Times New Roman"/>
                <w:sz w:val="11"/>
                <w:szCs w:val="11"/>
                <w:b w:val="1"/>
                <w:bCs w:val="1"/>
                <w:color w:val="auto"/>
              </w:rPr>
              <w:t>Series Seed</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4"/>
          </w:tcPr>
          <w:p>
            <w:pPr>
              <w:ind w:left="380"/>
              <w:spacing w:after="0" w:line="114" w:lineRule="exact"/>
              <w:rPr>
                <w:sz w:val="20"/>
                <w:szCs w:val="20"/>
                <w:color w:val="auto"/>
              </w:rPr>
            </w:pPr>
            <w:r>
              <w:rPr>
                <w:rFonts w:ascii="Times New Roman" w:cs="Times New Roman" w:eastAsia="Times New Roman" w:hAnsi="Times New Roman"/>
                <w:sz w:val="11"/>
                <w:szCs w:val="11"/>
                <w:b w:val="1"/>
                <w:bCs w:val="1"/>
                <w:color w:val="auto"/>
              </w:rPr>
              <w:t>Series A</w:t>
            </w:r>
          </w:p>
        </w:tc>
        <w:tc>
          <w:tcPr>
            <w:tcW w:w="1220" w:type="dxa"/>
            <w:vAlign w:val="bottom"/>
            <w:gridSpan w:val="3"/>
          </w:tcPr>
          <w:p>
            <w:pPr>
              <w:jc w:val="right"/>
              <w:ind w:right="363"/>
              <w:spacing w:after="0" w:line="114" w:lineRule="exact"/>
              <w:rPr>
                <w:sz w:val="20"/>
                <w:szCs w:val="20"/>
                <w:color w:val="auto"/>
              </w:rPr>
            </w:pPr>
            <w:r>
              <w:rPr>
                <w:rFonts w:ascii="Times New Roman" w:cs="Times New Roman" w:eastAsia="Times New Roman" w:hAnsi="Times New Roman"/>
                <w:sz w:val="11"/>
                <w:szCs w:val="11"/>
                <w:b w:val="1"/>
                <w:bCs w:val="1"/>
                <w:color w:val="auto"/>
              </w:rPr>
              <w:t>Series B</w:t>
            </w:r>
          </w:p>
        </w:tc>
        <w:tc>
          <w:tcPr>
            <w:tcW w:w="180" w:type="dxa"/>
            <w:vAlign w:val="bottom"/>
          </w:tcPr>
          <w:p>
            <w:pPr>
              <w:spacing w:after="0"/>
              <w:rPr>
                <w:sz w:val="9"/>
                <w:szCs w:val="9"/>
                <w:color w:val="auto"/>
              </w:rPr>
            </w:pPr>
          </w:p>
        </w:tc>
        <w:tc>
          <w:tcPr>
            <w:tcW w:w="84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rPr>
              <w:t>Series C</w:t>
            </w:r>
          </w:p>
        </w:tc>
        <w:tc>
          <w:tcPr>
            <w:tcW w:w="44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920" w:type="dxa"/>
            <w:vAlign w:val="bottom"/>
            <w:gridSpan w:val="3"/>
          </w:tcPr>
          <w:p>
            <w:pPr>
              <w:ind w:left="160"/>
              <w:spacing w:after="0" w:line="114"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jc w:val="right"/>
              <w:ind w:right="43"/>
              <w:spacing w:after="0" w:line="114"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880" w:type="dxa"/>
            <w:vAlign w:val="bottom"/>
            <w:gridSpan w:val="2"/>
          </w:tcPr>
          <w:p>
            <w:pPr>
              <w:ind w:left="120"/>
              <w:spacing w:after="0" w:line="114"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880" w:type="dxa"/>
            <w:vAlign w:val="bottom"/>
            <w:gridSpan w:val="4"/>
          </w:tcPr>
          <w:p>
            <w:pPr>
              <w:ind w:left="120"/>
              <w:spacing w:after="0" w:line="114"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9"/>
                <w:szCs w:val="9"/>
                <w:color w:val="auto"/>
              </w:rPr>
            </w:pPr>
          </w:p>
        </w:tc>
        <w:tc>
          <w:tcPr>
            <w:tcW w:w="48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14"/>
        </w:trPr>
        <w:tc>
          <w:tcPr>
            <w:tcW w:w="1080" w:type="dxa"/>
            <w:vAlign w:val="bottom"/>
          </w:tcPr>
          <w:p>
            <w:pPr>
              <w:spacing w:after="0"/>
              <w:rPr>
                <w:sz w:val="9"/>
                <w:szCs w:val="9"/>
                <w:color w:val="auto"/>
              </w:rPr>
            </w:pPr>
          </w:p>
        </w:tc>
        <w:tc>
          <w:tcPr>
            <w:tcW w:w="540" w:type="dxa"/>
            <w:vAlign w:val="bottom"/>
            <w:tcBorders>
              <w:top w:val="single" w:sz="8" w:color="auto"/>
            </w:tcBorders>
          </w:tcPr>
          <w:p>
            <w:pPr>
              <w:jc w:val="right"/>
              <w:ind w:right="63"/>
              <w:spacing w:after="0" w:line="114" w:lineRule="exact"/>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tcBorders>
              <w:top w:val="single" w:sz="8" w:color="auto"/>
            </w:tcBorders>
            <w:gridSpan w:val="3"/>
          </w:tcPr>
          <w:p>
            <w:pPr>
              <w:ind w:left="120"/>
              <w:spacing w:after="0" w:line="114"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9"/>
                <w:szCs w:val="9"/>
                <w:color w:val="auto"/>
              </w:rPr>
            </w:pPr>
          </w:p>
        </w:tc>
        <w:tc>
          <w:tcPr>
            <w:tcW w:w="600" w:type="dxa"/>
            <w:vAlign w:val="bottom"/>
            <w:tcBorders>
              <w:top w:val="single" w:sz="8" w:color="auto"/>
            </w:tcBorders>
          </w:tcPr>
          <w:p>
            <w:pPr>
              <w:jc w:val="right"/>
              <w:ind w:right="83"/>
              <w:spacing w:after="0" w:line="114" w:lineRule="exact"/>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b w:val="1"/>
                <w:bCs w:val="1"/>
                <w:color w:val="auto"/>
                <w:w w:val="88"/>
              </w:rPr>
              <w:t>Amount</w:t>
            </w:r>
          </w:p>
        </w:tc>
        <w:tc>
          <w:tcPr>
            <w:tcW w:w="120" w:type="dxa"/>
            <w:vAlign w:val="bottom"/>
          </w:tcPr>
          <w:p>
            <w:pPr>
              <w:spacing w:after="0"/>
              <w:rPr>
                <w:sz w:val="9"/>
                <w:szCs w:val="9"/>
                <w:color w:val="auto"/>
              </w:rPr>
            </w:pPr>
          </w:p>
        </w:tc>
        <w:tc>
          <w:tcPr>
            <w:tcW w:w="600" w:type="dxa"/>
            <w:vAlign w:val="bottom"/>
            <w:tcBorders>
              <w:top w:val="single" w:sz="8" w:color="auto"/>
            </w:tcBorders>
          </w:tcPr>
          <w:p>
            <w:pPr>
              <w:jc w:val="right"/>
              <w:ind w:right="83"/>
              <w:spacing w:after="0" w:line="114" w:lineRule="exact"/>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ind w:right="3"/>
              <w:spacing w:after="0" w:line="114"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80" w:type="dxa"/>
            <w:vAlign w:val="bottom"/>
          </w:tcPr>
          <w:p>
            <w:pPr>
              <w:spacing w:after="0"/>
              <w:rPr>
                <w:sz w:val="9"/>
                <w:szCs w:val="9"/>
                <w:color w:val="auto"/>
              </w:rPr>
            </w:pPr>
          </w:p>
        </w:tc>
        <w:tc>
          <w:tcPr>
            <w:tcW w:w="660" w:type="dxa"/>
            <w:vAlign w:val="bottom"/>
            <w:tcBorders>
              <w:top w:val="single" w:sz="8" w:color="auto"/>
            </w:tcBorders>
          </w:tcPr>
          <w:p>
            <w:pPr>
              <w:jc w:val="right"/>
              <w:ind w:right="143"/>
              <w:spacing w:after="0" w:line="114" w:lineRule="exact"/>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ind w:right="3"/>
              <w:spacing w:after="0" w:line="114"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140" w:type="dxa"/>
            <w:vAlign w:val="bottom"/>
            <w:tcBorders>
              <w:right w:val="single" w:sz="8" w:color="auto"/>
            </w:tcBorders>
          </w:tcPr>
          <w:p>
            <w:pPr>
              <w:spacing w:after="0"/>
              <w:rPr>
                <w:sz w:val="9"/>
                <w:szCs w:val="9"/>
                <w:color w:val="auto"/>
              </w:rPr>
            </w:pPr>
          </w:p>
        </w:tc>
        <w:tc>
          <w:tcPr>
            <w:tcW w:w="560" w:type="dxa"/>
            <w:vAlign w:val="bottom"/>
            <w:tcBorders>
              <w:top w:val="single" w:sz="8" w:color="auto"/>
            </w:tcBorders>
          </w:tcPr>
          <w:p>
            <w:pPr>
              <w:jc w:val="right"/>
              <w:ind w:right="63"/>
              <w:spacing w:after="0" w:line="114" w:lineRule="exact"/>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tcBorders>
              <w:top w:val="single" w:sz="8" w:color="auto"/>
            </w:tcBorders>
            <w:gridSpan w:val="3"/>
          </w:tcPr>
          <w:p>
            <w:pPr>
              <w:ind w:left="120"/>
              <w:spacing w:after="0" w:line="114" w:lineRule="exact"/>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9"/>
                <w:szCs w:val="9"/>
                <w:color w:val="auto"/>
              </w:rPr>
            </w:pPr>
          </w:p>
        </w:tc>
        <w:tc>
          <w:tcPr>
            <w:tcW w:w="460" w:type="dxa"/>
            <w:vAlign w:val="bottom"/>
          </w:tcPr>
          <w:p>
            <w:pPr>
              <w:jc w:val="right"/>
              <w:ind w:right="23"/>
              <w:spacing w:after="0" w:line="114"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80" w:type="dxa"/>
            <w:vAlign w:val="bottom"/>
          </w:tcPr>
          <w:p>
            <w:pPr>
              <w:spacing w:after="0"/>
              <w:rPr>
                <w:sz w:val="9"/>
                <w:szCs w:val="9"/>
                <w:color w:val="auto"/>
              </w:rPr>
            </w:pPr>
          </w:p>
        </w:tc>
        <w:tc>
          <w:tcPr>
            <w:tcW w:w="700" w:type="dxa"/>
            <w:vAlign w:val="bottom"/>
          </w:tcPr>
          <w:p>
            <w:pPr>
              <w:jc w:val="center"/>
              <w:ind w:right="3"/>
              <w:spacing w:after="0" w:line="114" w:lineRule="exact"/>
              <w:rPr>
                <w:sz w:val="20"/>
                <w:szCs w:val="20"/>
                <w:color w:val="auto"/>
              </w:rPr>
            </w:pPr>
            <w:r>
              <w:rPr>
                <w:rFonts w:ascii="Times New Roman" w:cs="Times New Roman" w:eastAsia="Times New Roman" w:hAnsi="Times New Roman"/>
                <w:sz w:val="11"/>
                <w:szCs w:val="11"/>
                <w:b w:val="1"/>
                <w:bCs w:val="1"/>
                <w:color w:val="auto"/>
              </w:rPr>
              <w:t>Income</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ind w:left="60"/>
              <w:spacing w:after="0" w:line="114" w:lineRule="exact"/>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9"/>
                <w:szCs w:val="9"/>
                <w:color w:val="auto"/>
              </w:rPr>
            </w:pPr>
          </w:p>
        </w:tc>
        <w:tc>
          <w:tcPr>
            <w:tcW w:w="48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20"/>
        </w:trPr>
        <w:tc>
          <w:tcPr>
            <w:tcW w:w="1080" w:type="dxa"/>
            <w:vAlign w:val="bottom"/>
            <w:vMerge w:val="restart"/>
            <w:shd w:val="clear" w:color="auto" w:fill="CCEEFF"/>
          </w:tcPr>
          <w:p>
            <w:pPr>
              <w:spacing w:after="0" w:line="92"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1080" w:type="dxa"/>
            <w:vAlign w:val="bottom"/>
            <w:vMerge w:val="continue"/>
            <w:shd w:val="clear" w:color="auto" w:fill="CCEEFF"/>
          </w:tcPr>
          <w:p>
            <w:pPr>
              <w:spacing w:after="0"/>
              <w:rPr>
                <w:sz w:val="6"/>
                <w:szCs w:val="6"/>
                <w:color w:val="auto"/>
              </w:rPr>
            </w:pPr>
          </w:p>
        </w:tc>
        <w:tc>
          <w:tcPr>
            <w:tcW w:w="5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1,785,714</w:t>
            </w:r>
          </w:p>
        </w:tc>
        <w:tc>
          <w:tcPr>
            <w:tcW w:w="2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956</w:t>
            </w:r>
          </w:p>
        </w:tc>
        <w:tc>
          <w:tcPr>
            <w:tcW w:w="120" w:type="dxa"/>
            <w:vAlign w:val="bottom"/>
            <w:shd w:val="clear" w:color="auto" w:fill="CCEEFF"/>
          </w:tcPr>
          <w:p>
            <w:pPr>
              <w:spacing w:after="0"/>
              <w:rPr>
                <w:sz w:val="6"/>
                <w:szCs w:val="6"/>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17,589,380</w:t>
            </w:r>
          </w:p>
        </w:tc>
        <w:tc>
          <w:tcPr>
            <w:tcW w:w="180" w:type="dxa"/>
            <w:vAlign w:val="bottom"/>
            <w:tcBorders>
              <w:right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55,840</w:t>
            </w:r>
          </w:p>
        </w:tc>
        <w:tc>
          <w:tcPr>
            <w:tcW w:w="120" w:type="dxa"/>
            <w:vAlign w:val="bottom"/>
            <w:shd w:val="clear" w:color="auto" w:fill="CCEEFF"/>
          </w:tcPr>
          <w:p>
            <w:pPr>
              <w:spacing w:after="0"/>
              <w:rPr>
                <w:sz w:val="6"/>
                <w:szCs w:val="6"/>
                <w:color w:val="auto"/>
              </w:rPr>
            </w:pPr>
          </w:p>
        </w:tc>
        <w:tc>
          <w:tcPr>
            <w:tcW w:w="6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81,242,587</w:t>
            </w: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193,290</w:t>
            </w: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1,576,854</w:t>
            </w:r>
          </w:p>
        </w:tc>
        <w:tc>
          <w:tcPr>
            <w:tcW w:w="3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Borders>
              <w:righ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4,645</w:t>
            </w:r>
          </w:p>
        </w:tc>
        <w:tc>
          <w:tcPr>
            <w:tcW w:w="180" w:type="dxa"/>
            <w:vAlign w:val="bottom"/>
            <w:tcBorders>
              <w:right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(230,403)</w:t>
            </w:r>
          </w:p>
        </w:tc>
        <w:tc>
          <w:tcPr>
            <w:tcW w:w="120" w:type="dxa"/>
            <w:vAlign w:val="bottom"/>
            <w:shd w:val="clear" w:color="auto" w:fill="CCEEFF"/>
          </w:tcPr>
          <w:p>
            <w:pPr>
              <w:spacing w:after="0"/>
              <w:rPr>
                <w:sz w:val="6"/>
                <w:szCs w:val="6"/>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(225,72</w:t>
            </w:r>
          </w:p>
        </w:tc>
        <w:tc>
          <w:tcPr>
            <w:tcW w:w="0" w:type="dxa"/>
            <w:vAlign w:val="bottom"/>
          </w:tcPr>
          <w:p>
            <w:pPr>
              <w:spacing w:after="0"/>
              <w:rPr>
                <w:sz w:val="1"/>
                <w:szCs w:val="1"/>
                <w:color w:val="auto"/>
              </w:rPr>
            </w:pPr>
          </w:p>
        </w:tc>
      </w:tr>
      <w:tr>
        <w:trPr>
          <w:trHeight w:val="128"/>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540" w:type="dxa"/>
            <w:vAlign w:val="bottom"/>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vMerge w:val="continue"/>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60" w:type="dxa"/>
            <w:vAlign w:val="bottom"/>
            <w:tcBorders>
              <w:right w:val="single" w:sz="8" w:color="CCEEFF"/>
            </w:tcBorders>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vMerge w:val="continue"/>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vMerge w:val="continue"/>
            <w:shd w:val="clear" w:color="auto" w:fill="CCEEFF"/>
          </w:tcPr>
          <w:p>
            <w:pPr>
              <w:spacing w:after="0"/>
              <w:rPr>
                <w:sz w:val="11"/>
                <w:szCs w:val="11"/>
                <w:color w:val="auto"/>
              </w:rPr>
            </w:pPr>
          </w:p>
        </w:tc>
        <w:tc>
          <w:tcPr>
            <w:tcW w:w="580" w:type="dxa"/>
            <w:vAlign w:val="bottom"/>
            <w:tcBorders>
              <w:right w:val="single" w:sz="8" w:color="auto"/>
            </w:tcBorders>
            <w:gridSpan w:val="2"/>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220" w:type="dxa"/>
            <w:vAlign w:val="bottom"/>
            <w:gridSpan w:val="2"/>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bottom w:val="single" w:sz="8" w:color="CCEEFF"/>
            </w:tcBorders>
            <w:vMerge w:val="restart"/>
          </w:tcPr>
          <w:p>
            <w:pPr>
              <w:spacing w:after="0" w:line="86" w:lineRule="exact"/>
              <w:rPr>
                <w:sz w:val="20"/>
                <w:szCs w:val="20"/>
                <w:color w:val="auto"/>
              </w:rPr>
            </w:pPr>
            <w:r>
              <w:rPr>
                <w:rFonts w:ascii="Times New Roman" w:cs="Times New Roman" w:eastAsia="Times New Roman" w:hAnsi="Times New Roman"/>
                <w:sz w:val="9"/>
                <w:szCs w:val="9"/>
                <w:color w:val="auto"/>
              </w:rPr>
              <w:t>Repurchase of</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
        </w:trPr>
        <w:tc>
          <w:tcPr>
            <w:tcW w:w="10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unvested restricted</w:t>
            </w:r>
          </w:p>
        </w:tc>
        <w:tc>
          <w:tcPr>
            <w:tcW w:w="5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58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(21,172)</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4"/>
        </w:trPr>
        <w:tc>
          <w:tcPr>
            <w:tcW w:w="1080" w:type="dxa"/>
            <w:vAlign w:val="bottom"/>
          </w:tcPr>
          <w:p>
            <w:pPr>
              <w:spacing w:after="0"/>
              <w:rPr>
                <w:sz w:val="20"/>
                <w:szCs w:val="20"/>
                <w:color w:val="auto"/>
              </w:rPr>
            </w:pPr>
            <w:r>
              <w:rPr>
                <w:rFonts w:ascii="Times New Roman" w:cs="Times New Roman" w:eastAsia="Times New Roman" w:hAnsi="Times New Roman"/>
                <w:sz w:val="11"/>
                <w:szCs w:val="11"/>
                <w:color w:val="auto"/>
              </w:rPr>
              <w:t>stock awards</w:t>
            </w: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right w:val="single" w:sz="8" w:color="auto"/>
            </w:tcBorders>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080" w:type="dxa"/>
            <w:vAlign w:val="bottom"/>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Exercises of</w:t>
            </w: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tcBorders>
              <w:right w:val="single" w:sz="8" w:color="auto"/>
            </w:tcBorders>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common stock</w:t>
            </w:r>
          </w:p>
        </w:tc>
        <w:tc>
          <w:tcPr>
            <w:tcW w:w="5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5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7,035</w:t>
            </w: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Borders>
              <w:right w:val="single" w:sz="8" w:color="CCEEFF"/>
            </w:tcBorders>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80" w:type="dxa"/>
            <w:vAlign w:val="bottom"/>
            <w:tcBorders>
              <w:right w:val="single" w:sz="8" w:color="CCEEFF"/>
            </w:tcBorders>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options</w:t>
            </w:r>
          </w:p>
        </w:tc>
        <w:tc>
          <w:tcPr>
            <w:tcW w:w="5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right w:val="single" w:sz="8" w:color="auto"/>
            </w:tcBorders>
            <w:gridSpan w:val="2"/>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08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Stock-based</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compensation</w:t>
            </w:r>
          </w:p>
        </w:tc>
        <w:tc>
          <w:tcPr>
            <w:tcW w:w="5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58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947</w:t>
            </w: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0" w:type="dxa"/>
            <w:vAlign w:val="bottom"/>
          </w:tcPr>
          <w:p>
            <w:pPr>
              <w:spacing w:after="0"/>
              <w:rPr>
                <w:sz w:val="1"/>
                <w:szCs w:val="1"/>
                <w:color w:val="auto"/>
              </w:rPr>
            </w:pPr>
          </w:p>
        </w:tc>
      </w:tr>
      <w:tr>
        <w:trPr>
          <w:trHeight w:val="134"/>
        </w:trPr>
        <w:tc>
          <w:tcPr>
            <w:tcW w:w="1080" w:type="dxa"/>
            <w:vAlign w:val="bottom"/>
          </w:tcPr>
          <w:p>
            <w:pPr>
              <w:spacing w:after="0"/>
              <w:rPr>
                <w:sz w:val="20"/>
                <w:szCs w:val="20"/>
                <w:color w:val="auto"/>
              </w:rPr>
            </w:pPr>
            <w:r>
              <w:rPr>
                <w:rFonts w:ascii="Times New Roman" w:cs="Times New Roman" w:eastAsia="Times New Roman" w:hAnsi="Times New Roman"/>
                <w:sz w:val="11"/>
                <w:szCs w:val="11"/>
                <w:color w:val="auto"/>
              </w:rPr>
              <w:t>expense</w:t>
            </w: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right w:val="single" w:sz="8" w:color="auto"/>
            </w:tcBorders>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08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Net loss</w:t>
            </w:r>
          </w:p>
        </w:tc>
        <w:tc>
          <w:tcPr>
            <w:tcW w:w="540" w:type="dxa"/>
            <w:vAlign w:val="bottom"/>
            <w:shd w:val="clear" w:color="auto" w:fill="CCEEFF"/>
          </w:tcPr>
          <w:p>
            <w:pPr>
              <w:jc w:val="right"/>
              <w:ind w:right="3"/>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180"/>
              <w:spacing w:after="0" w:line="110"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3"/>
              <w:spacing w:after="0" w:line="11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66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580" w:type="dxa"/>
            <w:vAlign w:val="bottom"/>
            <w:tcBorders>
              <w:right w:val="single" w:sz="8" w:color="auto"/>
            </w:tcBorders>
            <w:gridSpan w:val="2"/>
            <w:shd w:val="clear" w:color="auto" w:fill="CCEEFF"/>
          </w:tcPr>
          <w:p>
            <w:pPr>
              <w:jc w:val="right"/>
              <w:ind w:right="180"/>
              <w:spacing w:after="0" w:line="110"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jc w:val="right"/>
              <w:ind w:right="3"/>
              <w:spacing w:after="0" w:line="110"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7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(27,800)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(27,80</w:t>
            </w:r>
          </w:p>
        </w:tc>
        <w:tc>
          <w:tcPr>
            <w:tcW w:w="0" w:type="dxa"/>
            <w:vAlign w:val="bottom"/>
          </w:tcPr>
          <w:p>
            <w:pPr>
              <w:spacing w:after="0"/>
              <w:rPr>
                <w:sz w:val="1"/>
                <w:szCs w:val="1"/>
                <w:color w:val="auto"/>
              </w:rPr>
            </w:pPr>
          </w:p>
        </w:tc>
      </w:tr>
      <w:tr>
        <w:trPr>
          <w:trHeight w:val="94"/>
        </w:trPr>
        <w:tc>
          <w:tcPr>
            <w:tcW w:w="108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Foreign currency</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translation</w:t>
            </w:r>
          </w:p>
        </w:tc>
        <w:tc>
          <w:tcPr>
            <w:tcW w:w="5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4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9"/>
                <w:szCs w:val="9"/>
                <w:color w:val="auto"/>
              </w:rPr>
            </w:pP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vMerge w:val="restart"/>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34"/>
        </w:trPr>
        <w:tc>
          <w:tcPr>
            <w:tcW w:w="1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adjustment</w:t>
            </w:r>
          </w:p>
        </w:tc>
        <w:tc>
          <w:tcPr>
            <w:tcW w:w="5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right w:val="single" w:sz="8" w:color="auto"/>
            </w:tcBorders>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80" w:type="dxa"/>
            <w:vAlign w:val="bottom"/>
            <w:shd w:val="clear" w:color="auto" w:fill="CCEEFF"/>
          </w:tcPr>
          <w:p>
            <w:pPr>
              <w:spacing w:after="0" w:line="72" w:lineRule="exact"/>
              <w:rPr>
                <w:sz w:val="20"/>
                <w:szCs w:val="20"/>
                <w:color w:val="auto"/>
              </w:rPr>
            </w:pPr>
            <w:r>
              <w:rPr>
                <w:rFonts w:ascii="Times New Roman" w:cs="Times New Roman" w:eastAsia="Times New Roman" w:hAnsi="Times New Roman"/>
                <w:sz w:val="8"/>
                <w:szCs w:val="8"/>
                <w:b w:val="1"/>
                <w:bCs w:val="1"/>
                <w:color w:val="auto"/>
              </w:rPr>
              <w:t>Balance at</w:t>
            </w:r>
          </w:p>
        </w:tc>
        <w:tc>
          <w:tcPr>
            <w:tcW w:w="5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1,785,714</w:t>
            </w:r>
          </w:p>
        </w:tc>
        <w:tc>
          <w:tcPr>
            <w:tcW w:w="2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956</w:t>
            </w:r>
          </w:p>
        </w:tc>
        <w:tc>
          <w:tcPr>
            <w:tcW w:w="120" w:type="dxa"/>
            <w:vAlign w:val="bottom"/>
            <w:shd w:val="clear" w:color="auto" w:fill="CCEEFF"/>
          </w:tcPr>
          <w:p>
            <w:pPr>
              <w:spacing w:after="0"/>
              <w:rPr>
                <w:sz w:val="6"/>
                <w:szCs w:val="6"/>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17,589,380</w:t>
            </w:r>
          </w:p>
        </w:tc>
        <w:tc>
          <w:tcPr>
            <w:tcW w:w="180" w:type="dxa"/>
            <w:vAlign w:val="bottom"/>
            <w:tcBorders>
              <w:right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55,840</w:t>
            </w:r>
          </w:p>
        </w:tc>
        <w:tc>
          <w:tcPr>
            <w:tcW w:w="120" w:type="dxa"/>
            <w:vAlign w:val="bottom"/>
            <w:shd w:val="clear" w:color="auto" w:fill="CCEEFF"/>
          </w:tcPr>
          <w:p>
            <w:pPr>
              <w:spacing w:after="0"/>
              <w:rPr>
                <w:sz w:val="6"/>
                <w:szCs w:val="6"/>
                <w:color w:val="auto"/>
              </w:rPr>
            </w:pPr>
          </w:p>
        </w:tc>
        <w:tc>
          <w:tcPr>
            <w:tcW w:w="6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81,242,587</w:t>
            </w: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193,290</w:t>
            </w:r>
          </w:p>
        </w:tc>
        <w:tc>
          <w:tcPr>
            <w:tcW w:w="180" w:type="dxa"/>
            <w:vAlign w:val="bottom"/>
            <w:tcBorders>
              <w:right w:val="single" w:sz="8" w:color="CCEEFF"/>
            </w:tcBorders>
            <w:shd w:val="clear" w:color="auto" w:fill="CCEEFF"/>
          </w:tcPr>
          <w:p>
            <w:pPr>
              <w:spacing w:after="0"/>
              <w:rPr>
                <w:sz w:val="6"/>
                <w:szCs w:val="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1,562,717</w:t>
            </w:r>
          </w:p>
        </w:tc>
        <w:tc>
          <w:tcPr>
            <w:tcW w:w="3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Borders>
              <w:righ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5,634</w:t>
            </w:r>
          </w:p>
        </w:tc>
        <w:tc>
          <w:tcPr>
            <w:tcW w:w="180" w:type="dxa"/>
            <w:vAlign w:val="bottom"/>
            <w:tcBorders>
              <w:right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(258,203)</w:t>
            </w:r>
          </w:p>
        </w:tc>
        <w:tc>
          <w:tcPr>
            <w:tcW w:w="120" w:type="dxa"/>
            <w:vAlign w:val="bottom"/>
            <w:shd w:val="clear" w:color="auto" w:fill="CCEEFF"/>
          </w:tcPr>
          <w:p>
            <w:pPr>
              <w:spacing w:after="0"/>
              <w:rPr>
                <w:sz w:val="6"/>
                <w:szCs w:val="6"/>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(252,49</w:t>
            </w:r>
          </w:p>
        </w:tc>
        <w:tc>
          <w:tcPr>
            <w:tcW w:w="0" w:type="dxa"/>
            <w:vAlign w:val="bottom"/>
          </w:tcPr>
          <w:p>
            <w:pPr>
              <w:spacing w:after="0"/>
              <w:rPr>
                <w:sz w:val="1"/>
                <w:szCs w:val="1"/>
                <w:color w:val="auto"/>
              </w:rPr>
            </w:pPr>
          </w:p>
        </w:tc>
      </w:tr>
      <w:tr>
        <w:trPr>
          <w:trHeight w:val="128"/>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540" w:type="dxa"/>
            <w:vAlign w:val="bottom"/>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vMerge w:val="continue"/>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60" w:type="dxa"/>
            <w:vAlign w:val="bottom"/>
            <w:tcBorders>
              <w:right w:val="single" w:sz="8" w:color="CCEEFF"/>
            </w:tcBorders>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vMerge w:val="continue"/>
            <w:shd w:val="clear" w:color="auto" w:fill="CCEEFF"/>
          </w:tcPr>
          <w:p>
            <w:pPr>
              <w:spacing w:after="0"/>
              <w:rPr>
                <w:sz w:val="11"/>
                <w:szCs w:val="11"/>
                <w:color w:val="auto"/>
              </w:rPr>
            </w:pPr>
          </w:p>
        </w:tc>
        <w:tc>
          <w:tcPr>
            <w:tcW w:w="580" w:type="dxa"/>
            <w:vAlign w:val="bottom"/>
            <w:tcBorders>
              <w:right w:val="single" w:sz="8" w:color="auto"/>
            </w:tcBorders>
            <w:gridSpan w:val="2"/>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220" w:type="dxa"/>
            <w:vAlign w:val="bottom"/>
            <w:gridSpan w:val="2"/>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bottom w:val="single" w:sz="8" w:color="CCEEFF"/>
            </w:tcBorders>
            <w:vMerge w:val="restart"/>
          </w:tcPr>
          <w:p>
            <w:pPr>
              <w:spacing w:after="0" w:line="86" w:lineRule="exact"/>
              <w:rPr>
                <w:sz w:val="20"/>
                <w:szCs w:val="20"/>
                <w:color w:val="auto"/>
              </w:rPr>
            </w:pPr>
            <w:r>
              <w:rPr>
                <w:rFonts w:ascii="Times New Roman" w:cs="Times New Roman" w:eastAsia="Times New Roman" w:hAnsi="Times New Roman"/>
                <w:sz w:val="9"/>
                <w:szCs w:val="9"/>
                <w:color w:val="auto"/>
              </w:rPr>
              <w:t>Issuance of Series C</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
        </w:trPr>
        <w:tc>
          <w:tcPr>
            <w:tcW w:w="10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convertible</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line="110" w:lineRule="exact"/>
              <w:rPr>
                <w:sz w:val="20"/>
                <w:szCs w:val="20"/>
                <w:color w:val="auto"/>
              </w:rPr>
            </w:pPr>
            <w:r>
              <w:rPr>
                <w:rFonts w:ascii="Times New Roman" w:cs="Times New Roman" w:eastAsia="Times New Roman" w:hAnsi="Times New Roman"/>
                <w:sz w:val="11"/>
                <w:szCs w:val="11"/>
                <w:color w:val="auto"/>
              </w:rPr>
              <w:t>preferred stock, net</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0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of $619 issuance</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080" w:type="dxa"/>
            <w:vAlign w:val="bottom"/>
          </w:tcPr>
          <w:p>
            <w:pPr>
              <w:spacing w:after="0"/>
              <w:rPr>
                <w:sz w:val="20"/>
                <w:szCs w:val="20"/>
                <w:color w:val="auto"/>
              </w:rPr>
            </w:pPr>
            <w:r>
              <w:rPr>
                <w:rFonts w:ascii="Times New Roman" w:cs="Times New Roman" w:eastAsia="Times New Roman" w:hAnsi="Times New Roman"/>
                <w:sz w:val="11"/>
                <w:szCs w:val="11"/>
                <w:color w:val="auto"/>
              </w:rPr>
              <w:t>costs</w:t>
            </w: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116,275,239</w:t>
            </w:r>
          </w:p>
        </w:tc>
        <w:tc>
          <w:tcPr>
            <w:tcW w:w="1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199,526</w:t>
            </w:r>
          </w:p>
        </w:tc>
        <w:tc>
          <w:tcPr>
            <w:tcW w:w="140" w:type="dxa"/>
            <w:vAlign w:val="bottom"/>
            <w:tcBorders>
              <w:right w:val="single" w:sz="8" w:color="auto"/>
            </w:tcBorders>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4"/>
        </w:trPr>
        <w:tc>
          <w:tcPr>
            <w:tcW w:w="1080" w:type="dxa"/>
            <w:vAlign w:val="bottom"/>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Stock-based</w:t>
            </w: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tcBorders>
              <w:right w:val="single" w:sz="8" w:color="auto"/>
            </w:tcBorders>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compensation</w:t>
            </w:r>
          </w:p>
        </w:tc>
        <w:tc>
          <w:tcPr>
            <w:tcW w:w="5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5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Borders>
              <w:right w:val="single" w:sz="8" w:color="CCEEFF"/>
            </w:tcBorders>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1,536</w:t>
            </w:r>
          </w:p>
        </w:tc>
        <w:tc>
          <w:tcPr>
            <w:tcW w:w="180" w:type="dxa"/>
            <w:vAlign w:val="bottom"/>
            <w:tcBorders>
              <w:right w:val="single" w:sz="8" w:color="CCEEFF"/>
            </w:tcBorders>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0" w:type="dxa"/>
            <w:vAlign w:val="bottom"/>
          </w:tcPr>
          <w:p>
            <w:pPr>
              <w:spacing w:after="0"/>
              <w:rPr>
                <w:sz w:val="1"/>
                <w:szCs w:val="1"/>
                <w:color w:val="auto"/>
              </w:rPr>
            </w:pPr>
          </w:p>
        </w:tc>
      </w:tr>
      <w:tr>
        <w:trPr>
          <w:trHeight w:val="1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expense</w:t>
            </w:r>
          </w:p>
        </w:tc>
        <w:tc>
          <w:tcPr>
            <w:tcW w:w="5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right w:val="single" w:sz="8" w:color="auto"/>
            </w:tcBorders>
            <w:gridSpan w:val="2"/>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08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Exercises of</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common stock</w:t>
            </w:r>
          </w:p>
        </w:tc>
        <w:tc>
          <w:tcPr>
            <w:tcW w:w="5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58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15,655</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34"/>
        </w:trPr>
        <w:tc>
          <w:tcPr>
            <w:tcW w:w="1080" w:type="dxa"/>
            <w:vAlign w:val="bottom"/>
          </w:tcPr>
          <w:p>
            <w:pPr>
              <w:spacing w:after="0"/>
              <w:rPr>
                <w:sz w:val="20"/>
                <w:szCs w:val="20"/>
                <w:color w:val="auto"/>
              </w:rPr>
            </w:pPr>
            <w:r>
              <w:rPr>
                <w:rFonts w:ascii="Times New Roman" w:cs="Times New Roman" w:eastAsia="Times New Roman" w:hAnsi="Times New Roman"/>
                <w:sz w:val="11"/>
                <w:szCs w:val="11"/>
                <w:color w:val="auto"/>
              </w:rPr>
              <w:t>options</w:t>
            </w: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right w:val="single" w:sz="8" w:color="auto"/>
            </w:tcBorders>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08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Net loss</w:t>
            </w:r>
          </w:p>
        </w:tc>
        <w:tc>
          <w:tcPr>
            <w:tcW w:w="540" w:type="dxa"/>
            <w:vAlign w:val="bottom"/>
            <w:shd w:val="clear" w:color="auto" w:fill="CCEEFF"/>
          </w:tcPr>
          <w:p>
            <w:pPr>
              <w:jc w:val="right"/>
              <w:ind w:right="3"/>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180"/>
              <w:spacing w:after="0" w:line="110"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3"/>
              <w:spacing w:after="0" w:line="11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66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580" w:type="dxa"/>
            <w:vAlign w:val="bottom"/>
            <w:tcBorders>
              <w:right w:val="single" w:sz="8" w:color="auto"/>
            </w:tcBorders>
            <w:gridSpan w:val="2"/>
            <w:shd w:val="clear" w:color="auto" w:fill="CCEEFF"/>
          </w:tcPr>
          <w:p>
            <w:pPr>
              <w:jc w:val="right"/>
              <w:ind w:right="180"/>
              <w:spacing w:after="0" w:line="110"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jc w:val="right"/>
              <w:ind w:right="3"/>
              <w:spacing w:after="0" w:line="110"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7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(37,977)</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(37,97</w:t>
            </w:r>
          </w:p>
        </w:tc>
        <w:tc>
          <w:tcPr>
            <w:tcW w:w="0" w:type="dxa"/>
            <w:vAlign w:val="bottom"/>
          </w:tcPr>
          <w:p>
            <w:pPr>
              <w:spacing w:after="0"/>
              <w:rPr>
                <w:sz w:val="1"/>
                <w:szCs w:val="1"/>
                <w:color w:val="auto"/>
              </w:rPr>
            </w:pPr>
          </w:p>
        </w:tc>
      </w:tr>
      <w:tr>
        <w:trPr>
          <w:trHeight w:val="94"/>
        </w:trPr>
        <w:tc>
          <w:tcPr>
            <w:tcW w:w="108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Foreign currency</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translation</w:t>
            </w:r>
          </w:p>
        </w:tc>
        <w:tc>
          <w:tcPr>
            <w:tcW w:w="5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4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9"/>
                <w:szCs w:val="9"/>
                <w:color w:val="auto"/>
              </w:rPr>
            </w:pP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vMerge w:val="restart"/>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34"/>
        </w:trPr>
        <w:tc>
          <w:tcPr>
            <w:tcW w:w="1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adjustment</w:t>
            </w:r>
          </w:p>
        </w:tc>
        <w:tc>
          <w:tcPr>
            <w:tcW w:w="5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CCEEFF"/>
              <w:right w:val="single" w:sz="8" w:color="auto"/>
            </w:tcBorders>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80" w:type="dxa"/>
            <w:vAlign w:val="bottom"/>
            <w:shd w:val="clear" w:color="auto" w:fill="CCEEFF"/>
          </w:tcPr>
          <w:p>
            <w:pPr>
              <w:spacing w:after="0" w:line="72" w:lineRule="exact"/>
              <w:rPr>
                <w:sz w:val="20"/>
                <w:szCs w:val="20"/>
                <w:color w:val="auto"/>
              </w:rPr>
            </w:pPr>
            <w:r>
              <w:rPr>
                <w:rFonts w:ascii="Times New Roman" w:cs="Times New Roman" w:eastAsia="Times New Roman" w:hAnsi="Times New Roman"/>
                <w:sz w:val="8"/>
                <w:szCs w:val="8"/>
                <w:b w:val="1"/>
                <w:bCs w:val="1"/>
                <w:color w:val="auto"/>
              </w:rPr>
              <w:t>Balance at</w:t>
            </w:r>
          </w:p>
        </w:tc>
        <w:tc>
          <w:tcPr>
            <w:tcW w:w="5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1,785,714</w:t>
            </w:r>
          </w:p>
        </w:tc>
        <w:tc>
          <w:tcPr>
            <w:tcW w:w="2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956</w:t>
            </w:r>
          </w:p>
        </w:tc>
        <w:tc>
          <w:tcPr>
            <w:tcW w:w="120" w:type="dxa"/>
            <w:vAlign w:val="bottom"/>
            <w:shd w:val="clear" w:color="auto" w:fill="CCEEFF"/>
          </w:tcPr>
          <w:p>
            <w:pPr>
              <w:spacing w:after="0"/>
              <w:rPr>
                <w:sz w:val="6"/>
                <w:szCs w:val="6"/>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17,589,380</w:t>
            </w:r>
          </w:p>
        </w:tc>
        <w:tc>
          <w:tcPr>
            <w:tcW w:w="180" w:type="dxa"/>
            <w:vAlign w:val="bottom"/>
            <w:tcBorders>
              <w:right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55,840</w:t>
            </w:r>
          </w:p>
        </w:tc>
        <w:tc>
          <w:tcPr>
            <w:tcW w:w="120" w:type="dxa"/>
            <w:vAlign w:val="bottom"/>
            <w:shd w:val="clear" w:color="auto" w:fill="CCEEFF"/>
          </w:tcPr>
          <w:p>
            <w:pPr>
              <w:spacing w:after="0"/>
              <w:rPr>
                <w:sz w:val="6"/>
                <w:szCs w:val="6"/>
                <w:color w:val="auto"/>
              </w:rPr>
            </w:pPr>
          </w:p>
        </w:tc>
        <w:tc>
          <w:tcPr>
            <w:tcW w:w="6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81,242,587</w:t>
            </w: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193,290</w:t>
            </w:r>
          </w:p>
        </w:tc>
        <w:tc>
          <w:tcPr>
            <w:tcW w:w="180" w:type="dxa"/>
            <w:vAlign w:val="bottom"/>
            <w:tcBorders>
              <w:right w:val="single" w:sz="8" w:color="CCEEFF"/>
            </w:tcBorders>
            <w:shd w:val="clear" w:color="auto" w:fill="CCEEFF"/>
          </w:tcPr>
          <w:p>
            <w:pPr>
              <w:spacing w:after="0"/>
              <w:rPr>
                <w:sz w:val="6"/>
                <w:szCs w:val="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116,275,239</w:t>
            </w: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199,526</w:t>
            </w:r>
          </w:p>
        </w:tc>
        <w:tc>
          <w:tcPr>
            <w:tcW w:w="140" w:type="dxa"/>
            <w:vAlign w:val="bottom"/>
            <w:tcBorders>
              <w:right w:val="single" w:sz="8" w:color="auto"/>
            </w:tcBorders>
            <w:shd w:val="clear" w:color="auto" w:fill="CCEEFF"/>
          </w:tcPr>
          <w:p>
            <w:pPr>
              <w:spacing w:after="0"/>
              <w:rPr>
                <w:sz w:val="6"/>
                <w:szCs w:val="6"/>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1,578,372</w:t>
            </w:r>
          </w:p>
        </w:tc>
        <w:tc>
          <w:tcPr>
            <w:tcW w:w="3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Borders>
              <w:righ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7,294</w:t>
            </w:r>
          </w:p>
        </w:tc>
        <w:tc>
          <w:tcPr>
            <w:tcW w:w="180" w:type="dxa"/>
            <w:vAlign w:val="bottom"/>
            <w:tcBorders>
              <w:right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(296,180)</w:t>
            </w:r>
          </w:p>
        </w:tc>
        <w:tc>
          <w:tcPr>
            <w:tcW w:w="120" w:type="dxa"/>
            <w:vAlign w:val="bottom"/>
            <w:shd w:val="clear" w:color="auto" w:fill="CCEEFF"/>
          </w:tcPr>
          <w:p>
            <w:pPr>
              <w:spacing w:after="0"/>
              <w:rPr>
                <w:sz w:val="6"/>
                <w:szCs w:val="6"/>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(288,78</w:t>
            </w:r>
          </w:p>
        </w:tc>
        <w:tc>
          <w:tcPr>
            <w:tcW w:w="0" w:type="dxa"/>
            <w:vAlign w:val="bottom"/>
          </w:tcPr>
          <w:p>
            <w:pPr>
              <w:spacing w:after="0"/>
              <w:rPr>
                <w:sz w:val="1"/>
                <w:szCs w:val="1"/>
                <w:color w:val="auto"/>
              </w:rPr>
            </w:pPr>
          </w:p>
        </w:tc>
      </w:tr>
      <w:tr>
        <w:trPr>
          <w:trHeight w:val="128"/>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540" w:type="dxa"/>
            <w:vAlign w:val="bottom"/>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vMerge w:val="continue"/>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60" w:type="dxa"/>
            <w:vAlign w:val="bottom"/>
            <w:tcBorders>
              <w:right w:val="single" w:sz="8" w:color="CCEEFF"/>
            </w:tcBorders>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220" w:type="dxa"/>
            <w:vAlign w:val="bottom"/>
            <w:gridSpan w:val="2"/>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bottom w:val="single" w:sz="8" w:color="CCEEFF"/>
            </w:tcBorders>
            <w:vMerge w:val="restart"/>
          </w:tcPr>
          <w:p>
            <w:pPr>
              <w:spacing w:after="0" w:line="86" w:lineRule="exact"/>
              <w:rPr>
                <w:sz w:val="20"/>
                <w:szCs w:val="20"/>
                <w:color w:val="auto"/>
              </w:rPr>
            </w:pPr>
            <w:r>
              <w:rPr>
                <w:rFonts w:ascii="Times New Roman" w:cs="Times New Roman" w:eastAsia="Times New Roman" w:hAnsi="Times New Roman"/>
                <w:sz w:val="9"/>
                <w:szCs w:val="9"/>
                <w:color w:val="auto"/>
              </w:rPr>
              <w:t>Conversion of</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
        </w:trPr>
        <w:tc>
          <w:tcPr>
            <w:tcW w:w="10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convertible</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line="110" w:lineRule="exact"/>
              <w:rPr>
                <w:sz w:val="20"/>
                <w:szCs w:val="20"/>
                <w:color w:val="auto"/>
              </w:rPr>
            </w:pPr>
            <w:r>
              <w:rPr>
                <w:rFonts w:ascii="Times New Roman" w:cs="Times New Roman" w:eastAsia="Times New Roman" w:hAnsi="Times New Roman"/>
                <w:sz w:val="11"/>
                <w:szCs w:val="11"/>
                <w:color w:val="auto"/>
              </w:rPr>
              <w:t>preferred stock to</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0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common stock upon</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closing of initial</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7"/>
              </w:rPr>
              <w:t>(1,785,714)</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(956)</w:t>
            </w:r>
          </w:p>
        </w:tc>
        <w:tc>
          <w:tcPr>
            <w:tcW w:w="1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(17,589,380)</w:t>
            </w:r>
          </w:p>
        </w:tc>
        <w:tc>
          <w:tcPr>
            <w:tcW w:w="18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5"/>
              </w:rPr>
              <w:t>(55,840)</w:t>
            </w:r>
          </w:p>
        </w:tc>
        <w:tc>
          <w:tcPr>
            <w:tcW w:w="1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8"/>
              </w:rPr>
              <w:t>(81,242,587)</w:t>
            </w:r>
          </w:p>
        </w:tc>
        <w:tc>
          <w:tcPr>
            <w:tcW w:w="16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(193,290)</w:t>
            </w:r>
          </w:p>
        </w:tc>
        <w:tc>
          <w:tcPr>
            <w:tcW w:w="1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(116,275,239)</w:t>
            </w:r>
          </w:p>
        </w:tc>
        <w:tc>
          <w:tcPr>
            <w:tcW w:w="18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7"/>
              </w:rPr>
              <w:t>(199,526)</w:t>
            </w:r>
          </w:p>
        </w:tc>
        <w:tc>
          <w:tcPr>
            <w:tcW w:w="140" w:type="dxa"/>
            <w:vAlign w:val="bottom"/>
            <w:tcBorders>
              <w:right w:val="single" w:sz="8" w:color="auto"/>
            </w:tcBorders>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24,978,715</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18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449,610</w:t>
            </w: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449,61</w:t>
            </w:r>
          </w:p>
        </w:tc>
        <w:tc>
          <w:tcPr>
            <w:tcW w:w="0" w:type="dxa"/>
            <w:vAlign w:val="bottom"/>
          </w:tcPr>
          <w:p>
            <w:pPr>
              <w:spacing w:after="0"/>
              <w:rPr>
                <w:sz w:val="1"/>
                <w:szCs w:val="1"/>
                <w:color w:val="auto"/>
              </w:rPr>
            </w:pPr>
          </w:p>
        </w:tc>
      </w:tr>
      <w:tr>
        <w:trPr>
          <w:trHeight w:val="134"/>
        </w:trPr>
        <w:tc>
          <w:tcPr>
            <w:tcW w:w="1080" w:type="dxa"/>
            <w:vAlign w:val="bottom"/>
          </w:tcPr>
          <w:p>
            <w:pPr>
              <w:spacing w:after="0"/>
              <w:rPr>
                <w:sz w:val="20"/>
                <w:szCs w:val="20"/>
                <w:color w:val="auto"/>
              </w:rPr>
            </w:pPr>
            <w:r>
              <w:rPr>
                <w:rFonts w:ascii="Times New Roman" w:cs="Times New Roman" w:eastAsia="Times New Roman" w:hAnsi="Times New Roman"/>
                <w:sz w:val="11"/>
                <w:szCs w:val="11"/>
                <w:color w:val="auto"/>
              </w:rPr>
              <w:t>public offering</w:t>
            </w: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080" w:type="dxa"/>
            <w:vAlign w:val="bottom"/>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Issuance of common</w:t>
            </w: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tcBorders>
              <w:right w:val="single" w:sz="8" w:color="auto"/>
            </w:tcBorders>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stock from initial</w:t>
            </w: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tcBorders>
              <w:right w:val="single" w:sz="8" w:color="auto"/>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08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public offering, net</w:t>
            </w: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tcBorders>
              <w:right w:val="single" w:sz="8" w:color="auto"/>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08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1"/>
                <w:szCs w:val="11"/>
                <w:color w:val="auto"/>
              </w:rPr>
              <w:t>of $6,250 of</w:t>
            </w: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costs</w:t>
            </w: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15,220,588</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18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234,384</w:t>
            </w:r>
          </w:p>
        </w:tc>
        <w:tc>
          <w:tcPr>
            <w:tcW w:w="18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234,38</w:t>
            </w:r>
          </w:p>
        </w:tc>
        <w:tc>
          <w:tcPr>
            <w:tcW w:w="0" w:type="dxa"/>
            <w:vAlign w:val="bottom"/>
          </w:tcPr>
          <w:p>
            <w:pPr>
              <w:spacing w:after="0"/>
              <w:rPr>
                <w:sz w:val="1"/>
                <w:szCs w:val="1"/>
                <w:color w:val="auto"/>
              </w:rPr>
            </w:pPr>
          </w:p>
        </w:tc>
      </w:tr>
      <w:tr>
        <w:trPr>
          <w:trHeight w:val="94"/>
        </w:trPr>
        <w:tc>
          <w:tcPr>
            <w:tcW w:w="108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Stock-based</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compensation</w:t>
            </w:r>
          </w:p>
        </w:tc>
        <w:tc>
          <w:tcPr>
            <w:tcW w:w="5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58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2,843</w:t>
            </w: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0" w:type="dxa"/>
            <w:vAlign w:val="bottom"/>
          </w:tcPr>
          <w:p>
            <w:pPr>
              <w:spacing w:after="0"/>
              <w:rPr>
                <w:sz w:val="1"/>
                <w:szCs w:val="1"/>
                <w:color w:val="auto"/>
              </w:rPr>
            </w:pPr>
          </w:p>
        </w:tc>
      </w:tr>
      <w:tr>
        <w:trPr>
          <w:trHeight w:val="134"/>
        </w:trPr>
        <w:tc>
          <w:tcPr>
            <w:tcW w:w="1080" w:type="dxa"/>
            <w:vAlign w:val="bottom"/>
          </w:tcPr>
          <w:p>
            <w:pPr>
              <w:spacing w:after="0"/>
              <w:rPr>
                <w:sz w:val="20"/>
                <w:szCs w:val="20"/>
                <w:color w:val="auto"/>
              </w:rPr>
            </w:pPr>
            <w:r>
              <w:rPr>
                <w:rFonts w:ascii="Times New Roman" w:cs="Times New Roman" w:eastAsia="Times New Roman" w:hAnsi="Times New Roman"/>
                <w:sz w:val="11"/>
                <w:szCs w:val="11"/>
                <w:color w:val="auto"/>
              </w:rPr>
              <w:t>expense</w:t>
            </w: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right w:val="single" w:sz="8" w:color="auto"/>
            </w:tcBorders>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080" w:type="dxa"/>
            <w:vAlign w:val="bottom"/>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Exercises of</w:t>
            </w: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tcBorders>
              <w:right w:val="single" w:sz="8" w:color="auto"/>
            </w:tcBorders>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common stock</w:t>
            </w:r>
          </w:p>
        </w:tc>
        <w:tc>
          <w:tcPr>
            <w:tcW w:w="5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5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3,263</w:t>
            </w: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Borders>
              <w:right w:val="single" w:sz="8" w:color="CCEEFF"/>
            </w:tcBorders>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80" w:type="dxa"/>
            <w:vAlign w:val="bottom"/>
            <w:tcBorders>
              <w:right w:val="single" w:sz="8" w:color="CCEEFF"/>
            </w:tcBorders>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options</w:t>
            </w:r>
          </w:p>
        </w:tc>
        <w:tc>
          <w:tcPr>
            <w:tcW w:w="5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right w:val="single" w:sz="8" w:color="auto"/>
            </w:tcBorders>
            <w:gridSpan w:val="2"/>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line="110" w:lineRule="exact"/>
              <w:rPr>
                <w:sz w:val="20"/>
                <w:szCs w:val="20"/>
                <w:color w:val="auto"/>
              </w:rPr>
            </w:pPr>
            <w:r>
              <w:rPr>
                <w:rFonts w:ascii="Times New Roman" w:cs="Times New Roman" w:eastAsia="Times New Roman" w:hAnsi="Times New Roman"/>
                <w:sz w:val="11"/>
                <w:szCs w:val="11"/>
                <w:color w:val="auto"/>
              </w:rPr>
              <w:t>Net loss</w:t>
            </w:r>
          </w:p>
        </w:tc>
        <w:tc>
          <w:tcPr>
            <w:tcW w:w="540" w:type="dxa"/>
            <w:vAlign w:val="bottom"/>
          </w:tcPr>
          <w:p>
            <w:pPr>
              <w:jc w:val="right"/>
              <w:ind w:right="3"/>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gridSpan w:val="2"/>
          </w:tcPr>
          <w:p>
            <w:pPr>
              <w:jc w:val="right"/>
              <w:ind w:right="160"/>
              <w:spacing w:after="0" w:line="110"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520" w:type="dxa"/>
            <w:vAlign w:val="bottom"/>
            <w:gridSpan w:val="2"/>
          </w:tcPr>
          <w:p>
            <w:pPr>
              <w:jc w:val="right"/>
              <w:ind w:right="180"/>
              <w:spacing w:after="0" w:line="110"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3"/>
              <w:spacing w:after="0" w:line="11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4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6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580" w:type="dxa"/>
            <w:vAlign w:val="bottom"/>
            <w:tcBorders>
              <w:right w:val="single" w:sz="8" w:color="auto"/>
            </w:tcBorders>
            <w:gridSpan w:val="2"/>
          </w:tcPr>
          <w:p>
            <w:pPr>
              <w:jc w:val="right"/>
              <w:ind w:right="180"/>
              <w:spacing w:after="0" w:line="110"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jc w:val="right"/>
              <w:ind w:right="3"/>
              <w:spacing w:after="0" w:line="110"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9"/>
                <w:szCs w:val="9"/>
                <w:color w:val="auto"/>
              </w:rPr>
            </w:pPr>
          </w:p>
        </w:tc>
        <w:tc>
          <w:tcPr>
            <w:tcW w:w="4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70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(38,606)</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(38,60</w:t>
            </w:r>
          </w:p>
        </w:tc>
        <w:tc>
          <w:tcPr>
            <w:tcW w:w="0" w:type="dxa"/>
            <w:vAlign w:val="bottom"/>
          </w:tcPr>
          <w:p>
            <w:pPr>
              <w:spacing w:after="0"/>
              <w:rPr>
                <w:sz w:val="1"/>
                <w:szCs w:val="1"/>
                <w:color w:val="auto"/>
              </w:rPr>
            </w:pPr>
          </w:p>
        </w:tc>
      </w:tr>
      <w:tr>
        <w:trPr>
          <w:trHeight w:val="94"/>
        </w:trPr>
        <w:tc>
          <w:tcPr>
            <w:tcW w:w="1080" w:type="dxa"/>
            <w:vAlign w:val="bottom"/>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Foreign currency</w:t>
            </w: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tcBorders>
              <w:right w:val="single" w:sz="8" w:color="auto"/>
            </w:tcBorders>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translation</w:t>
            </w:r>
          </w:p>
        </w:tc>
        <w:tc>
          <w:tcPr>
            <w:tcW w:w="5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4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spacing w:after="0"/>
              <w:rPr>
                <w:sz w:val="9"/>
                <w:szCs w:val="9"/>
                <w:color w:val="auto"/>
              </w:rPr>
            </w:pPr>
          </w:p>
        </w:tc>
        <w:tc>
          <w:tcPr>
            <w:tcW w:w="6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CEEFF"/>
            </w:tcBorders>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vMerge w:val="restart"/>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Borders>
              <w:right w:val="single" w:sz="8" w:color="CCEEFF"/>
            </w:tcBorders>
            <w:shd w:val="clear" w:color="auto" w:fill="CCEEFF"/>
          </w:tcPr>
          <w:p>
            <w:pPr>
              <w:spacing w:after="0"/>
              <w:rPr>
                <w:sz w:val="9"/>
                <w:szCs w:val="9"/>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CEEFF"/>
            </w:tcBorders>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34"/>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w:t>
            </w: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00" w:type="dxa"/>
            <w:vAlign w:val="bottom"/>
            <w:tcBorders>
              <w:bottom w:val="single" w:sz="8" w:color="auto"/>
            </w:tcBorders>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0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00" w:type="dxa"/>
            <w:vAlign w:val="bottom"/>
            <w:tcBorders>
              <w:bottom w:val="single" w:sz="8" w:color="auto"/>
            </w:tcBorders>
            <w:vMerge w:val="continue"/>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60" w:type="dxa"/>
            <w:vAlign w:val="bottom"/>
            <w:tcBorders>
              <w:bottom w:val="single" w:sz="8" w:color="auto"/>
            </w:tcBorders>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bottom w:val="single" w:sz="8" w:color="auto"/>
            </w:tcBorders>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40" w:type="dxa"/>
            <w:vAlign w:val="bottom"/>
            <w:tcBorders>
              <w:bottom w:val="single" w:sz="8" w:color="auto"/>
            </w:tcBorders>
            <w:vMerge w:val="continue"/>
            <w:shd w:val="clear" w:color="auto" w:fill="CCEEFF"/>
          </w:tcPr>
          <w:p>
            <w:pPr>
              <w:spacing w:after="0"/>
              <w:rPr>
                <w:sz w:val="11"/>
                <w:szCs w:val="11"/>
                <w:color w:val="auto"/>
              </w:rPr>
            </w:pPr>
          </w:p>
        </w:tc>
        <w:tc>
          <w:tcPr>
            <w:tcW w:w="140" w:type="dxa"/>
            <w:vAlign w:val="bottom"/>
            <w:tcBorders>
              <w:right w:val="single" w:sz="8" w:color="auto"/>
            </w:tcBorders>
            <w:vMerge w:val="continue"/>
            <w:shd w:val="clear" w:color="auto" w:fill="CCEEFF"/>
          </w:tcPr>
          <w:p>
            <w:pPr>
              <w:spacing w:after="0"/>
              <w:rPr>
                <w:sz w:val="11"/>
                <w:szCs w:val="11"/>
                <w:color w:val="auto"/>
              </w:rPr>
            </w:pPr>
          </w:p>
        </w:tc>
        <w:tc>
          <w:tcPr>
            <w:tcW w:w="56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60" w:type="dxa"/>
            <w:vAlign w:val="bottom"/>
            <w:tcBorders>
              <w:bottom w:val="single" w:sz="8" w:color="auto"/>
            </w:tcBorders>
            <w:vMerge w:val="continue"/>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0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080" w:type="dxa"/>
            <w:vAlign w:val="bottom"/>
          </w:tcPr>
          <w:p>
            <w:pPr>
              <w:spacing w:after="0" w:line="72" w:lineRule="exact"/>
              <w:rPr>
                <w:sz w:val="20"/>
                <w:szCs w:val="20"/>
                <w:color w:val="auto"/>
              </w:rPr>
            </w:pPr>
            <w:r>
              <w:rPr>
                <w:rFonts w:ascii="Times New Roman" w:cs="Times New Roman" w:eastAsia="Times New Roman" w:hAnsi="Times New Roman"/>
                <w:sz w:val="8"/>
                <w:szCs w:val="8"/>
                <w:b w:val="1"/>
                <w:bCs w:val="1"/>
                <w:color w:val="auto"/>
              </w:rPr>
              <w:t>Balance at</w:t>
            </w:r>
          </w:p>
        </w:tc>
        <w:tc>
          <w:tcPr>
            <w:tcW w:w="5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vMerge w:val="restart"/>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41,780,938</w:t>
            </w:r>
          </w:p>
        </w:tc>
        <w:tc>
          <w:tcPr>
            <w:tcW w:w="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694,163</w:t>
            </w:r>
          </w:p>
        </w:tc>
        <w:tc>
          <w:tcPr>
            <w:tcW w:w="180" w:type="dxa"/>
            <w:vAlign w:val="bottom"/>
            <w:vMerge w:val="restart"/>
          </w:tcPr>
          <w:p>
            <w:pPr>
              <w:ind w:left="120"/>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(334,786)</w:t>
            </w:r>
          </w:p>
        </w:tc>
        <w:tc>
          <w:tcPr>
            <w:tcW w:w="120" w:type="dxa"/>
            <w:vAlign w:val="bottom"/>
          </w:tcPr>
          <w:p>
            <w:pPr>
              <w:spacing w:after="0"/>
              <w:rPr>
                <w:sz w:val="6"/>
                <w:szCs w:val="6"/>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359,43</w:t>
            </w:r>
          </w:p>
        </w:tc>
        <w:tc>
          <w:tcPr>
            <w:tcW w:w="0" w:type="dxa"/>
            <w:vAlign w:val="bottom"/>
          </w:tcPr>
          <w:p>
            <w:pPr>
              <w:spacing w:after="0"/>
              <w:rPr>
                <w:sz w:val="1"/>
                <w:szCs w:val="1"/>
                <w:color w:val="auto"/>
              </w:rPr>
            </w:pPr>
          </w:p>
        </w:tc>
      </w:tr>
      <w:tr>
        <w:trPr>
          <w:trHeight w:val="128"/>
        </w:trPr>
        <w:tc>
          <w:tcPr>
            <w:tcW w:w="10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54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580" w:type="dxa"/>
            <w:vAlign w:val="bottom"/>
            <w:tcBorders>
              <w:right w:val="single" w:sz="8" w:color="auto"/>
            </w:tcBorders>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9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327660</wp:posOffset>
            </wp:positionV>
            <wp:extent cx="5998210"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98210" cy="23495"/>
                    </a:xfrm>
                    <a:prstGeom prst="rect">
                      <a:avLst/>
                    </a:prstGeom>
                    <a:noFill/>
                  </pic:spPr>
                </pic:pic>
              </a:graphicData>
            </a:graphic>
          </wp:anchor>
        </w:drawing>
      </w:r>
    </w:p>
    <w:p>
      <w:pPr>
        <w:sectPr>
          <w:pgSz w:w="11900" w:h="16838" w:orient="portrait"/>
          <w:cols w:equalWidth="0" w:num="1">
            <w:col w:w="10440"/>
          </w:cols>
          <w:pgMar w:left="1220" w:top="477" w:right="239"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Zenas BioPharma,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2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w w:val="98"/>
              </w:rPr>
              <w:t>Nine Months Ended</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9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598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gridSpan w:val="2"/>
          </w:tcPr>
          <w:p>
            <w:pPr>
              <w:jc w:val="right"/>
              <w:ind w:right="20"/>
              <w:spacing w:after="0" w:line="127" w:lineRule="exact"/>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407"/>
              <w:spacing w:after="0" w:line="127" w:lineRule="exact"/>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w w:val="98"/>
              </w:rPr>
              <w:t>(104,384)</w:t>
            </w:r>
          </w:p>
        </w:tc>
        <w:tc>
          <w:tcPr>
            <w:tcW w:w="38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(12,537)</w:t>
            </w:r>
          </w:p>
        </w:tc>
        <w:tc>
          <w:tcPr>
            <w:tcW w:w="0" w:type="dxa"/>
            <w:vAlign w:val="bottom"/>
          </w:tcPr>
          <w:p>
            <w:pPr>
              <w:spacing w:after="0"/>
              <w:rPr>
                <w:sz w:val="1"/>
                <w:szCs w:val="1"/>
                <w:color w:val="auto"/>
              </w:rPr>
            </w:pPr>
          </w:p>
        </w:tc>
      </w:tr>
      <w:tr>
        <w:trPr>
          <w:trHeight w:val="18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Acquired in-process research and development</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0" w:type="dxa"/>
            <w:vAlign w:val="bottom"/>
          </w:tcPr>
          <w:p>
            <w:pPr>
              <w:spacing w:after="0"/>
              <w:rPr>
                <w:sz w:val="1"/>
                <w:szCs w:val="1"/>
                <w:color w:val="auto"/>
              </w:rPr>
            </w:pPr>
          </w:p>
        </w:tc>
      </w:tr>
      <w:tr>
        <w:trPr>
          <w:trHeight w:val="183"/>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Depreciation expense</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0" w:type="dxa"/>
            <w:vAlign w:val="bottom"/>
          </w:tcPr>
          <w:p>
            <w:pPr>
              <w:spacing w:after="0"/>
              <w:rPr>
                <w:sz w:val="1"/>
                <w:szCs w:val="1"/>
                <w:color w:val="auto"/>
              </w:rPr>
            </w:pPr>
          </w:p>
        </w:tc>
      </w:tr>
      <w:tr>
        <w:trPr>
          <w:trHeight w:val="183"/>
        </w:trPr>
        <w:tc>
          <w:tcPr>
            <w:tcW w:w="59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5,326</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2,360</w:t>
            </w:r>
          </w:p>
        </w:tc>
        <w:tc>
          <w:tcPr>
            <w:tcW w:w="0" w:type="dxa"/>
            <w:vAlign w:val="bottom"/>
          </w:tcPr>
          <w:p>
            <w:pPr>
              <w:spacing w:after="0"/>
              <w:rPr>
                <w:sz w:val="1"/>
                <w:szCs w:val="1"/>
                <w:color w:val="auto"/>
              </w:rPr>
            </w:pPr>
          </w:p>
        </w:tc>
      </w:tr>
      <w:tr>
        <w:trPr>
          <w:trHeight w:val="183"/>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Change in fair value of convertible notes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w:t>
            </w: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59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Non-cash lease expense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423</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571</w:t>
            </w:r>
          </w:p>
        </w:tc>
        <w:tc>
          <w:tcPr>
            <w:tcW w:w="0" w:type="dxa"/>
            <w:vAlign w:val="bottom"/>
          </w:tcPr>
          <w:p>
            <w:pPr>
              <w:spacing w:after="0"/>
              <w:rPr>
                <w:sz w:val="1"/>
                <w:szCs w:val="1"/>
                <w:color w:val="auto"/>
              </w:rPr>
            </w:pPr>
          </w:p>
        </w:tc>
      </w:tr>
      <w:tr>
        <w:trPr>
          <w:trHeight w:val="183"/>
        </w:trPr>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(4,714)</w:t>
            </w:r>
          </w:p>
        </w:tc>
        <w:tc>
          <w:tcPr>
            <w:tcW w:w="0" w:type="dxa"/>
            <w:vAlign w:val="bottom"/>
          </w:tcPr>
          <w:p>
            <w:pPr>
              <w:spacing w:after="0"/>
              <w:rPr>
                <w:sz w:val="1"/>
                <w:szCs w:val="1"/>
                <w:color w:val="auto"/>
              </w:rPr>
            </w:pPr>
          </w:p>
        </w:tc>
      </w:tr>
      <w:tr>
        <w:trPr>
          <w:trHeight w:val="183"/>
        </w:trPr>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Accounts payable</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6,319</w:t>
            </w: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(3,538)</w:t>
            </w:r>
          </w:p>
        </w:tc>
        <w:tc>
          <w:tcPr>
            <w:tcW w:w="0" w:type="dxa"/>
            <w:vAlign w:val="bottom"/>
          </w:tcPr>
          <w:p>
            <w:pPr>
              <w:spacing w:after="0"/>
              <w:rPr>
                <w:sz w:val="1"/>
                <w:szCs w:val="1"/>
                <w:color w:val="auto"/>
              </w:rPr>
            </w:pPr>
          </w:p>
        </w:tc>
      </w:tr>
      <w:tr>
        <w:trPr>
          <w:trHeight w:val="183"/>
        </w:trPr>
        <w:tc>
          <w:tcPr>
            <w:tcW w:w="59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Accrued expenses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10,200</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(6,791)</w:t>
            </w:r>
          </w:p>
        </w:tc>
        <w:tc>
          <w:tcPr>
            <w:tcW w:w="0" w:type="dxa"/>
            <w:vAlign w:val="bottom"/>
          </w:tcPr>
          <w:p>
            <w:pPr>
              <w:spacing w:after="0"/>
              <w:rPr>
                <w:sz w:val="1"/>
                <w:szCs w:val="1"/>
                <w:color w:val="auto"/>
              </w:rPr>
            </w:pPr>
          </w:p>
        </w:tc>
      </w:tr>
      <w:tr>
        <w:trPr>
          <w:trHeight w:val="183"/>
        </w:trPr>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(429)</w:t>
            </w: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(563)</w:t>
            </w:r>
          </w:p>
        </w:tc>
        <w:tc>
          <w:tcPr>
            <w:tcW w:w="0" w:type="dxa"/>
            <w:vAlign w:val="bottom"/>
          </w:tcPr>
          <w:p>
            <w:pPr>
              <w:spacing w:after="0"/>
              <w:rPr>
                <w:sz w:val="1"/>
                <w:szCs w:val="1"/>
                <w:color w:val="auto"/>
              </w:rPr>
            </w:pPr>
          </w:p>
        </w:tc>
      </w:tr>
      <w:tr>
        <w:trPr>
          <w:trHeight w:val="175"/>
        </w:trPr>
        <w:tc>
          <w:tcPr>
            <w:tcW w:w="5980" w:type="dxa"/>
            <w:vAlign w:val="bottom"/>
            <w:tcBorders>
              <w:bottom w:val="single" w:sz="8" w:color="CCEEFF"/>
            </w:tcBorders>
          </w:tcPr>
          <w:p>
            <w:pPr>
              <w:ind w:left="100"/>
              <w:spacing w:after="0" w:line="171" w:lineRule="exact"/>
              <w:rPr>
                <w:sz w:val="20"/>
                <w:szCs w:val="20"/>
                <w:color w:val="auto"/>
              </w:rPr>
            </w:pPr>
            <w:r>
              <w:rPr>
                <w:rFonts w:ascii="Times New Roman" w:cs="Times New Roman" w:eastAsia="Times New Roman" w:hAnsi="Times New Roman"/>
                <w:sz w:val="15"/>
                <w:szCs w:val="15"/>
                <w:color w:val="auto"/>
              </w:rPr>
              <w:t>Net cash used in operating activities</w:t>
            </w:r>
          </w:p>
        </w:tc>
        <w:tc>
          <w:tcPr>
            <w:tcW w:w="1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(81,120)</w:t>
            </w:r>
          </w:p>
        </w:tc>
        <w:tc>
          <w:tcPr>
            <w:tcW w:w="26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(15,129)</w:t>
            </w: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(57)</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Purchases of investments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(26,760)</w:t>
            </w: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5980" w:type="dxa"/>
            <w:vAlign w:val="bottom"/>
            <w:tcBorders>
              <w:bottom w:val="single" w:sz="8" w:color="CCEEFF"/>
            </w:tcBorders>
          </w:tcPr>
          <w:p>
            <w:pPr>
              <w:ind w:left="100"/>
              <w:spacing w:after="0" w:line="171"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1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(26,817)</w:t>
            </w:r>
          </w:p>
        </w:tc>
        <w:tc>
          <w:tcPr>
            <w:tcW w:w="26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issuance of Series C convertible preferred stock, net of issuance costs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178,381</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Payment of initial public offering costs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(1,861)</w:t>
            </w: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598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sale of convertible notes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20,000</w:t>
            </w:r>
          </w:p>
        </w:tc>
        <w:tc>
          <w:tcPr>
            <w:tcW w:w="0" w:type="dxa"/>
            <w:vAlign w:val="bottom"/>
          </w:tcPr>
          <w:p>
            <w:pPr>
              <w:spacing w:after="0"/>
              <w:rPr>
                <w:sz w:val="1"/>
                <w:szCs w:val="1"/>
                <w:color w:val="auto"/>
              </w:rPr>
            </w:pPr>
          </w:p>
        </w:tc>
      </w:tr>
      <w:tr>
        <w:trPr>
          <w:trHeight w:val="18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0" w:type="dxa"/>
            <w:vAlign w:val="bottom"/>
          </w:tcPr>
          <w:p>
            <w:pPr>
              <w:spacing w:after="0"/>
              <w:rPr>
                <w:sz w:val="1"/>
                <w:szCs w:val="1"/>
                <w:color w:val="auto"/>
              </w:rPr>
            </w:pPr>
          </w:p>
        </w:tc>
      </w:tr>
      <w:tr>
        <w:trPr>
          <w:trHeight w:val="18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Proceeds from initial public offering, net of underwriting discount</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234,387</w:t>
            </w:r>
          </w:p>
        </w:tc>
        <w:tc>
          <w:tcPr>
            <w:tcW w:w="2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5"/>
                <w:szCs w:val="15"/>
                <w:color w:val="auto"/>
              </w:rPr>
              <w:t>Net cash provided by financing activities</w:t>
            </w: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411,105</w:t>
            </w:r>
          </w:p>
        </w:tc>
        <w:tc>
          <w:tcPr>
            <w:tcW w:w="2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20,066</w:t>
            </w:r>
          </w:p>
        </w:tc>
        <w:tc>
          <w:tcPr>
            <w:tcW w:w="0" w:type="dxa"/>
            <w:vAlign w:val="bottom"/>
          </w:tcPr>
          <w:p>
            <w:pPr>
              <w:spacing w:after="0"/>
              <w:rPr>
                <w:sz w:val="1"/>
                <w:szCs w:val="1"/>
                <w:color w:val="auto"/>
              </w:rPr>
            </w:pPr>
          </w:p>
        </w:tc>
      </w:tr>
      <w:tr>
        <w:trPr>
          <w:trHeight w:val="175"/>
        </w:trPr>
        <w:tc>
          <w:tcPr>
            <w:tcW w:w="598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0" w:type="dxa"/>
            <w:vAlign w:val="bottom"/>
          </w:tcPr>
          <w:p>
            <w:pPr>
              <w:spacing w:after="0"/>
              <w:rPr>
                <w:sz w:val="1"/>
                <w:szCs w:val="1"/>
                <w:color w:val="auto"/>
              </w:rPr>
            </w:pPr>
          </w:p>
        </w:tc>
      </w:tr>
      <w:tr>
        <w:trPr>
          <w:trHeight w:val="17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increase in cash, cash equivalents and restricted cash</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303,184</w:t>
            </w: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5,102</w:t>
            </w:r>
          </w:p>
        </w:tc>
        <w:tc>
          <w:tcPr>
            <w:tcW w:w="0" w:type="dxa"/>
            <w:vAlign w:val="bottom"/>
          </w:tcPr>
          <w:p>
            <w:pPr>
              <w:spacing w:after="0"/>
              <w:rPr>
                <w:sz w:val="1"/>
                <w:szCs w:val="1"/>
                <w:color w:val="auto"/>
              </w:rPr>
            </w:pPr>
          </w:p>
        </w:tc>
      </w:tr>
      <w:tr>
        <w:trPr>
          <w:trHeight w:val="18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period</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56,943</w:t>
            </w:r>
          </w:p>
        </w:tc>
        <w:tc>
          <w:tcPr>
            <w:tcW w:w="2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67,295</w:t>
            </w:r>
          </w:p>
        </w:tc>
        <w:tc>
          <w:tcPr>
            <w:tcW w:w="0" w:type="dxa"/>
            <w:vAlign w:val="bottom"/>
          </w:tcPr>
          <w:p>
            <w:pPr>
              <w:spacing w:after="0"/>
              <w:rPr>
                <w:sz w:val="1"/>
                <w:szCs w:val="1"/>
                <w:color w:val="auto"/>
              </w:rPr>
            </w:pPr>
          </w:p>
        </w:tc>
      </w:tr>
      <w:tr>
        <w:trPr>
          <w:trHeight w:val="175"/>
        </w:trPr>
        <w:tc>
          <w:tcPr>
            <w:tcW w:w="598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Cash, cash equivalents and restricted cash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360,127</w:t>
            </w:r>
          </w:p>
        </w:tc>
        <w:tc>
          <w:tcPr>
            <w:tcW w:w="2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72,397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Fair value of BMS Note recognized as Series C convertible preferred stock upon conversion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21,146</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5980" w:type="dxa"/>
            <w:vAlign w:val="bottom"/>
            <w:tcBorders>
              <w:bottom w:val="single" w:sz="8" w:color="CCEEFF"/>
            </w:tcBorders>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rPr>
              <w:t>Deferred offering costs in accounts payable and accrued expenses</w:t>
            </w:r>
          </w:p>
        </w:tc>
        <w:tc>
          <w:tcPr>
            <w:tcW w:w="14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4,389</w:t>
            </w:r>
          </w:p>
        </w:tc>
        <w:tc>
          <w:tcPr>
            <w:tcW w:w="2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Deferred offering costs in accrued expenses</w:t>
            </w: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CEEFF"/>
            </w:tcBorders>
            <w:vMerge w:val="continue"/>
          </w:tcPr>
          <w:p>
            <w:pPr>
              <w:spacing w:after="0"/>
              <w:rPr>
                <w:sz w:val="17"/>
                <w:szCs w:val="17"/>
                <w:color w:val="auto"/>
              </w:rPr>
            </w:pPr>
          </w:p>
        </w:tc>
        <w:tc>
          <w:tcPr>
            <w:tcW w:w="3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5"/>
                <w:szCs w:val="15"/>
                <w:color w:val="auto"/>
              </w:rPr>
              <w:t>51</w:t>
            </w:r>
          </w:p>
        </w:tc>
        <w:tc>
          <w:tcPr>
            <w:tcW w:w="0" w:type="dxa"/>
            <w:vAlign w:val="bottom"/>
          </w:tcPr>
          <w:p>
            <w:pPr>
              <w:spacing w:after="0"/>
              <w:rPr>
                <w:sz w:val="1"/>
                <w:szCs w:val="1"/>
                <w:color w:val="auto"/>
              </w:rPr>
            </w:pPr>
          </w:p>
        </w:tc>
      </w:tr>
      <w:tr>
        <w:trPr>
          <w:trHeight w:val="160"/>
        </w:trPr>
        <w:tc>
          <w:tcPr>
            <w:tcW w:w="5980" w:type="dxa"/>
            <w:vAlign w:val="bottom"/>
            <w:tcBorders>
              <w:bottom w:val="single" w:sz="8" w:color="CCEEFF"/>
            </w:tcBorders>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auto"/>
              </w:rPr>
              <w:t>Conversion of convertible preferred stock to common stock upon closing of initial public offering</w:t>
            </w:r>
          </w:p>
        </w:tc>
        <w:tc>
          <w:tcPr>
            <w:tcW w:w="140" w:type="dxa"/>
            <w:vAlign w:val="bottom"/>
            <w:tcBorders>
              <w:bottom w:val="single" w:sz="8" w:color="CCEEFF"/>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449,613</w:t>
            </w:r>
          </w:p>
        </w:tc>
        <w:tc>
          <w:tcPr>
            <w:tcW w:w="2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shd w:val="clear" w:color="auto" w:fill="CCEEFF"/>
          </w:tcPr>
          <w:p>
            <w:pPr>
              <w:jc w:val="right"/>
              <w:spacing w:after="0" w:line="160"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Reconciliation of cash, cash equivalents and restricted cash:</w:t>
            </w: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9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360,038</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72,311</w:t>
            </w:r>
          </w:p>
        </w:tc>
        <w:tc>
          <w:tcPr>
            <w:tcW w:w="0" w:type="dxa"/>
            <w:vAlign w:val="bottom"/>
          </w:tcPr>
          <w:p>
            <w:pPr>
              <w:spacing w:after="0"/>
              <w:rPr>
                <w:sz w:val="1"/>
                <w:szCs w:val="1"/>
                <w:color w:val="auto"/>
              </w:rPr>
            </w:pPr>
          </w:p>
        </w:tc>
      </w:tr>
      <w:tr>
        <w:trPr>
          <w:trHeight w:val="18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2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0" w:type="dxa"/>
            <w:vAlign w:val="bottom"/>
          </w:tcPr>
          <w:p>
            <w:pPr>
              <w:spacing w:after="0"/>
              <w:rPr>
                <w:sz w:val="1"/>
                <w:szCs w:val="1"/>
                <w:color w:val="auto"/>
              </w:rPr>
            </w:pPr>
          </w:p>
        </w:tc>
      </w:tr>
      <w:tr>
        <w:trPr>
          <w:trHeight w:val="175"/>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cash, cash equivalents and restricted cash</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360,127</w:t>
            </w:r>
          </w:p>
        </w:tc>
        <w:tc>
          <w:tcPr>
            <w:tcW w:w="2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72,397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Zenas BioPharma,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89" w:lineRule="exact"/>
        <w:rPr>
          <w:sz w:val="20"/>
          <w:szCs w:val="20"/>
          <w:color w:val="auto"/>
        </w:rPr>
      </w:pPr>
    </w:p>
    <w:p>
      <w:pPr>
        <w:ind w:left="620" w:hanging="578"/>
        <w:spacing w:after="0"/>
        <w:tabs>
          <w:tab w:leader="none" w:pos="62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Nature of Business</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Organization</w:t>
      </w:r>
    </w:p>
    <w:p>
      <w:pPr>
        <w:spacing w:after="0" w:line="211"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Zenas BioPharma, Inc. (“Zenas” or the “Company”) was incorporated in November 2019 as Zenas BioPharma (Cayman) Limited, an exempted company incorporated in the Cayman Islands with limited liability, and commenced operations in 2020. On August 2, 2023, the Company (then known as Zenas BioPharma (Cayman) Limited (“Zenas Cayman”)) de-registered from the Cayman Islands and registered by way of continuation in the State of Delaware (the “Redomicile”). Zenas is a clinical-stage global biopharmaceutical company committed to being a leader in the development and commercialization of transformative immunology-based therapies for patients in need. The Company’s goal is to build an immunology and inflammation (“I&amp;I”) focused biopharmaceutical company. The Company has in-licensed and is developing several product candidates for the treatment of various auto-immune and rare diseases. The Company is headquartered in Waltham, Massachusetts and operates in one segment, which is the business of acquiring and developing immune-based therapies for potential commercialization.</w:t>
      </w:r>
    </w:p>
    <w:p>
      <w:pPr>
        <w:spacing w:after="0" w:line="166"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6"/>
          <w:szCs w:val="16"/>
          <w:color w:val="auto"/>
        </w:rPr>
        <w:t>The Company’s condensed consolidated financial statements include the accounts of its wholly owned subsidiaries which include Zenas BioPharma (HK) Limited (“Zenas HK”), Zenas BioPharma (USA) LLC (“Zenas US”), Shanghai Zenas Biotechnology Co. Limited (“Zenas China”), Zenas BioPharma Securities Corp., and Zenas BioPharma GmbH.</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Liquidity and Capital Resources</w:t>
      </w:r>
    </w:p>
    <w:p>
      <w:pPr>
        <w:spacing w:after="0" w:line="211"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Since its inception, the Company has devoted its efforts principally to research and development and raising capital. The Company is subject to risks and uncertainties common to early-stage companies in the biopharmaceutical industry, including, but not limited to, completing preclinical studies and clinical trials, obtaining regulatory approval for product candidates, market acceptance of products, development by competitors of new technological innovations, dependence on key personnel, the ability to attract and retain qualified employees, reliance on third-party organizations, protection of proprietary technology, compliance with government regulations, and the ability to raise additional capital to fund operations. The Company’s revenues to date have been generated from payments received under the Company’s license agreement with Bristol-Myers Squibb Company (“BMS”) (see Note 8). The Company has not generated any revenue from product sales since inception, and its product candidates currently under development will require significant additional research and development efforts, including extensive clinical testing and regulatory approval prior to commercialization.</w:t>
      </w:r>
    </w:p>
    <w:p>
      <w:pPr>
        <w:spacing w:after="0" w:line="166"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On September 16, 2024, the Company completed its initial public offering (“IPO”), in which the Company issued and sold 15,220,588 shares of its common stock, including 1,985,294 shares pursuant to the full exercise of the underwriters’ option to purchase additional shares, at a public offering price of $17.00 per share, for aggregate gross proceeds of $258.7 million. The Company received approximately $234.4 million in net proceeds after deducting underwriting discounts and estimated offering expenses payable by the Company. In connection with the IPO, all outstanding shares of convertible preferred stock converted into 24,978,715 shares of the Company’s common stock.</w:t>
      </w:r>
    </w:p>
    <w:p>
      <w:pPr>
        <w:spacing w:after="0" w:line="166"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In connection with, and prior to, the Company’s IPO, the Company effected a 1-for-8.6831 reverse stock split of the Company’s issued and outstanding common stock and adjusted the conversion ratio of all the Company’s outstanding convertible preferred stock. Accordingly, all share and per share amounts for all periods presented in the accompanying condensed consolidated financial statements and notes thereto have been retroactively adjusted, where applicable, to reflect the reverse stock split and the adjustment of the preferred stock conversion ratios.</w:t>
      </w:r>
    </w:p>
    <w:p>
      <w:pPr>
        <w:spacing w:after="0" w:line="164"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The Company has incurred operating losses and negative cash flows since its inception, including net losses of $104.4 million and $12.5 million for the nine months ended September 30, 2024 and 2023, respectively. As of September 30, 2024 and December 31, 2023, the Company had an accumulated deficit of $334.8 million and $230.4 million, respectively. Management expects operating losses and negative operating cash flows to continue for the foreseeable future.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The Company expects that its existing cash, cash equivalents and investments of $386.8 million as of September 30, 2024 will be sufficient to fund its operating expenses and capital expenditure requirements for at least twelve months from the date these condensed consolidated financial statements were available to be issued. The Company will need additional financing to support its continuing operations and to pursue its growth strategy. Until such time as the Company can generate significant revenue from product sales, if ever, it expects to finance its operations through a combination of private or public equity financings, debt financings or other capital sources, including collaborations with other companies or other strategic transactions and licensing agreements. The Company may be unable to raise additional funds or enter into such other agreements when needed on favorable terms or at all. The inability to raise capital as and when needed could have a negative impact on the Company’s financial condition and its ability to pursue its business strategy. The Company will need to generate significant revenue to achieve profitability, and it may never do so.</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211"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The accompanying condensed consolidated financial statements have been prepared in accordance with United States generally accepted accounting principles (“GAAP”) and pursuant to the rules and regulations of the Securities and Exchange Commission (“SEC”). Any reference in these notes to applicable guidance is meant to refer to the authoritative GAAP as found in the Accounting Standards Codification (“ASC”) and Accounting Standards Update (“ASU”) of the Financial Accounting Standards Board (“FASB”). Certain information and footnote disclosures normally included in financial statements prepared in accordance with GAAP have been condensed or omitted pursuant to such rules and regulations.</w:t>
      </w:r>
    </w:p>
    <w:p>
      <w:pPr>
        <w:spacing w:after="0" w:line="164" w:lineRule="exact"/>
        <w:rPr>
          <w:sz w:val="20"/>
          <w:szCs w:val="20"/>
          <w:color w:val="auto"/>
        </w:rPr>
      </w:pPr>
    </w:p>
    <w:p>
      <w:pPr>
        <w:ind w:left="620" w:hanging="578"/>
        <w:spacing w:after="0"/>
        <w:tabs>
          <w:tab w:leader="none" w:pos="62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w:t>
      </w:r>
    </w:p>
    <w:p>
      <w:pPr>
        <w:spacing w:after="0" w:line="209"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The Company’s significant accounting policies are disclosed in Note 2, “Summary of Significant Accounting Policies,” in the audited consolidated financial statements for the years ended December 31, 2023 and 2022 and notes thereto, included in the Company’s final prospectus for its IPO filed with the SEC pursuant to Rule 424(b)(4) under the Securities Act of 1933, as amended (the “Securities Act”) on September 13, 2024 (the “IPO Prospectus”). Since the date of those financial statements, there have been no changes to the Company’s significant accounting policies, except as noted below.</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Unaudited Interim Financial Information</w:t>
      </w:r>
    </w:p>
    <w:p>
      <w:pPr>
        <w:spacing w:after="0" w:line="211"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6"/>
          <w:szCs w:val="16"/>
          <w:color w:val="auto"/>
        </w:rPr>
        <w:t>The accompanying condensed consolidated balance sheet as of September 30, 2024, and the condensed consolidated statements of operations and comprehensive loss for the three and nine months ended September 30, 2024 and 2023, and the statements of changes in convertible preferred stock and stockholders’ equity (deficit) and statements of cash flows for the nine months ended September 30, 2024 and 2023 are unaudited. The condensed consolidated interim financial statements have been prepared on the same basis as the audited annual financial statements and, in the opinion of management, reflect all adjustments, which include only normal recurring adjustments necessary for the fair presentation of the Company’s financial position as of September 30, 2024 and the results of its operations and its cash flows for the three and nine months ended September 30, 2024 and 2023. The financial data and other information disclosed in these notes related to the three and nine months ended September 30, 2024 and 2023 are also unaudited. The results for the three and nine months ended September 30, 2024 are not necessarily indicative of results to be expected for the year ending December 31, 2024, or for any other subsequent period.</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Deferred Offering Costs</w:t>
      </w:r>
    </w:p>
    <w:p>
      <w:pPr>
        <w:spacing w:after="0" w:line="211"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The Company capitalizes legal, professional accounting and other third-party fees that are directly associated with in-process equity financings as other non-current assets until such financings are consummated. After consummation of the equity financing, these costs will be recorded in stockholders’ equity (deficit) as a reduction of additional paid-in-capital generated as a result of the offering. If the Company terminates its plan for an equity financing, any costs deferred will be expensed immediately. Upon closing the IPO in September 2024, the related deferred offering costs were recorded against the IPO proceeds. No deferred offering costs were recorded as of September 30, 2024. As of December 31, 2023, the Company had $1.4 million in deferred offering costs which were included in other assets.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Investments</w:t>
      </w:r>
    </w:p>
    <w:p>
      <w:pPr>
        <w:spacing w:after="0" w:line="211"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The Company classifies all investments with a remaining maturity when purchased of greater than three months as “available-for-sale”. Available-for-sale securities with a remaining maturity of greater than one year are classified as non-current assets. Available-for-sale securities are carried at fair value based upon market prices at period end, with the unrealized gains and losses included in accumulated other comprehensive income (loss) as a component of stockholders’ equity (deficit) until realized. The amortized cost of investments in this category is adjusted for amortization of premiums and accretions of discounts over the life of the instrument. Realized gains and losses are determined using the specific identification method and are included in other income (expense). The Company reviews its portfolio of investments, using both quantitative and qualitative factors, to determine if declines in fair value below cost have resulted from a credit-related loss. If the decline in fair value is due to credit-related factors, a loss is recognized in other income (expense).</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Standards Not Yet Adopted</w:t>
      </w:r>
    </w:p>
    <w:p>
      <w:pPr>
        <w:spacing w:after="0" w:line="211"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6"/>
          <w:szCs w:val="16"/>
          <w:color w:val="auto"/>
        </w:rPr>
        <w:t>From time to time, new accounting pronouncements are issued by the FASB or other standard setting bodies and adopted by the Company as of the specified effective date. Unless otherwise discussed, the Company believes that the impact of recently issued standards that are not yet effective will not have a material impact on the condensed consolidated financial statements and disclosures.</w:t>
      </w:r>
    </w:p>
    <w:p>
      <w:pPr>
        <w:spacing w:after="0" w:line="154" w:lineRule="exact"/>
        <w:rPr>
          <w:sz w:val="20"/>
          <w:szCs w:val="20"/>
          <w:color w:val="auto"/>
        </w:rPr>
      </w:pPr>
    </w:p>
    <w:p>
      <w:pPr>
        <w:ind w:left="620" w:hanging="578"/>
        <w:spacing w:after="0"/>
        <w:tabs>
          <w:tab w:leader="none" w:pos="62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Investments</w:t>
      </w:r>
    </w:p>
    <w:p>
      <w:pPr>
        <w:spacing w:after="0" w:line="209"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The following table summarizes the amortized cost and estimated fair value of the Company’s investments, which are considered to be available-for-sale investments and were included in short-term investments on the condensed consolidated balance sheets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95"/>
        </w:trPr>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63"/>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80"/>
              <w:spacing w:after="0" w:line="164" w:lineRule="exact"/>
              <w:rPr>
                <w:sz w:val="20"/>
                <w:szCs w:val="20"/>
                <w:color w:val="auto"/>
              </w:rPr>
            </w:pPr>
            <w:r>
              <w:rPr>
                <w:rFonts w:ascii="Times New Roman" w:cs="Times New Roman" w:eastAsia="Times New Roman" w:hAnsi="Times New Roman"/>
                <w:sz w:val="15"/>
                <w:szCs w:val="15"/>
                <w:b w:val="1"/>
                <w:bCs w:val="1"/>
                <w:color w:val="auto"/>
                <w:w w:val="95"/>
              </w:rPr>
              <w:t>Gross</w:t>
            </w:r>
          </w:p>
        </w:tc>
        <w:tc>
          <w:tcPr>
            <w:tcW w:w="160" w:type="dxa"/>
            <w:vAlign w:val="bottom"/>
          </w:tcPr>
          <w:p>
            <w:pPr>
              <w:spacing w:after="0"/>
              <w:rPr>
                <w:sz w:val="14"/>
                <w:szCs w:val="14"/>
                <w:color w:val="auto"/>
              </w:rPr>
            </w:pPr>
          </w:p>
        </w:tc>
        <w:tc>
          <w:tcPr>
            <w:tcW w:w="980" w:type="dxa"/>
            <w:vAlign w:val="bottom"/>
            <w:gridSpan w:val="2"/>
          </w:tcPr>
          <w:p>
            <w:pPr>
              <w:jc w:val="center"/>
              <w:ind w:right="180"/>
              <w:spacing w:after="0" w:line="164" w:lineRule="exact"/>
              <w:rPr>
                <w:sz w:val="20"/>
                <w:szCs w:val="20"/>
                <w:color w:val="auto"/>
              </w:rPr>
            </w:pPr>
            <w:r>
              <w:rPr>
                <w:rFonts w:ascii="Times New Roman" w:cs="Times New Roman" w:eastAsia="Times New Roman" w:hAnsi="Times New Roman"/>
                <w:sz w:val="15"/>
                <w:szCs w:val="15"/>
                <w:b w:val="1"/>
                <w:bCs w:val="1"/>
                <w:color w:val="auto"/>
                <w:w w:val="95"/>
              </w:rPr>
              <w:t>Gross</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3"/>
        </w:trPr>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6"/>
              </w:rPr>
              <w:t>Amortized</w:t>
            </w:r>
          </w:p>
        </w:tc>
        <w:tc>
          <w:tcPr>
            <w:tcW w:w="16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7"/>
              </w:rPr>
              <w:t>Unrealized</w:t>
            </w:r>
          </w:p>
        </w:tc>
        <w:tc>
          <w:tcPr>
            <w:tcW w:w="16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7"/>
              </w:rPr>
              <w:t>Unrealized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2"/>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60" w:type="dxa"/>
            <w:vAlign w:val="bottom"/>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Gains</w:t>
            </w:r>
          </w:p>
        </w:tc>
        <w:tc>
          <w:tcPr>
            <w:tcW w:w="16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5"/>
              </w:rPr>
              <w:t>Losses</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Fair Value</w:t>
            </w:r>
          </w:p>
        </w:tc>
      </w:tr>
      <w:tr>
        <w:trPr>
          <w:trHeight w:val="192"/>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Short-term investments:</w:t>
            </w: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r>
      <w:tr>
        <w:trPr>
          <w:trHeight w:val="195"/>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Commercial paper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3,570</w:t>
            </w:r>
          </w:p>
        </w:tc>
        <w:tc>
          <w:tcPr>
            <w:tcW w:w="1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3,579</w:t>
            </w:r>
          </w:p>
        </w:tc>
      </w:tr>
      <w:tr>
        <w:trPr>
          <w:trHeight w:val="195"/>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8,007</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8,033</w:t>
            </w:r>
          </w:p>
        </w:tc>
      </w:tr>
      <w:tr>
        <w:trPr>
          <w:trHeight w:val="195"/>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Government securities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15,149</w:t>
            </w:r>
          </w:p>
        </w:tc>
      </w:tr>
      <w:tr>
        <w:trPr>
          <w:trHeight w:val="187"/>
        </w:trPr>
        <w:tc>
          <w:tcPr>
            <w:tcW w:w="28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26,761</w:t>
            </w: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6"/>
          <w:szCs w:val="16"/>
          <w:color w:val="auto"/>
        </w:rPr>
        <w:t>Certain short-term debt securities with original maturities of less than 90 days are included in cash and cash equivalents on the condensed consolidated balance sheets and are not included in the table above. As of September 30, 2024, all short-term investments had contractual maturities within one year and there were no long-term investments held. The Company held no investments as of December 31, 2023.</w:t>
      </w:r>
    </w:p>
    <w:p>
      <w:pPr>
        <w:spacing w:after="0" w:line="358"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As the Company held no investments until the three months ended September 30, 2024, no available-for-sale securities were in a continuous unrealized loss position for greater than 12 months. There were no available-for-sale securities held by the Company in an unrealized loss position as of September 30, 2024. Therefore, the Company does not consider these investments to be impaired and there are no allowances for credit losses as of September 30, 2024.</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578"/>
        <w:spacing w:after="0"/>
        <w:tabs>
          <w:tab w:leader="none" w:pos="62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Measurement</w:t>
      </w:r>
    </w:p>
    <w:p>
      <w:pPr>
        <w:spacing w:after="0" w:line="209"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The following tables present information about the Company’s financial instruments measured at fair value on a recurring basis (in thousands):</w:t>
      </w:r>
    </w:p>
    <w:p>
      <w:pPr>
        <w:spacing w:after="0" w:line="149" w:lineRule="exact"/>
        <w:rPr>
          <w:sz w:val="20"/>
          <w:szCs w:val="20"/>
          <w:color w:val="auto"/>
        </w:rPr>
      </w:pPr>
    </w:p>
    <w:tbl>
      <w:tblPr>
        <w:tblLayout w:type="fixed"/>
        <w:tblInd w:w="940" w:type="dxa"/>
        <w:tblCellMar>
          <w:top w:w="0" w:type="dxa"/>
          <w:left w:w="0" w:type="dxa"/>
          <w:bottom w:w="0" w:type="dxa"/>
          <w:right w:w="0" w:type="dxa"/>
        </w:tblCellMar>
      </w:tblPr>
      <w:tr>
        <w:trPr>
          <w:trHeight w:val="156"/>
        </w:trPr>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Balance Sheet Classification</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6"/>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80" w:type="dxa"/>
            <w:vAlign w:val="bottom"/>
            <w:gridSpan w:val="2"/>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7"/>
        </w:trPr>
        <w:tc>
          <w:tcPr>
            <w:tcW w:w="1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195"/>
        </w:trPr>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Government securities</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3,987</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w:t>
            </w:r>
          </w:p>
        </w:tc>
        <w:tc>
          <w:tcPr>
            <w:tcW w:w="0" w:type="dxa"/>
            <w:vAlign w:val="bottom"/>
          </w:tcPr>
          <w:p>
            <w:pPr>
              <w:spacing w:after="0"/>
              <w:rPr>
                <w:sz w:val="1"/>
                <w:szCs w:val="1"/>
                <w:color w:val="auto"/>
              </w:rPr>
            </w:pPr>
          </w:p>
        </w:tc>
      </w:tr>
      <w:tr>
        <w:trPr>
          <w:trHeight w:val="195"/>
        </w:trPr>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Commercial paper</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3,579</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w:t>
            </w:r>
          </w:p>
        </w:tc>
        <w:tc>
          <w:tcPr>
            <w:tcW w:w="0" w:type="dxa"/>
            <w:vAlign w:val="bottom"/>
          </w:tcPr>
          <w:p>
            <w:pPr>
              <w:spacing w:after="0"/>
              <w:rPr>
                <w:sz w:val="1"/>
                <w:szCs w:val="1"/>
                <w:color w:val="auto"/>
              </w:rPr>
            </w:pPr>
          </w:p>
        </w:tc>
      </w:tr>
      <w:tr>
        <w:trPr>
          <w:trHeight w:val="179"/>
        </w:trPr>
        <w:tc>
          <w:tcPr>
            <w:tcW w:w="1880" w:type="dxa"/>
            <w:vAlign w:val="bottom"/>
            <w:gridSpan w:val="2"/>
          </w:tcPr>
          <w:p>
            <w:pPr>
              <w:ind w:left="100"/>
              <w:spacing w:after="0" w:line="179" w:lineRule="exact"/>
              <w:rPr>
                <w:sz w:val="20"/>
                <w:szCs w:val="20"/>
                <w:color w:val="auto"/>
              </w:rPr>
            </w:pPr>
            <w:r>
              <w:rPr>
                <w:rFonts w:ascii="Times New Roman" w:cs="Times New Roman" w:eastAsia="Times New Roman" w:hAnsi="Times New Roman"/>
                <w:sz w:val="16"/>
                <w:szCs w:val="16"/>
                <w:color w:val="auto"/>
              </w:rPr>
              <w:t>Corporate debt</w:t>
            </w:r>
          </w:p>
        </w:tc>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8,033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8,033</w:t>
            </w:r>
          </w:p>
        </w:tc>
        <w:tc>
          <w:tcPr>
            <w:tcW w:w="0" w:type="dxa"/>
            <w:vAlign w:val="bottom"/>
          </w:tcPr>
          <w:p>
            <w:pPr>
              <w:spacing w:after="0"/>
              <w:rPr>
                <w:sz w:val="1"/>
                <w:szCs w:val="1"/>
                <w:color w:val="auto"/>
              </w:rPr>
            </w:pPr>
          </w:p>
        </w:tc>
      </w:tr>
      <w:tr>
        <w:trPr>
          <w:trHeight w:val="113"/>
        </w:trPr>
        <w:tc>
          <w:tcPr>
            <w:tcW w:w="1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securities</w:t>
            </w:r>
          </w:p>
        </w:tc>
        <w:tc>
          <w:tcPr>
            <w:tcW w:w="1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880" w:type="dxa"/>
            <w:vAlign w:val="bottom"/>
            <w:gridSpan w:val="2"/>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Government securities</w:t>
            </w:r>
          </w:p>
        </w:tc>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15,149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15,149</w:t>
            </w: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19,604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11,612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31,216</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8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Balance Sheet Classification</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880" w:type="dxa"/>
            <w:vAlign w:val="bottom"/>
            <w:gridSpan w:val="2"/>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80"/>
              <w:spacing w:after="0" w:line="139" w:lineRule="exact"/>
              <w:rPr>
                <w:sz w:val="20"/>
                <w:szCs w:val="20"/>
                <w:color w:val="auto"/>
              </w:rPr>
            </w:pPr>
            <w:r>
              <w:rPr>
                <w:rFonts w:ascii="Times New Roman" w:cs="Times New Roman" w:eastAsia="Times New Roman" w:hAnsi="Times New Roman"/>
                <w:sz w:val="13"/>
                <w:szCs w:val="13"/>
                <w:b w:val="1"/>
                <w:bCs w:val="1"/>
                <w:color w:val="auto"/>
                <w:w w:val="99"/>
              </w:rPr>
              <w:t>Level 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39" w:lineRule="exact"/>
              <w:rPr>
                <w:sz w:val="20"/>
                <w:szCs w:val="20"/>
                <w:color w:val="auto"/>
              </w:rPr>
            </w:pPr>
            <w:r>
              <w:rPr>
                <w:rFonts w:ascii="Times New Roman" w:cs="Times New Roman" w:eastAsia="Times New Roman" w:hAnsi="Times New Roman"/>
                <w:sz w:val="13"/>
                <w:szCs w:val="13"/>
                <w:b w:val="1"/>
                <w:bCs w:val="1"/>
                <w:color w:val="auto"/>
                <w:w w:val="99"/>
              </w:rPr>
              <w:t>Level 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2"/>
              <w:spacing w:after="0" w:line="139" w:lineRule="exact"/>
              <w:rPr>
                <w:sz w:val="20"/>
                <w:szCs w:val="20"/>
                <w:color w:val="auto"/>
              </w:rPr>
            </w:pPr>
            <w:r>
              <w:rPr>
                <w:rFonts w:ascii="Times New Roman" w:cs="Times New Roman" w:eastAsia="Times New Roman" w:hAnsi="Times New Roman"/>
                <w:sz w:val="13"/>
                <w:szCs w:val="13"/>
                <w:b w:val="1"/>
                <w:bCs w:val="1"/>
                <w:color w:val="auto"/>
                <w:w w:val="99"/>
              </w:rPr>
              <w:t>Level 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42"/>
              <w:spacing w:after="0" w:line="13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7"/>
        </w:trPr>
        <w:tc>
          <w:tcPr>
            <w:tcW w:w="1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BMS Note</w:t>
            </w:r>
          </w:p>
        </w:tc>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Non-current liability</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20,300</w:t>
            </w:r>
          </w:p>
        </w:tc>
        <w:tc>
          <w:tcPr>
            <w:tcW w:w="0" w:type="dxa"/>
            <w:vAlign w:val="bottom"/>
          </w:tcPr>
          <w:p>
            <w:pPr>
              <w:spacing w:after="0"/>
              <w:rPr>
                <w:sz w:val="1"/>
                <w:szCs w:val="1"/>
                <w:color w:val="auto"/>
              </w:rPr>
            </w:pPr>
          </w:p>
        </w:tc>
      </w:tr>
      <w:tr>
        <w:trPr>
          <w:trHeight w:val="187"/>
        </w:trPr>
        <w:tc>
          <w:tcPr>
            <w:tcW w:w="17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7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20,300</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6"/>
          <w:szCs w:val="16"/>
          <w:color w:val="auto"/>
        </w:rPr>
        <w:t>The Company had cash equivalents of $4.5 million as of September 30, 2024 which consisted of money market funds and government securities. Money market funds are classified within Level 1 of the fair value hierarchy because they are valued using quoted market prices in active markets. The Company’s government securities are classified within Level 1 of the fair value hierarchy as the fair values are based on unadjusted quoted prices for identical assets in active markets. There were no cash equivalents held as of December 31, 2023.</w:t>
      </w:r>
    </w:p>
    <w:p>
      <w:pPr>
        <w:spacing w:after="0" w:line="359"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The Company measures its investments at fair value on a recurring basis and classifies those instruments within Level 2 of the fair value hierarchy. Investments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61"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6"/>
          <w:szCs w:val="16"/>
          <w:color w:val="auto"/>
        </w:rPr>
        <w:t>During the nine months ended September 30, 2024 and year ended December 31, 2023, there were no transfers between levels. The Company uses the carrying amounts of its prepaid expenses and other current assets, accounts payable and accrued expenses to approximate their fair value due to the short-term nature of these amounts.</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Convertible Notes</w:t>
      </w:r>
    </w:p>
    <w:p>
      <w:pPr>
        <w:spacing w:after="0" w:line="211"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6"/>
          <w:szCs w:val="16"/>
          <w:color w:val="auto"/>
        </w:rPr>
        <w:t>In August 2023, the Company entered into a $20.0 million convertible promissory note agreement with BMS (the “BMS Note”) in connection with its strategic license and collaboration agreement with BMS (the “BMS Agreement”) (see Note 8). In the event that the Company issued and sold its convertible preferred stock to accredited investors with total gross proceeds equal to at least $70.0 million (a “BMS Qualified Financing”), the outstanding principal and accrued interest of the BMS Note were automatically convertible into equity securities sold in the BMS Qualified Financing at a conversion price equal (i) to the outstanding principal and accrued interest under the BMS Note divided by (ii) the lowest cash price paid per equity security. The Company elected the fair value option to account for the BMS Note. Changes in fair value at every reporting date are recorded as a component of other income (expense), net in the condensed consolidated statements of operations and comprehensive loss. The BMS Note is classified as a liability on the Company’s consolidated balance sheet as of December 31, 2023 and was initially recorded at fair value. The Company subsequently remeasured the fair value of the BMS Note at each applicable reporting period.</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 xml:space="preserve">On May 3, 2024, the Company issued and sold Series C convertible preferred stock (“Series C Preferred Stock”), which was deemed to be a BMS Qualified Financing, as described above, and resulted in the outstanding BMS Note plus accrued interest being automatically converted into </w:t>
      </w:r>
      <w:r>
        <w:rPr>
          <w:rFonts w:ascii="Times New Roman" w:cs="Times New Roman" w:eastAsia="Times New Roman" w:hAnsi="Times New Roman"/>
          <w:sz w:val="16"/>
          <w:szCs w:val="16"/>
          <w:color w:val="231F20"/>
        </w:rPr>
        <w:t>12,284,686</w:t>
      </w:r>
      <w:r>
        <w:rPr>
          <w:rFonts w:ascii="Times New Roman" w:cs="Times New Roman" w:eastAsia="Times New Roman" w:hAnsi="Times New Roman"/>
          <w:sz w:val="16"/>
          <w:szCs w:val="16"/>
          <w:color w:val="auto"/>
        </w:rPr>
        <w:t xml:space="preserve"> shares of Series C Preferred Stock (see Note 10). Immediately prior to settlement, the BMS Note was remeasured to fair value utilizing the fair value of the shares of Series C Preferred Stock for which the BMS Note converted into. The BMS Note settling in shares of Series C Preferred Stock represents the redemption of stock-settled debt and was therefore accounted for as an extinguishment. Upon extinguishment, no gain or loss was recognized. The Company recorded a $0.8 million change in fair value of the BMS Note as a component of other income (expense), net in the Company’s condensed consolidated statements of operations and comprehensive loss for the nine months ended September 30, 2024. The change in fair value from issuance to September 30, 2023 was immaterial due to lack of changes in the significant estimates and assumptions utilized to value the BMS Note.</w:t>
      </w:r>
    </w:p>
    <w:p>
      <w:pPr>
        <w:spacing w:after="0" w:line="166"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The table below presents changes in the Company’s liabilities with significant unobservable inputs (Level 3 liabilities) during the nine months ended September 30, 2024 (in thousands):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5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center"/>
              <w:ind w:right="142"/>
              <w:spacing w:after="0"/>
              <w:rPr>
                <w:sz w:val="20"/>
                <w:szCs w:val="20"/>
                <w:color w:val="auto"/>
              </w:rPr>
            </w:pPr>
            <w:r>
              <w:rPr>
                <w:rFonts w:ascii="Times New Roman" w:cs="Times New Roman" w:eastAsia="Times New Roman" w:hAnsi="Times New Roman"/>
                <w:sz w:val="13"/>
                <w:szCs w:val="13"/>
                <w:b w:val="1"/>
                <w:bCs w:val="1"/>
                <w:color w:val="auto"/>
              </w:rPr>
              <w:t>Convertible notes</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20,300</w:t>
            </w:r>
          </w:p>
        </w:tc>
        <w:tc>
          <w:tcPr>
            <w:tcW w:w="0" w:type="dxa"/>
            <w:vAlign w:val="bottom"/>
          </w:tcPr>
          <w:p>
            <w:pPr>
              <w:spacing w:after="0"/>
              <w:rPr>
                <w:sz w:val="1"/>
                <w:szCs w:val="1"/>
                <w:color w:val="auto"/>
              </w:rPr>
            </w:pPr>
          </w:p>
        </w:tc>
      </w:tr>
      <w:tr>
        <w:trPr>
          <w:trHeight w:val="195"/>
        </w:trPr>
        <w:tc>
          <w:tcPr>
            <w:tcW w:w="360" w:type="dxa"/>
            <w:vAlign w:val="bottom"/>
          </w:tcPr>
          <w:p>
            <w:pPr>
              <w:spacing w:after="0"/>
              <w:rPr>
                <w:sz w:val="16"/>
                <w:szCs w:val="16"/>
                <w:color w:val="auto"/>
              </w:rPr>
            </w:pPr>
          </w:p>
        </w:tc>
        <w:tc>
          <w:tcPr>
            <w:tcW w:w="410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Change in fair value of BMS Note</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0" w:type="dxa"/>
            <w:vAlign w:val="bottom"/>
          </w:tcPr>
          <w:p>
            <w:pPr>
              <w:spacing w:after="0"/>
              <w:rPr>
                <w:sz w:val="1"/>
                <w:szCs w:val="1"/>
                <w:color w:val="auto"/>
              </w:rPr>
            </w:pPr>
          </w:p>
        </w:tc>
      </w:tr>
      <w:tr>
        <w:trPr>
          <w:trHeight w:val="195"/>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Series C Preferred Stock in exchange for BMS Note</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(21,146)</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410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5.</w:t>
            </w:r>
          </w:p>
        </w:tc>
        <w:tc>
          <w:tcPr>
            <w:tcW w:w="41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1"/>
        </w:trPr>
        <w:tc>
          <w:tcPr>
            <w:tcW w:w="360" w:type="dxa"/>
            <w:vAlign w:val="bottom"/>
            <w:vMerge w:val="continue"/>
          </w:tcPr>
          <w:p>
            <w:pPr>
              <w:spacing w:after="0"/>
              <w:rPr>
                <w:sz w:val="24"/>
                <w:szCs w:val="24"/>
                <w:color w:val="auto"/>
              </w:rPr>
            </w:pPr>
          </w:p>
        </w:tc>
        <w:tc>
          <w:tcPr>
            <w:tcW w:w="41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assets consisted of the following (in thousands):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18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center"/>
              <w:ind w:right="202"/>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26"/>
        </w:trPr>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56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225"/>
              <w:spacing w:after="0" w:line="127" w:lineRule="exact"/>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442"/>
              <w:spacing w:after="0" w:line="127" w:lineRule="exact"/>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clinical expenses</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8,920</w:t>
            </w:r>
          </w:p>
        </w:tc>
        <w:tc>
          <w:tcPr>
            <w:tcW w:w="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rPr>
                <w:sz w:val="16"/>
                <w:szCs w:val="16"/>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5,788</w:t>
            </w:r>
          </w:p>
        </w:tc>
        <w:tc>
          <w:tcPr>
            <w:tcW w:w="0" w:type="dxa"/>
            <w:vAlign w:val="bottom"/>
          </w:tcPr>
          <w:p>
            <w:pPr>
              <w:spacing w:after="0"/>
              <w:rPr>
                <w:sz w:val="1"/>
                <w:szCs w:val="1"/>
                <w:color w:val="auto"/>
              </w:rPr>
            </w:pPr>
          </w:p>
        </w:tc>
      </w:tr>
      <w:tr>
        <w:trPr>
          <w:trHeight w:val="195"/>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Deferred offering costs</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0" w:type="dxa"/>
            <w:vAlign w:val="bottom"/>
          </w:tcPr>
          <w:p>
            <w:pPr>
              <w:spacing w:after="0"/>
              <w:rPr>
                <w:sz w:val="1"/>
                <w:szCs w:val="1"/>
                <w:color w:val="auto"/>
              </w:rPr>
            </w:pPr>
          </w:p>
        </w:tc>
      </w:tr>
      <w:tr>
        <w:trPr>
          <w:trHeight w:val="195"/>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0" w:type="dxa"/>
            <w:vAlign w:val="bottom"/>
            <w:tcBorders>
              <w:bottom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other assets</w:t>
            </w:r>
          </w:p>
        </w:tc>
        <w:tc>
          <w:tcPr>
            <w:tcW w:w="220" w:type="dxa"/>
            <w:vAlign w:val="bottom"/>
          </w:tcPr>
          <w:p>
            <w:pPr>
              <w:spacing w:after="0"/>
              <w:rPr>
                <w:sz w:val="16"/>
                <w:szCs w:val="16"/>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9,020</w:t>
            </w:r>
          </w:p>
        </w:tc>
        <w:tc>
          <w:tcPr>
            <w:tcW w:w="40" w:type="dxa"/>
            <w:vAlign w:val="bottom"/>
            <w:tcBorders>
              <w:bottom w:val="single" w:sz="8" w:color="auto"/>
            </w:tcBorders>
          </w:tcPr>
          <w:p>
            <w:pPr>
              <w:spacing w:after="0"/>
              <w:rPr>
                <w:sz w:val="16"/>
                <w:szCs w:val="16"/>
                <w:color w:val="auto"/>
              </w:rPr>
            </w:pPr>
          </w:p>
        </w:tc>
        <w:tc>
          <w:tcPr>
            <w:tcW w:w="320" w:type="dxa"/>
            <w:vAlign w:val="bottom"/>
            <w:gridSpan w:val="2"/>
          </w:tcPr>
          <w:p>
            <w:pPr>
              <w:spacing w:after="0"/>
              <w:rPr>
                <w:sz w:val="16"/>
                <w:szCs w:val="16"/>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7,276</w:t>
            </w: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6.</w:t>
            </w:r>
          </w:p>
        </w:tc>
        <w:tc>
          <w:tcPr>
            <w:tcW w:w="41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Accrued Expenses</w:t>
            </w: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60" w:type="dxa"/>
            <w:vAlign w:val="bottom"/>
            <w:vMerge w:val="continue"/>
          </w:tcPr>
          <w:p>
            <w:pPr>
              <w:spacing w:after="0"/>
              <w:rPr>
                <w:sz w:val="24"/>
                <w:szCs w:val="24"/>
                <w:color w:val="auto"/>
              </w:rPr>
            </w:pPr>
          </w:p>
        </w:tc>
        <w:tc>
          <w:tcPr>
            <w:tcW w:w="41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Accrued expenses consisted of the following (in thousands):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26"/>
        </w:trPr>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56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gridSpan w:val="2"/>
          </w:tcPr>
          <w:p>
            <w:pPr>
              <w:jc w:val="right"/>
              <w:ind w:right="80"/>
              <w:spacing w:after="0" w:line="127" w:lineRule="exact"/>
              <w:rPr>
                <w:sz w:val="20"/>
                <w:szCs w:val="20"/>
                <w:color w:val="auto"/>
              </w:rPr>
            </w:pPr>
            <w:r>
              <w:rPr>
                <w:rFonts w:ascii="Times New Roman" w:cs="Times New Roman" w:eastAsia="Times New Roman" w:hAnsi="Times New Roman"/>
                <w:sz w:val="13"/>
                <w:szCs w:val="13"/>
                <w:b w:val="1"/>
                <w:bCs w:val="1"/>
                <w:color w:val="auto"/>
                <w:w w:val="92"/>
              </w:rPr>
              <w:t>2024</w:t>
            </w: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62"/>
              <w:spacing w:after="0" w:line="127" w:lineRule="exact"/>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5,122</w:t>
            </w:r>
          </w:p>
        </w:tc>
        <w:tc>
          <w:tcPr>
            <w:tcW w:w="0" w:type="dxa"/>
            <w:vAlign w:val="bottom"/>
          </w:tcPr>
          <w:p>
            <w:pPr>
              <w:spacing w:after="0"/>
              <w:rPr>
                <w:sz w:val="1"/>
                <w:szCs w:val="1"/>
                <w:color w:val="auto"/>
              </w:rPr>
            </w:pPr>
          </w:p>
        </w:tc>
      </w:tr>
      <w:tr>
        <w:trPr>
          <w:trHeight w:val="195"/>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External research, development and manufacturing expenses</w:t>
            </w: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20,049</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9,398</w:t>
            </w:r>
          </w:p>
        </w:tc>
        <w:tc>
          <w:tcPr>
            <w:tcW w:w="0" w:type="dxa"/>
            <w:vAlign w:val="bottom"/>
          </w:tcPr>
          <w:p>
            <w:pPr>
              <w:spacing w:after="0"/>
              <w:rPr>
                <w:sz w:val="1"/>
                <w:szCs w:val="1"/>
                <w:color w:val="auto"/>
              </w:rPr>
            </w:pPr>
          </w:p>
        </w:tc>
      </w:tr>
      <w:tr>
        <w:trPr>
          <w:trHeight w:val="195"/>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Professional and consultant fees</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0" w:type="dxa"/>
            <w:vAlign w:val="bottom"/>
          </w:tcPr>
          <w:p>
            <w:pPr>
              <w:spacing w:after="0"/>
              <w:rPr>
                <w:sz w:val="1"/>
                <w:szCs w:val="1"/>
                <w:color w:val="auto"/>
              </w:rPr>
            </w:pPr>
          </w:p>
        </w:tc>
      </w:tr>
      <w:tr>
        <w:trPr>
          <w:trHeight w:val="195"/>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195"/>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4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accrued expenses</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28,531</w:t>
            </w:r>
          </w:p>
        </w:tc>
        <w:tc>
          <w:tcPr>
            <w:tcW w:w="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17,306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620" w:hanging="578"/>
        <w:spacing w:after="0"/>
        <w:tabs>
          <w:tab w:leader="none" w:pos="62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Leases</w:t>
      </w:r>
    </w:p>
    <w:p>
      <w:pPr>
        <w:spacing w:after="0" w:line="209"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On September 8, 2021, Zenas US entered into a lease agreement for office space in Waltham, Massachusetts (the “Waltham Lease”), commencing on March 1, 2022. The Waltham Lease was classified as an operating lease, and has a lease term of 3.3 years with total fixed payments of approximately $1.8 million over that period. The Waltham Lease is terminable by the Company upon three months’ prior written notice. Zenas US has an irrevocable letter of credit agreement for the benefit of its landlord for the Waltham Lease in the amount of $0.1 million.</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6"/>
          <w:szCs w:val="16"/>
          <w:color w:val="auto"/>
        </w:rPr>
        <w:t>On June 28, 2022, Zenas China entered into a lease agreement for office space in Shanghai, China (the “Shanghai Lease”), commencing on September 10, 2022. The Shanghai Lease has a lease term of 3.0 years with total fixed payments of $0.8 million over that period, and an option to extend the lease term for an additional three years.</w:t>
      </w:r>
    </w:p>
    <w:p>
      <w:pPr>
        <w:spacing w:after="0" w:line="156"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6"/>
          <w:szCs w:val="16"/>
          <w:color w:val="auto"/>
        </w:rPr>
        <w:t>The total lease cost for operating leases (recorded in general and administrative expenses in the Company’s condensed consolidated statements of operations and comprehensive loss) was $0.2 million and $0.6 million for the three and nine months ended September 30, 2024, respectively, and $0.3 million and $0.7 million for the three and nine months ended September 30, 2023, respectively.</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Maturities of the operating lease liabilities as of September 30, 2024 are as follows (in thousands):</w:t>
      </w:r>
    </w:p>
    <w:p>
      <w:pPr>
        <w:spacing w:after="0" w:line="213" w:lineRule="exact"/>
        <w:rPr>
          <w:sz w:val="20"/>
          <w:szCs w:val="20"/>
          <w:color w:val="auto"/>
        </w:rPr>
      </w:pPr>
    </w:p>
    <w:tbl>
      <w:tblPr>
        <w:tblLayout w:type="fixed"/>
        <w:tblInd w:w="940" w:type="dxa"/>
        <w:tblCellMar>
          <w:top w:w="0" w:type="dxa"/>
          <w:left w:w="0" w:type="dxa"/>
          <w:bottom w:w="0" w:type="dxa"/>
          <w:right w:w="0" w:type="dxa"/>
        </w:tblCellMar>
      </w:tblPr>
      <w:tr>
        <w:trPr>
          <w:trHeight w:val="156"/>
        </w:trPr>
        <w:tc>
          <w:tcPr>
            <w:tcW w:w="55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320" w:type="dxa"/>
            <w:vAlign w:val="bottom"/>
          </w:tcPr>
          <w:p>
            <w:pPr>
              <w:spacing w:after="0"/>
              <w:rPr>
                <w:sz w:val="13"/>
                <w:szCs w:val="13"/>
                <w:color w:val="auto"/>
              </w:rPr>
            </w:pPr>
          </w:p>
        </w:tc>
        <w:tc>
          <w:tcPr>
            <w:tcW w:w="1280" w:type="dxa"/>
            <w:vAlign w:val="bottom"/>
          </w:tcPr>
          <w:p>
            <w:pPr>
              <w:jc w:val="right"/>
              <w:ind w:right="501"/>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87"/>
        </w:trPr>
        <w:tc>
          <w:tcPr>
            <w:tcW w:w="5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 (remaining three months)</w:t>
            </w:r>
          </w:p>
        </w:tc>
        <w:tc>
          <w:tcPr>
            <w:tcW w:w="2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195"/>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w:t>
            </w:r>
          </w:p>
        </w:tc>
      </w:tr>
      <w:tr>
        <w:trPr>
          <w:trHeight w:val="187"/>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r>
      <w:tr>
        <w:trPr>
          <w:trHeight w:val="195"/>
        </w:trPr>
        <w:tc>
          <w:tcPr>
            <w:tcW w:w="55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Less: imputed interest</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187"/>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0"/>
        </w:trPr>
        <w:tc>
          <w:tcPr>
            <w:tcW w:w="5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620" w:hanging="578"/>
        <w:spacing w:after="0"/>
        <w:tabs>
          <w:tab w:leader="none" w:pos="62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Collaboration Revenue</w:t>
      </w:r>
    </w:p>
    <w:p>
      <w:pPr>
        <w:spacing w:after="0" w:line="20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6"/>
          <w:szCs w:val="16"/>
          <w:color w:val="auto"/>
        </w:rPr>
        <w:t>In August 2023, the Company entered into a license agreement with Bristol-Myers Squibb (the “BMS Agreement”), under which the Company granted BMS an exclusive license to (i) develop, manufacture (subject to the Company’s rights to be the exclusive manufacturer for BMS for a certain period of time), commercialize or otherwise exploit obexelimab and any biological product (irrespective of presentations, formulations or dosages) containing obexelimab but not any of the Company’s other proprietary active ingredient (the “BMS Product”) into Japan, South Korea, Taiwan, Singapore, Hong Kong and Australia (collectively, the “BMS Territory”) and (ii) develop and manufacture obexelimab and the BMS Product outside the BMS Territory provided that obexelimab and the BMS Product are solely used in the BMS Territory. The details of the BMS Agreement are further described in Note 8, “Collaboration Revenue,” in the audited consolidated financial statements for the years ended December 31, 2023 and 2022, included in the IPO Prospectus. Since the date of the audited consolidated financial statements for the years ended December 31, 2023 and 2022, there have been no changes to the BMS Agreement.</w:t>
      </w:r>
    </w:p>
    <w:p>
      <w:pPr>
        <w:spacing w:after="0" w:line="170"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Pursuant to the BMS Agreement, BMS paid the Company a one-time non-refundable upfront cash payment of $50.0 million, which was determined to be the transaction price. The Company is entitled to receive further separate development, regulatory, and sales milestone payments from BMS of up to approximately $149.5 million if certain milestones are successfully achieved. The Company is also eligible to receive tiered high single-digit to low double-digit royalties on net sales in the BMS Territory, subject to specified reductions. As of September 30, 2024, no milestones were achieved or deemed probable of achievement, and as such, all remaining milestones remained fully constrained and excluded from the transaction price.</w:t>
      </w:r>
    </w:p>
    <w:p>
      <w:pPr>
        <w:spacing w:after="0" w:line="166"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The Company and BMS collaborate on the performance of the ongoing Phase 3 clinical study of obexelimab in the IgG4-RD indication. BMS will fund their pro rata share of the total global study costs up to a specified percentage of the patients enrolled in the study from the BMS Territory. Should the percentage of patients from the BMS Territory fall below the specified percentage, BMS’s funding would proportionately decrease. The global development activities under the agreement do not represent a transaction where customer and reimbursement payments received by the Company for global development activities are accounted for as a reduction of the related research and development expenses. The Company recorded $1.8 million and $3.9 million, respectively, as a reduction to research and development expense during the three and nine months ended September 30, 2024, with a $1.8 million receivable included in prepaid expenses and other current assets, on the Company’s condensed consolidated balance sheet as of September 30, 2024. The Company recorded $3.4 million as a reduction to research and development expense during the three and nine months ended September 30, 2023.</w:t>
      </w:r>
    </w:p>
    <w:p>
      <w:pPr>
        <w:spacing w:after="0" w:line="166"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The Company satisfied the performance obligation through delivery of the license and initial technology transfer during the quarter ended September 30, 2023 and recognized the upfront payment of $50.0 million as revenue during the three</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right="59"/>
        <w:spacing w:after="0" w:line="289" w:lineRule="auto"/>
        <w:rPr>
          <w:sz w:val="20"/>
          <w:szCs w:val="20"/>
          <w:color w:val="auto"/>
        </w:rPr>
      </w:pPr>
      <w:r>
        <w:rPr>
          <w:rFonts w:ascii="Times New Roman" w:cs="Times New Roman" w:eastAsia="Times New Roman" w:hAnsi="Times New Roman"/>
          <w:sz w:val="16"/>
          <w:szCs w:val="16"/>
          <w:color w:val="auto"/>
        </w:rPr>
        <w:t>and nine months ended September 30, 2023. The Company recognized no revenue during each of the three and nine months ended September 30, 2024.</w:t>
      </w:r>
    </w:p>
    <w:p>
      <w:pPr>
        <w:spacing w:after="0" w:line="141" w:lineRule="exact"/>
        <w:rPr>
          <w:sz w:val="20"/>
          <w:szCs w:val="20"/>
          <w:color w:val="auto"/>
        </w:rPr>
      </w:pPr>
    </w:p>
    <w:p>
      <w:pPr>
        <w:ind w:left="620" w:hanging="578"/>
        <w:spacing w:after="0"/>
        <w:tabs>
          <w:tab w:leader="none" w:pos="62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License and Option Agreements</w:t>
      </w:r>
    </w:p>
    <w:p>
      <w:pPr>
        <w:spacing w:after="0" w:line="209"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Prior to 2024, the Company entered into license and option agreements with various companies in the biotechnology and life sciences industry to in-license certain technologies for the Company’s use. The Company’s agreements are disclosed in Note 9, “License and Option Agreements,” in the audited consolidated financial statements for the years ended December 31, 2023 and 2022, included in the IPO Prospectus. Since the date of those financial statements, there have been no changes to these agreements, except as noted below.</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Xencor, Inc.</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2020 Xencor Agreement</w:t>
      </w:r>
    </w:p>
    <w:p>
      <w:pPr>
        <w:spacing w:after="0" w:line="209"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6"/>
          <w:szCs w:val="16"/>
          <w:color w:val="auto"/>
        </w:rPr>
        <w:t>In September 2020, the Company entered into the 2020 Xencor Agreement, under which the Company is obligated to reimburse Xencor for third-party costs incurred for certain patent filings, prosecution and maintenance as further specified in the 2020 Xencor Agreement. During the three and nine months ended September 30, 2024 and 2023, the Company incurred no such reimbursable costs.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2021 Xencor Agreement</w:t>
      </w:r>
    </w:p>
    <w:p>
      <w:pPr>
        <w:spacing w:after="0" w:line="209"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In May 2021, the Company entered into the 2021 Xencor Agreement, through which it obtained an exclusive, royalty-bearing, sublicensable worldwide license to research, develop, manufacture, market and sell obexelimab. In April 2023, the Company incurred a $10.0 million development milestone pursuant to the 2021 Xencor Agreement, which Xencor elected to receive in the form of the Company’s Series B convertible preferred stock (“Series B Preferred Stock). See Note 10, “Convertible Preferred Stock,” for details. The milestone was recorded as acquired in-process research and development expense in the Company’s condensed consolidated statements of operations and comprehensive loss during the nine months ended September 30, 2023.</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Dianthus Therapeutics Inc.</w:t>
      </w:r>
    </w:p>
    <w:p>
      <w:pPr>
        <w:spacing w:after="0" w:line="211"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6"/>
          <w:szCs w:val="16"/>
          <w:color w:val="auto"/>
        </w:rPr>
        <w:t>In September 2020, the Company entered into the Dianthus Option Agreement, under which the Company obtained an exclusive option to negotiate and enter into exclusive license agreements for the rights to research, develop, manufacture, market and sell products related to either or both of two antibody product candidates based on Dianthus’ proprietary technology. Dianthus will notify the Company when it has identified each of two antibody product candidates, and the Company will then have sixty (60) days to notify Dianthus if the Company intends to exercise each of the options. In October 2021, the Company notified Dianthus of its intention to exercise its option to ZB005 (also known as DNTH103) and in June 2022, the Company and Dianthus executed a license agreement for ZB005 (the “Dianthus License Agreement”). As of September 30, 2024, Dianthus had not notified the Company of its identification of the second antibody product candidate. In October 2024, the Company entered into a Novation Agreement (the “Novation Agreement”) with Tenacia Biotechnology (Hong Kong) Co., Limited (“Tenacia”), under which the Company transferred all of its rights and obligations under the Dianthus Option Agreement and the Dianthus License Agreement to Tenacia (see Note 17).</w:t>
      </w:r>
    </w:p>
    <w:p>
      <w:pPr>
        <w:spacing w:after="0" w:line="170"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During the three months ended September 30, 2024, and 2023, the Company incurred $1.9 million and $0.6 million of reimbursable expenses, respectively, and $4.7 million and $2.7 million for the nine months ended September 30, 2024 and 2023, respectively, which are recorded within research and development expenses in the condensed consolidated statements of operations and comprehensive loss. Of these amounts, $0.6 million and $1.9 million were recorded in accounts payable and accrued expenses, respectively, on the Company’s condensed consolidated balance sheet as of September 30, 2024. As of December 31, 2023, less than $0.1 million and $0.4 million were recorded in accounts payable and accrued expenses, respectively, on the Company’s consolidated balance sheet.</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Viridian Therapeutics, Inc.</w:t>
      </w:r>
    </w:p>
    <w:p>
      <w:pPr>
        <w:spacing w:after="0" w:line="211"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In October 2020, the Company entered into the Viridian Agreement to obtain an exclusive, royalty-bearing, sublicensable license to research, develop, manufacture, market and sell certain antibody product candidates based on Viridian’s proprietary technology. The Company’s license rights are limited to non-oncology indications and are limited to China, Hong Kong, Macau and Taiwan (the “Zenas Territories”). Viridian retains its rights to develop and commercialize such product candidates outside of the Zenas Territories. The Company is obligated to make development milestone payments to Viridian, totaling up to $12.0 million, based on achievement of each of the specified milestone events. During each of the nine months ended September 30, 2024, and 2023, the Company incurred and paid no milestones to Viridian. As of September 30, 2024, Viridian had not notified the Company of any additional antibody product candidate.</w:t>
      </w:r>
    </w:p>
    <w:p>
      <w:pPr>
        <w:spacing w:after="0" w:line="362"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During each of the three months ended September 30, 2024 and 2023, the Company recognized no expense related to Viridian. The Company recognized $0.1 million for each of the nine months ended September 30, 2024 and 2023, respectively, related to amounts reimbursed to Viridian for manufacturing activities, which were recorded in research and development expenses in the condensed consolidated statement of operations. No related amounts were recorded in accrued expenses or in accounts payable on the Company’s condensed consolidated balance sheet as of September 30, 2024. As of December 31, 2023, less than $0.1 million was included in accrued expenses and no amount was included in accounts payable on the Company’s consolidated balance sheet. In addition, Viridian has agreed to reimburse the Company for certain services it performs on Viridian’s behalf, with reimbursements being recorded as a reduction of research and development expense. Such amounts have been and are expected to be immaterial.</w:t>
      </w:r>
    </w:p>
    <w:p>
      <w:pPr>
        <w:spacing w:after="0" w:line="167" w:lineRule="exact"/>
        <w:rPr>
          <w:sz w:val="20"/>
          <w:szCs w:val="20"/>
          <w:color w:val="auto"/>
        </w:rPr>
      </w:pPr>
    </w:p>
    <w:p>
      <w:pPr>
        <w:ind w:left="620" w:hanging="578"/>
        <w:spacing w:after="0"/>
        <w:tabs>
          <w:tab w:leader="none" w:pos="62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Convertible Preferred Stock</w:t>
      </w:r>
    </w:p>
    <w:p>
      <w:pPr>
        <w:spacing w:after="0" w:line="209"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In September 2020, the Company issued and sold 1,785,714 shares of Series Seed convertible preferred stock (“Series Seed Preferred Stock”) in a private financing transaction, at a purchase price of $0.56 per share, for total net cash proceeds of $1.0 million.</w:t>
      </w:r>
    </w:p>
    <w:p>
      <w:pPr>
        <w:spacing w:after="0" w:line="143"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6"/>
          <w:szCs w:val="16"/>
          <w:color w:val="auto"/>
        </w:rPr>
        <w:t>In November 2020, the Company issued 5,041,542 shares of Series A convertible preferred stock (“Series A Preferred Stock”) to Xencor as initial consideration for the 2020 Xencor Agreement. Also in November 2020, the Company issued and sold 12,547,838 shares of Series A Preferred Stock in a private financing transaction, at a purchase price of $3.1878 per share, for total net cash proceeds of $39.9 million.</w:t>
      </w:r>
    </w:p>
    <w:p>
      <w:pPr>
        <w:spacing w:after="0" w:line="358"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In November 2022, the Company issued and sold 25,139,732 shares of Series B Preferred Stock in a private financing transaction, at a purchase price of $2.38666 per share, for total net cash proceeds of $59.4 million. Concurrent with the issuance and sale of the Series B Preferred Stock, which was deemed to be a qualified financing as defined in the convertible note agreement and resulted in the principal plus accrued interest being automatically converted into Series B Preferred Stock, the outstanding convertible notes were exchanged for 37,471,107 shares of Series B Preferred Stock. At the same time, the Xencor Warrant, which was issued as initial consideration for the 2021 Xencor Agreement, was deemed exercised for 14,441,793 shares of Series B Preferred Stock.</w:t>
      </w:r>
    </w:p>
    <w:p>
      <w:pPr>
        <w:spacing w:after="0" w:line="166"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6"/>
          <w:szCs w:val="16"/>
          <w:color w:val="auto"/>
        </w:rPr>
        <w:t>In April 2023, the Company incurred a $10.0 million development milestone pursuant to the 2021 Xencor Agreement. Xencor elected to receive payment in the form of the Company’s Series B Preferred Stock and the Company issued 4,189,955 shares of Series B Preferred Stock as payment for the development milestone in June 2023.</w:t>
      </w:r>
    </w:p>
    <w:p>
      <w:pPr>
        <w:spacing w:after="0" w:line="156"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In May 2023, the Company issued and sold 103,990,553 shares of Series C convertible preferred stock (“Series C Preferred Stock”) in a private financing transaction, at a purchase price of $1.72131 per share, for total net cash proceeds of $178.4 million. Concurrent with the issuance and sale of the Series C Preferred Stock, which was deemed to be a BMS Qualified Financing as defined above in Note 4, “Fair Value Measurements,” the principal plus accrued interest of the BMS Note was automatically converted into 12,284,686 shares of Series C Preferred Stock, thereby making the total Series C issuance equal to 116,275,239 shares.</w:t>
      </w:r>
    </w:p>
    <w:p>
      <w:pPr>
        <w:spacing w:after="0" w:line="164"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6"/>
          <w:szCs w:val="16"/>
          <w:color w:val="auto"/>
        </w:rPr>
        <w:t>In September 2024, the Company completed its IPO, pursuant to which the Company issued and sold 15,220,588 shares of its common stock, including 1,985,294 shares pursuant to the full exercise of the underwriters’ option to purchase additional shares, at a public offering price of $17.00 per share, for aggregate gross proceeds of $258.7 million. The</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Company received approximately $234.4 million in net proceeds, after deducting underwriting discounts and estimated offering expenses payable by the Company.</w:t>
      </w:r>
    </w:p>
    <w:p>
      <w:pPr>
        <w:spacing w:after="0" w:line="143"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Upon the closing of the IPO, all outstanding shares of the Company’s Series Seed, Series A, Series B and Series C Preferred Stock (collectively, “Preferred Stock”) automatically converted into an aggregate of 24,978,715 shares of the Company’s common stock.</w:t>
      </w:r>
    </w:p>
    <w:p>
      <w:pPr>
        <w:spacing w:after="0" w:line="143"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Upon the issuance of Series Seed, Series A, Series B, and Series C Preferred Stock, the Company assessed the embedded conversion and liquidation features of the shares and determined that such features did not require the Company to separately account for these features.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Preferred Stock consisted of the following (in thousands, except share amounts):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26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600" w:type="dxa"/>
            <w:vAlign w:val="bottom"/>
          </w:tcPr>
          <w:p>
            <w:pPr>
              <w:spacing w:after="0"/>
              <w:rPr>
                <w:sz w:val="9"/>
                <w:szCs w:val="9"/>
                <w:color w:val="auto"/>
              </w:rPr>
            </w:pPr>
          </w:p>
        </w:tc>
        <w:tc>
          <w:tcPr>
            <w:tcW w:w="12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Preferred Stock</w:t>
            </w:r>
          </w:p>
        </w:tc>
        <w:tc>
          <w:tcPr>
            <w:tcW w:w="130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2"/>
                <w:szCs w:val="12"/>
                <w:b w:val="1"/>
                <w:bCs w:val="1"/>
                <w:color w:val="auto"/>
              </w:rPr>
              <w:t>Preferred Stock</w:t>
            </w: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0" w:type="dxa"/>
            <w:vAlign w:val="bottom"/>
          </w:tcPr>
          <w:p>
            <w:pPr>
              <w:spacing w:after="0"/>
              <w:rPr>
                <w:sz w:val="1"/>
                <w:szCs w:val="1"/>
                <w:color w:val="auto"/>
              </w:rPr>
            </w:pPr>
          </w:p>
        </w:tc>
      </w:tr>
      <w:tr>
        <w:trPr>
          <w:trHeight w:val="134"/>
        </w:trPr>
        <w:tc>
          <w:tcPr>
            <w:tcW w:w="26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30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3"/>
                <w:szCs w:val="13"/>
                <w:b w:val="1"/>
                <w:bCs w:val="1"/>
                <w:color w:val="auto"/>
              </w:rPr>
              <w:t>Issued and</w:t>
            </w:r>
          </w:p>
        </w:tc>
        <w:tc>
          <w:tcPr>
            <w:tcW w:w="12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Liquidation Value</w:t>
            </w:r>
          </w:p>
        </w:tc>
        <w:tc>
          <w:tcPr>
            <w:tcW w:w="114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8"/>
              </w:rPr>
              <w:t>Issuable Upon</w:t>
            </w:r>
          </w:p>
        </w:tc>
        <w:tc>
          <w:tcPr>
            <w:tcW w:w="0" w:type="dxa"/>
            <w:vAlign w:val="bottom"/>
          </w:tcPr>
          <w:p>
            <w:pPr>
              <w:spacing w:after="0"/>
              <w:rPr>
                <w:sz w:val="1"/>
                <w:szCs w:val="1"/>
                <w:color w:val="auto"/>
              </w:rPr>
            </w:pPr>
          </w:p>
        </w:tc>
      </w:tr>
      <w:tr>
        <w:trPr>
          <w:trHeight w:val="156"/>
        </w:trPr>
        <w:tc>
          <w:tcPr>
            <w:tcW w:w="2600" w:type="dxa"/>
            <w:vAlign w:val="bottom"/>
          </w:tcPr>
          <w:p>
            <w:pPr>
              <w:spacing w:after="0"/>
              <w:rPr>
                <w:sz w:val="13"/>
                <w:szCs w:val="13"/>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Authorized</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Conversion</w:t>
            </w:r>
          </w:p>
        </w:tc>
        <w:tc>
          <w:tcPr>
            <w:tcW w:w="0" w:type="dxa"/>
            <w:vAlign w:val="bottom"/>
          </w:tcPr>
          <w:p>
            <w:pPr>
              <w:spacing w:after="0"/>
              <w:rPr>
                <w:sz w:val="1"/>
                <w:szCs w:val="1"/>
                <w:color w:val="auto"/>
              </w:rPr>
            </w:pPr>
          </w:p>
        </w:tc>
      </w:tr>
      <w:tr>
        <w:trPr>
          <w:trHeight w:val="187"/>
        </w:trPr>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Seed Preferred Stock</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1,785,714</w:t>
            </w:r>
          </w:p>
        </w:tc>
        <w:tc>
          <w:tcPr>
            <w:tcW w:w="1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1,785,714</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205,653</w:t>
            </w:r>
          </w:p>
        </w:tc>
        <w:tc>
          <w:tcPr>
            <w:tcW w:w="0" w:type="dxa"/>
            <w:vAlign w:val="bottom"/>
          </w:tcPr>
          <w:p>
            <w:pPr>
              <w:spacing w:after="0"/>
              <w:rPr>
                <w:sz w:val="1"/>
                <w:szCs w:val="1"/>
                <w:color w:val="auto"/>
              </w:rPr>
            </w:pPr>
          </w:p>
        </w:tc>
      </w:tr>
      <w:tr>
        <w:trPr>
          <w:trHeight w:val="195"/>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Series A Preferred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17,589,380</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17,589,380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55,840</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56,071</w:t>
            </w: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2,025,699</w:t>
            </w:r>
          </w:p>
        </w:tc>
        <w:tc>
          <w:tcPr>
            <w:tcW w:w="0" w:type="dxa"/>
            <w:vAlign w:val="bottom"/>
          </w:tcPr>
          <w:p>
            <w:pPr>
              <w:spacing w:after="0"/>
              <w:rPr>
                <w:sz w:val="1"/>
                <w:szCs w:val="1"/>
                <w:color w:val="auto"/>
              </w:rPr>
            </w:pPr>
          </w:p>
        </w:tc>
      </w:tr>
      <w:tr>
        <w:trPr>
          <w:trHeight w:val="195"/>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 Preferred Stock</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81,242,587</w:t>
            </w:r>
          </w:p>
        </w:tc>
        <w:tc>
          <w:tcPr>
            <w:tcW w:w="18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81,242,587</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193,290</w:t>
            </w:r>
          </w:p>
        </w:tc>
        <w:tc>
          <w:tcPr>
            <w:tcW w:w="1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193,898</w:t>
            </w:r>
          </w:p>
        </w:tc>
        <w:tc>
          <w:tcPr>
            <w:tcW w:w="20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9,356,392</w:t>
            </w:r>
          </w:p>
        </w:tc>
        <w:tc>
          <w:tcPr>
            <w:tcW w:w="0" w:type="dxa"/>
            <w:vAlign w:val="bottom"/>
          </w:tcPr>
          <w:p>
            <w:pPr>
              <w:spacing w:after="0"/>
              <w:rPr>
                <w:sz w:val="1"/>
                <w:szCs w:val="1"/>
                <w:color w:val="auto"/>
              </w:rPr>
            </w:pPr>
          </w:p>
        </w:tc>
      </w:tr>
      <w:tr>
        <w:trPr>
          <w:trHeight w:val="187"/>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100,617,681</w:t>
            </w:r>
          </w:p>
        </w:tc>
        <w:tc>
          <w:tcPr>
            <w:tcW w:w="18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100,617,681</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250,086</w:t>
            </w:r>
          </w:p>
        </w:tc>
        <w:tc>
          <w:tcPr>
            <w:tcW w:w="180" w:type="dxa"/>
            <w:vAlign w:val="bottom"/>
          </w:tcPr>
          <w:p>
            <w:pPr>
              <w:spacing w:after="0"/>
              <w:rPr>
                <w:sz w:val="16"/>
                <w:szCs w:val="16"/>
                <w:color w:val="auto"/>
              </w:rPr>
            </w:pPr>
          </w:p>
        </w:tc>
        <w:tc>
          <w:tcPr>
            <w:tcW w:w="3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250,969</w:t>
            </w:r>
          </w:p>
        </w:tc>
        <w:tc>
          <w:tcPr>
            <w:tcW w:w="20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11,587,744</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The holders of preferred stock had the following rights, preferences and privileges prior to conversion into common stock upon the closing of the IPO:</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Voting</w:t>
      </w:r>
    </w:p>
    <w:p>
      <w:pPr>
        <w:spacing w:after="0" w:line="209"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The holder of each share of Preferred Stock was entitled to one vote for each share of common stock into which it would convert and to vote with the common stock on all matters.</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Conversion</w:t>
      </w:r>
    </w:p>
    <w:p>
      <w:pPr>
        <w:spacing w:after="0" w:line="209"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Each share of convertible preferred stock was automatically convertible into a share of common stock, upon affirmative vote of majority of the holders of each series or upon the closing of an initial public offering of the Company’s common stock which resulted in a specified minimum amount of gross cash proceeds. The conversion ratio was initially one share of common stock for each share of convertible preferred stock and was adjustable adjusted in the event of a split or reverse split of the Company’s common stock, an issuance or declaration of dividends to holders of the Company’s common stock, a reorganization or merger transaction, or certain issuances of shares of common stock which were dilutive to holders of the Company’s preferred stock. Holders of preferred stock had the right to one vote for each share of the Company’s common stock into which such holder’s shares of preferred stock could then convert.</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Dividends</w:t>
      </w:r>
    </w:p>
    <w:p>
      <w:pPr>
        <w:spacing w:after="0" w:line="20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6"/>
          <w:szCs w:val="16"/>
          <w:color w:val="auto"/>
        </w:rPr>
        <w:t>Holders of Series C Preferred Stock were entitled to receive dividends, only when, as and if declared by the Board, at the annual rate of 6% of the Series C Preferred Stock issue price, payable in preference to and satisfied before any dividend or distribution on any other class or series of the Company’s shares (except for certain exempted distributions). If any assets or funds remain after dividends had been distributed to holders of Series C Preferred Stock, holders of Series B Preferred Stock would have been entitled to receive dividends, only when, as and if declared by the Board, at the annual rate of 6% of the Series B Preferred Stock issue price, payable in preference to and satisfied before any dividend or distribution on any other class or series of the Company’s shares (except for certain exempted distributions). If any assets or funds remain after dividends had been distributed to holders of Series B Preferred Stock, holders of Series A Preferred Stock would have been entitled to receive dividends, only when, as and if declared by the Board, at the annual rate of 6% of the Series A issue price, payable in preference to and satisfied before any dividend or distribution on any other class or series of the Company’s shares (except for certain exempted distributions). If any assets or funds remain after dividends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had been distributed to holders of Series A Preferred Stock, holders of Series Seed Preferred Stock would have been entitled to receive dividends, only when, as and if declared by the Board, at the annual rate of 6% of the Series Seed issue price, payable in preference to and satisfied before any dividend or distribution on any other class or series of the Company’s shares (except for certain exempted distributions). The right to receive dividends on shares of all series of preferred stock was not cumulative, and no such right accrued to holders of such shares. There were no dividends declared or paid as of September 30, 2024.</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Liquidation Preference</w:t>
      </w:r>
    </w:p>
    <w:p>
      <w:pPr>
        <w:spacing w:after="0" w:line="209"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6"/>
          <w:szCs w:val="16"/>
          <w:color w:val="auto"/>
        </w:rPr>
        <w:t>In the event of a voluntary or involuntary liquidation, dissolution or winding up of the Company or a deemed liquidation event, holders of Series C Preferred Stock prior and in preference to any distribution to holders of Series B Preferred Stock, Series A Preferred Stock, Series Seed Preferred Stock and common shares, would have been entitled to be paid the issue price they originally paid to acquire their shares, plus any declared but unpaid dividends. After full payment to holders of Series C Preferred Stock, holders of Series B Preferred Stock prior and in preference to any distribution to holders of Series A Preferred Stock, Series Seed Preferred Stock and common shares, would have been entitled to be paid the issue price they originally paid to acquire their shares, plus any declared and unpaid dividends. After full payment to holders of Series B Preferred Stock, holders of Series A Preferred Stock prior and in preference to any distribution to holders of Series Seed Preferred Stock and common shares, would have been entitled to be paid the issue price they originally paid to acquire their shares, plus any declared and unpaid dividends. After full payment to holders of Series C Preferred Stock, Series B Preferred Stock, and Series A Preferred Stock, holders of Series Seed Preferred Stock prior and in preference to any distribution to holders of common shares, would have been entitled to be paid the issue price they originally paid to acquire their shares, plus any declared and unpaid dividends. Any remaining amounts after payment to holders of preferred stock, would have been paid to holders of common shares. A deemed liquidation event was defined as any consolidation, amalgamation, scheme of arrangement or merger of the Company (and any of its subsidiaries) or other reorganization resulting in loss of more than 50% voting power; the sale, transfer, lease or other disposition of all or substantially all of the Company’s assets; or the exclusive licensing of all or substantially all of the Company’s intellectual property.</w:t>
      </w:r>
    </w:p>
    <w:p>
      <w:pPr>
        <w:spacing w:after="0" w:line="3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Redemption</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Preferred Stock did not have redemption rights, except for the contingent redemption upon the occurrence of a Liquidation Event.</w:t>
      </w:r>
    </w:p>
    <w:p>
      <w:pPr>
        <w:spacing w:after="0" w:line="205" w:lineRule="exact"/>
        <w:rPr>
          <w:sz w:val="20"/>
          <w:szCs w:val="20"/>
          <w:color w:val="auto"/>
        </w:rPr>
      </w:pPr>
    </w:p>
    <w:p>
      <w:pPr>
        <w:ind w:left="620" w:hanging="578"/>
        <w:spacing w:after="0"/>
        <w:tabs>
          <w:tab w:leader="none" w:pos="620"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Common Stock</w:t>
      </w:r>
    </w:p>
    <w:p>
      <w:pPr>
        <w:spacing w:after="0" w:line="209"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In August 2023, all outstanding shares of ordinary stock of Zenas Cayman automatically converted into shares of common stock of the Company upon the Redomicile and incorporation of the Company in the State of Delaware as Zenas BioPharma, Inc. In May 2024, the Company amended and restated its certificate of incorporation, whereby the Company increased the shares of common stock it was authorized to issue to 294,784,925 shares. Upon consummation of the IPO, the Company restated its certificate of incorporation, and as of September 30, 2024, the Company was authorized to issue 175,000,000 shares of $0.0001 par value common stock. The voting, dividend and liquidation rights of the holders of the Company’s common stock are subject to and qualified by the rights, powers and preference of the holders of any preferred stock then issued and outstanding.</w:t>
      </w:r>
    </w:p>
    <w:p>
      <w:pPr>
        <w:spacing w:after="0" w:line="167"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The holders of the common stock are entitled to one vote for each share of common stock held at all meetings of stockholders (and written actions in lieu of meetings), and there are not any cumulative voting rights. The number of authorized shares of common stock may be increased or decreased by the affirmative vote of the holders of shares of capital stock of the Company; however, the issuance of common stock may be subject to the vote of the holders of one or more series of convertible preferred stock.</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right="59"/>
        <w:spacing w:after="0" w:line="289" w:lineRule="auto"/>
        <w:rPr>
          <w:sz w:val="20"/>
          <w:szCs w:val="20"/>
          <w:color w:val="auto"/>
        </w:rPr>
      </w:pPr>
      <w:r>
        <w:rPr>
          <w:rFonts w:ascii="Times New Roman" w:cs="Times New Roman" w:eastAsia="Times New Roman" w:hAnsi="Times New Roman"/>
          <w:sz w:val="16"/>
          <w:szCs w:val="16"/>
          <w:color w:val="auto"/>
        </w:rPr>
        <w:t>The Company had reserved the following shares of common stock for the potential conversion of outstanding convertible preferred stock and exercise of stock options: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5960" w:type="dxa"/>
            <w:vAlign w:val="bottom"/>
          </w:tcPr>
          <w:p>
            <w:pPr>
              <w:spacing w:after="0"/>
              <w:rPr>
                <w:sz w:val="13"/>
                <w:szCs w:val="13"/>
                <w:color w:val="auto"/>
              </w:rPr>
            </w:pPr>
          </w:p>
        </w:tc>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380" w:type="dxa"/>
            <w:vAlign w:val="bottom"/>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26"/>
        </w:trPr>
        <w:tc>
          <w:tcPr>
            <w:tcW w:w="5960" w:type="dxa"/>
            <w:vAlign w:val="bottom"/>
            <w:tcBorders>
              <w:bottom w:val="single" w:sz="8" w:color="CCEEFF"/>
            </w:tcBorders>
          </w:tcPr>
          <w:p>
            <w:pPr>
              <w:spacing w:after="0"/>
              <w:rPr>
                <w:sz w:val="10"/>
                <w:szCs w:val="10"/>
                <w:color w:val="auto"/>
              </w:rPr>
            </w:pPr>
          </w:p>
        </w:tc>
        <w:tc>
          <w:tcPr>
            <w:tcW w:w="1340" w:type="dxa"/>
            <w:vAlign w:val="bottom"/>
            <w:tcBorders>
              <w:top w:val="single" w:sz="8" w:color="auto"/>
              <w:bottom w:val="single" w:sz="8" w:color="auto"/>
            </w:tcBorders>
          </w:tcPr>
          <w:p>
            <w:pPr>
              <w:jc w:val="right"/>
              <w:ind w:right="464"/>
              <w:spacing w:after="0" w:line="127"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bottom w:val="single" w:sz="8" w:color="CCEEFF"/>
            </w:tcBorders>
          </w:tcPr>
          <w:p>
            <w:pPr>
              <w:spacing w:after="0"/>
              <w:rPr>
                <w:sz w:val="10"/>
                <w:szCs w:val="10"/>
                <w:color w:val="auto"/>
              </w:rPr>
            </w:pPr>
          </w:p>
        </w:tc>
        <w:tc>
          <w:tcPr>
            <w:tcW w:w="1380" w:type="dxa"/>
            <w:vAlign w:val="bottom"/>
            <w:tcBorders>
              <w:top w:val="single" w:sz="8" w:color="auto"/>
              <w:bottom w:val="single" w:sz="8" w:color="auto"/>
            </w:tcBorders>
          </w:tcPr>
          <w:p>
            <w:pPr>
              <w:jc w:val="right"/>
              <w:ind w:right="484"/>
              <w:spacing w:after="0" w:line="127" w:lineRule="exact"/>
              <w:rPr>
                <w:sz w:val="20"/>
                <w:szCs w:val="20"/>
                <w:color w:val="auto"/>
              </w:rPr>
            </w:pPr>
            <w:r>
              <w:rPr>
                <w:rFonts w:ascii="Times New Roman" w:cs="Times New Roman" w:eastAsia="Times New Roman" w:hAnsi="Times New Roman"/>
                <w:sz w:val="13"/>
                <w:szCs w:val="13"/>
                <w:b w:val="1"/>
                <w:bCs w:val="1"/>
                <w:color w:val="auto"/>
              </w:rPr>
              <w:t>2023</w:t>
            </w:r>
          </w:p>
        </w:tc>
      </w:tr>
      <w:tr>
        <w:trPr>
          <w:trHeight w:val="18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outstanding shares of convertible preferred stock</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11,587,760</w:t>
            </w:r>
          </w:p>
        </w:tc>
      </w:tr>
      <w:tr>
        <w:trPr>
          <w:trHeight w:val="195"/>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8,630,075</w:t>
            </w: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2,382,933</w:t>
            </w:r>
          </w:p>
        </w:tc>
      </w:tr>
      <w:tr>
        <w:trPr>
          <w:trHeight w:val="195"/>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Remaining shares reserved for future issuance</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447,981</w:t>
            </w:r>
          </w:p>
        </w:tc>
        <w:tc>
          <w:tcPr>
            <w:tcW w:w="240" w:type="dxa"/>
            <w:vAlign w:val="bottom"/>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60,793</w:t>
            </w:r>
          </w:p>
        </w:tc>
      </w:tr>
      <w:tr>
        <w:trPr>
          <w:trHeight w:val="187"/>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9,078,056</w:t>
            </w:r>
          </w:p>
        </w:tc>
        <w:tc>
          <w:tcPr>
            <w:tcW w:w="24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14,031,486</w:t>
            </w:r>
          </w:p>
        </w:tc>
      </w:tr>
      <w:tr>
        <w:trPr>
          <w:trHeight w:val="20"/>
        </w:trPr>
        <w:tc>
          <w:tcPr>
            <w:tcW w:w="59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620" w:hanging="578"/>
        <w:spacing w:after="0"/>
        <w:tabs>
          <w:tab w:leader="none" w:pos="62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Stock-Based Compensation</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2020 Plan</w:t>
      </w:r>
    </w:p>
    <w:p>
      <w:pPr>
        <w:spacing w:after="0" w:line="174"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6"/>
          <w:szCs w:val="16"/>
          <w:color w:val="auto"/>
        </w:rPr>
        <w:t>On August 21, 2020, the Company’s sole director and member approved the Zenas BioPharma (Cayman) Limited 2020 Equity Incentive Plan (the “2020 Plan”). The 2020 Plan allowed the Company to grant stock options, restricted stock awards (“RSAs”), restricted stock units, and other stock-based awards to employees, officers, directors and consultants of the Company and its subsidiaries.</w:t>
      </w:r>
    </w:p>
    <w:p>
      <w:pPr>
        <w:spacing w:after="0" w:line="119"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6"/>
          <w:szCs w:val="16"/>
          <w:color w:val="auto"/>
        </w:rPr>
        <w:t>Since inception of the 2020 Plan, the Company has granted RSAs and stock options. RSAs and stock options granted by the Company generally vest over four years, with 25% of the total shares granted vesting on the anniversary of the vesting commencement date and the remaining 75% vesting in equal monthly installments over the subsequent thirty-six (36) months.</w:t>
      </w:r>
    </w:p>
    <w:p>
      <w:pPr>
        <w:spacing w:after="0" w:line="131"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In August 2023, as part of the Redomicile, the 2020 Plan was transferred from Zenas BioPharma Cayman Limited to Zenas BioPharma, Inc and was renamed the Zenas BioPharma, Inc. 2020 Equity Incentive Plan. Upon the transfer, there was no legal modification to the outstanding RSAs and stock options, and no changes to any existing terms of the outstanding awards (exercise price, term, vesting, etc.). Upon effectiveness of the 2024 Plan (as defined below), the Company ceased granting additional awards under the 2020 Plan.</w:t>
      </w:r>
    </w:p>
    <w:p>
      <w:pPr>
        <w:spacing w:after="0" w:line="1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2024 Plan</w:t>
      </w:r>
    </w:p>
    <w:p>
      <w:pPr>
        <w:spacing w:after="0" w:line="174" w:lineRule="exact"/>
        <w:rPr>
          <w:sz w:val="20"/>
          <w:szCs w:val="20"/>
          <w:color w:val="auto"/>
        </w:rPr>
      </w:pPr>
    </w:p>
    <w:p>
      <w:pPr>
        <w:ind w:left="40" w:right="139"/>
        <w:spacing w:after="0" w:line="266" w:lineRule="auto"/>
        <w:rPr>
          <w:sz w:val="20"/>
          <w:szCs w:val="20"/>
          <w:color w:val="auto"/>
        </w:rPr>
      </w:pPr>
      <w:r>
        <w:rPr>
          <w:rFonts w:ascii="Times New Roman" w:cs="Times New Roman" w:eastAsia="Times New Roman" w:hAnsi="Times New Roman"/>
          <w:sz w:val="16"/>
          <w:szCs w:val="16"/>
          <w:color w:val="auto"/>
        </w:rPr>
        <w:t>On September 3, 2024, the Board adopted the 2024 Equity Incentive Plan (the “2024 Plan”), which became effective immediately prior to the effectiveness of the registration statement for the Company’s IPO. The 2024 Plan provides for the award of incentive stock options, nonstatutory stock options, stock appreciation rights, restricted stock awards, unrestricted stock, restricted stock units and other stock-based awards.</w:t>
      </w:r>
    </w:p>
    <w:p>
      <w:pPr>
        <w:spacing w:after="0" w:line="136"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Upon the effectiveness of the 2024 Plan, the number of shares of common stock initially reserved for issuance was 4,775,477 shares of common stock which is equal to 12% of the number of shares of common stock issued and outstanding immediately following the consummation of the Company’s IPO. The number of shares reserved for issuance under the 2024 Plan will increase automatically on the first day of each fiscal year commencing on January 1, 2025 through January 1, 2034 by the number of shares equal to the lesser of</w:t>
      </w:r>
    </w:p>
    <w:p>
      <w:pPr>
        <w:spacing w:after="0" w:line="3" w:lineRule="exact"/>
        <w:rPr>
          <w:sz w:val="20"/>
          <w:szCs w:val="20"/>
          <w:color w:val="auto"/>
        </w:rPr>
      </w:pPr>
    </w:p>
    <w:p>
      <w:pPr>
        <w:jc w:val="both"/>
        <w:ind w:left="40" w:right="59" w:firstLine="2"/>
        <w:spacing w:after="0" w:line="262" w:lineRule="auto"/>
        <w:tabs>
          <w:tab w:leader="none" w:pos="26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five percent of the aggregate number of shares of common stock outstanding as of such date, and (b) a number of shares as may be determined by the Board on or prior to such date. As of September 30, 2024, 447,981 shares of common stock remain available for future issuance under the 2024 Plan.</w:t>
      </w: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2024 ESPP</w:t>
      </w:r>
    </w:p>
    <w:p>
      <w:pPr>
        <w:spacing w:after="0" w:line="174"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On September 3, 2024, the Board adopted the 2024 Employee Stock Purchase Plan (the “ESPP”), which became effective immediately prior to the effectiveness of the registration statement for the Company’s IPO. The Company initially reserved 397,956 shares for issuance under the ESPP which is equal to 1% of the number of shares of common stock issued and outstanding immediately following the consummation of the Company’s IPO. The number of shares reserved for sale under the ESPP will increase automatically on the first day of each fiscal year commencing on January 1, 2025 through January 1, 2034, by the number of shares equal to the lesser of (a) one percent of the aggregate number of shares of common stock outstanding as of such date, and (b) a number of shares as may be determined by the Board on or prior to such date, up to a maximum of 1,000,000 shares in the aggregate per year. As of September 30, 2024, no shares of common stock have been issued and no stock-based compensation has been recognized related to the ESPP.</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Awards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presents a summary of the Company’s RSA activity and related information:</w:t>
      </w:r>
    </w:p>
    <w:p>
      <w:pPr>
        <w:spacing w:after="0" w:line="161" w:lineRule="exact"/>
        <w:rPr>
          <w:sz w:val="20"/>
          <w:szCs w:val="20"/>
          <w:color w:val="auto"/>
        </w:rPr>
      </w:pPr>
    </w:p>
    <w:tbl>
      <w:tblPr>
        <w:tblLayout w:type="fixed"/>
        <w:tblInd w:w="94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34"/>
        </w:trPr>
        <w:tc>
          <w:tcPr>
            <w:tcW w:w="42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right="26"/>
              <w:spacing w:after="0" w:line="134" w:lineRule="exact"/>
              <w:rPr>
                <w:sz w:val="20"/>
                <w:szCs w:val="20"/>
                <w:color w:val="auto"/>
              </w:rPr>
            </w:pPr>
            <w:r>
              <w:rPr>
                <w:rFonts w:ascii="Times New Roman" w:cs="Times New Roman" w:eastAsia="Times New Roman" w:hAnsi="Times New Roman"/>
                <w:sz w:val="13"/>
                <w:szCs w:val="13"/>
                <w:b w:val="1"/>
                <w:bCs w:val="1"/>
                <w:color w:val="auto"/>
              </w:rPr>
              <w:t>Average Grant-Date</w:t>
            </w: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0" w:type="dxa"/>
            <w:vAlign w:val="bottom"/>
          </w:tcPr>
          <w:p>
            <w:pPr>
              <w:spacing w:after="0"/>
              <w:rPr>
                <w:sz w:val="1"/>
                <w:szCs w:val="1"/>
                <w:color w:val="auto"/>
              </w:rPr>
            </w:pPr>
          </w:p>
        </w:tc>
      </w:tr>
      <w:tr>
        <w:trPr>
          <w:trHeight w:val="187"/>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as of December 31, 2023</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195"/>
        </w:trPr>
        <w:tc>
          <w:tcPr>
            <w:tcW w:w="4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Vested</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07"/>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Repurchased</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(21,172)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187"/>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as of September 30, 2024</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-549910</wp:posOffset>
            </wp:positionV>
            <wp:extent cx="12382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3825" cy="15240"/>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-549910</wp:posOffset>
            </wp:positionV>
            <wp:extent cx="2573020" cy="5346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73020" cy="534670"/>
                    </a:xfrm>
                    <a:prstGeom prst="rect">
                      <a:avLst/>
                    </a:prstGeom>
                    <a:noFill/>
                  </pic:spPr>
                </pic:pic>
              </a:graphicData>
            </a:graphic>
          </wp:anchor>
        </w:drawing>
      </w:r>
    </w:p>
    <w:p>
      <w:pPr>
        <w:spacing w:after="0" w:line="73" w:lineRule="exact"/>
        <w:rPr>
          <w:sz w:val="20"/>
          <w:szCs w:val="20"/>
          <w:color w:val="auto"/>
        </w:rPr>
      </w:pPr>
    </w:p>
    <w:p>
      <w:pPr>
        <w:ind w:left="40" w:right="119"/>
        <w:spacing w:after="0" w:line="445" w:lineRule="auto"/>
        <w:rPr>
          <w:sz w:val="20"/>
          <w:szCs w:val="20"/>
          <w:color w:val="auto"/>
        </w:rPr>
      </w:pPr>
      <w:r>
        <w:rPr>
          <w:rFonts w:ascii="Times New Roman" w:cs="Times New Roman" w:eastAsia="Times New Roman" w:hAnsi="Times New Roman"/>
          <w:sz w:val="16"/>
          <w:szCs w:val="16"/>
          <w:color w:val="auto"/>
        </w:rPr>
        <w:t xml:space="preserve">There were no RSAs granted during the nine months ended September 30, 2024. As of September 30, 2024, all RSAs were fully vested. </w:t>
      </w:r>
      <w:r>
        <w:rPr>
          <w:rFonts w:ascii="Times New Roman" w:cs="Times New Roman" w:eastAsia="Times New Roman" w:hAnsi="Times New Roman"/>
          <w:sz w:val="16"/>
          <w:szCs w:val="16"/>
          <w:b w:val="1"/>
          <w:bCs w:val="1"/>
          <w:i w:val="1"/>
          <w:iCs w:val="1"/>
          <w:color w:val="auto"/>
        </w:rPr>
        <w:t>Stock Options</w:t>
      </w:r>
    </w:p>
    <w:p>
      <w:pPr>
        <w:spacing w:after="0" w:line="1"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6"/>
          <w:szCs w:val="16"/>
          <w:color w:val="auto"/>
        </w:rPr>
        <w:t>The Company has granted stock options with service-based vesting conditions. Stock options typically vest over four years and have a maximum term of ten years. The Company typically grants stock options to employees and non-employees at exercise prices deemed by the Board to be equal to the fair value of the common stock at the time of grant.</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presents a summary of the Company’s stock option activity and related information:</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180" w:type="dxa"/>
            <w:vAlign w:val="bottom"/>
          </w:tcPr>
          <w:p>
            <w:pPr>
              <w:spacing w:after="0"/>
              <w:rPr>
                <w:sz w:val="12"/>
                <w:szCs w:val="12"/>
                <w:color w:val="auto"/>
              </w:rPr>
            </w:pPr>
          </w:p>
        </w:tc>
        <w:tc>
          <w:tcPr>
            <w:tcW w:w="940" w:type="dxa"/>
            <w:vAlign w:val="bottom"/>
            <w:vMerge w:val="restart"/>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4"/>
        </w:trPr>
        <w:tc>
          <w:tcPr>
            <w:tcW w:w="3820" w:type="dxa"/>
            <w:vAlign w:val="bottom"/>
          </w:tcPr>
          <w:p>
            <w:pPr>
              <w:spacing w:after="0"/>
              <w:rPr>
                <w:sz w:val="11"/>
                <w:szCs w:val="11"/>
                <w:color w:val="auto"/>
              </w:rPr>
            </w:pPr>
          </w:p>
        </w:tc>
        <w:tc>
          <w:tcPr>
            <w:tcW w:w="14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Weighted-Average</w:t>
            </w:r>
          </w:p>
        </w:tc>
        <w:tc>
          <w:tcPr>
            <w:tcW w:w="116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8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16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80" w:type="dxa"/>
            <w:vAlign w:val="bottom"/>
          </w:tcPr>
          <w:p>
            <w:pPr>
              <w:spacing w:after="0"/>
              <w:rPr>
                <w:sz w:val="11"/>
                <w:szCs w:val="11"/>
                <w:color w:val="auto"/>
              </w:rPr>
            </w:pPr>
          </w:p>
        </w:tc>
        <w:tc>
          <w:tcPr>
            <w:tcW w:w="940" w:type="dxa"/>
            <w:vAlign w:val="bottom"/>
          </w:tcPr>
          <w:p>
            <w:pPr>
              <w:jc w:val="center"/>
              <w:ind w:right="86"/>
              <w:spacing w:after="0" w:line="134" w:lineRule="exact"/>
              <w:rPr>
                <w:sz w:val="20"/>
                <w:szCs w:val="20"/>
                <w:color w:val="auto"/>
              </w:rPr>
            </w:pPr>
            <w:r>
              <w:rPr>
                <w:rFonts w:ascii="Times New Roman" w:cs="Times New Roman" w:eastAsia="Times New Roman" w:hAnsi="Times New Roman"/>
                <w:sz w:val="13"/>
                <w:szCs w:val="13"/>
                <w:b w:val="1"/>
                <w:bCs w:val="1"/>
                <w:color w:val="auto"/>
                <w:w w:val="96"/>
              </w:rPr>
              <w:t>Intrinsic</w:t>
            </w:r>
          </w:p>
        </w:tc>
        <w:tc>
          <w:tcPr>
            <w:tcW w:w="0" w:type="dxa"/>
            <w:vAlign w:val="bottom"/>
          </w:tcPr>
          <w:p>
            <w:pPr>
              <w:spacing w:after="0"/>
              <w:rPr>
                <w:sz w:val="1"/>
                <w:szCs w:val="1"/>
                <w:color w:val="auto"/>
              </w:rPr>
            </w:pPr>
          </w:p>
        </w:tc>
      </w:tr>
      <w:tr>
        <w:trPr>
          <w:trHeight w:val="134"/>
        </w:trPr>
        <w:tc>
          <w:tcPr>
            <w:tcW w:w="3820" w:type="dxa"/>
            <w:vAlign w:val="bottom"/>
          </w:tcPr>
          <w:p>
            <w:pPr>
              <w:spacing w:after="0"/>
              <w:rPr>
                <w:sz w:val="11"/>
                <w:szCs w:val="11"/>
                <w:color w:val="auto"/>
              </w:rPr>
            </w:pPr>
          </w:p>
        </w:tc>
        <w:tc>
          <w:tcPr>
            <w:tcW w:w="14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16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180" w:type="dxa"/>
            <w:vAlign w:val="bottom"/>
          </w:tcPr>
          <w:p>
            <w:pPr>
              <w:spacing w:after="0"/>
              <w:rPr>
                <w:sz w:val="11"/>
                <w:szCs w:val="11"/>
                <w:color w:val="auto"/>
              </w:rPr>
            </w:pPr>
          </w:p>
        </w:tc>
        <w:tc>
          <w:tcPr>
            <w:tcW w:w="940" w:type="dxa"/>
            <w:vAlign w:val="bottom"/>
            <w:vMerge w:val="restart"/>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56"/>
        </w:trPr>
        <w:tc>
          <w:tcPr>
            <w:tcW w:w="382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Term</w:t>
            </w: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82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Borders>
              <w:top w:val="single" w:sz="8" w:color="auto"/>
            </w:tcBorders>
          </w:tcPr>
          <w:p>
            <w:pPr>
              <w:jc w:val="right"/>
              <w:ind w:right="130"/>
              <w:spacing w:after="0" w:line="127" w:lineRule="exact"/>
              <w:rPr>
                <w:sz w:val="20"/>
                <w:szCs w:val="20"/>
                <w:color w:val="auto"/>
              </w:rPr>
            </w:pPr>
            <w:r>
              <w:rPr>
                <w:rFonts w:ascii="Times New Roman" w:cs="Times New Roman" w:eastAsia="Times New Roman" w:hAnsi="Times New Roman"/>
                <w:sz w:val="13"/>
                <w:szCs w:val="13"/>
                <w:color w:val="auto"/>
              </w:rPr>
              <w:t>(in years)</w:t>
            </w: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46"/>
              <w:spacing w:after="0" w:line="127" w:lineRule="exact"/>
              <w:rPr>
                <w:sz w:val="20"/>
                <w:szCs w:val="20"/>
                <w:color w:val="auto"/>
              </w:rPr>
            </w:pPr>
            <w:r>
              <w:rPr>
                <w:rFonts w:ascii="Times New Roman" w:cs="Times New Roman" w:eastAsia="Times New Roman" w:hAnsi="Times New Roman"/>
                <w:sz w:val="13"/>
                <w:szCs w:val="13"/>
                <w:color w:val="auto"/>
              </w:rPr>
              <w:t>(in thousands)</w:t>
            </w:r>
          </w:p>
        </w:tc>
        <w:tc>
          <w:tcPr>
            <w:tcW w:w="0" w:type="dxa"/>
            <w:vAlign w:val="bottom"/>
          </w:tcPr>
          <w:p>
            <w:pPr>
              <w:spacing w:after="0"/>
              <w:rPr>
                <w:sz w:val="1"/>
                <w:szCs w:val="1"/>
                <w:color w:val="auto"/>
              </w:rPr>
            </w:pPr>
          </w:p>
        </w:tc>
      </w:tr>
      <w:tr>
        <w:trPr>
          <w:trHeight w:val="195"/>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2,382,933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8,084</w:t>
            </w:r>
          </w:p>
        </w:tc>
        <w:tc>
          <w:tcPr>
            <w:tcW w:w="0" w:type="dxa"/>
            <w:vAlign w:val="bottom"/>
          </w:tcPr>
          <w:p>
            <w:pPr>
              <w:spacing w:after="0"/>
              <w:rPr>
                <w:sz w:val="1"/>
                <w:szCs w:val="1"/>
                <w:color w:val="auto"/>
              </w:rPr>
            </w:pPr>
          </w:p>
        </w:tc>
      </w:tr>
      <w:tr>
        <w:trPr>
          <w:trHeight w:val="195"/>
        </w:trPr>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6,363,022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(25,953)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95"/>
        </w:trPr>
        <w:tc>
          <w:tcPr>
            <w:tcW w:w="3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Forfeited or cancelled</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(89,927)</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outstanding as of September 30, 2024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8,630,075</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32,545</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line="171" w:lineRule="exact"/>
              <w:rPr>
                <w:sz w:val="20"/>
                <w:szCs w:val="20"/>
                <w:color w:val="auto"/>
              </w:rPr>
            </w:pPr>
            <w:r>
              <w:rPr>
                <w:rFonts w:ascii="Times New Roman" w:cs="Times New Roman" w:eastAsia="Times New Roman" w:hAnsi="Times New Roman"/>
                <w:sz w:val="16"/>
                <w:szCs w:val="16"/>
                <w:color w:val="auto"/>
              </w:rPr>
              <w:t>Options vested and exercisable as of</w:t>
            </w: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2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September 30, 2024</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1,017,323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10,093</w:t>
            </w:r>
          </w:p>
        </w:tc>
        <w:tc>
          <w:tcPr>
            <w:tcW w:w="0" w:type="dxa"/>
            <w:vAlign w:val="bottom"/>
          </w:tcPr>
          <w:p>
            <w:pPr>
              <w:spacing w:after="0"/>
              <w:rPr>
                <w:sz w:val="1"/>
                <w:szCs w:val="1"/>
                <w:color w:val="auto"/>
              </w:rPr>
            </w:pPr>
          </w:p>
        </w:tc>
      </w:tr>
      <w:tr>
        <w:trPr>
          <w:trHeight w:val="179"/>
        </w:trPr>
        <w:tc>
          <w:tcPr>
            <w:tcW w:w="382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Options vested and expected to vest as of</w:t>
            </w: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30, 2024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8,630,075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32,545</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The aggregate intrinsic value of stock options is calculated as the difference between the exercise price of the options and the fair value of the Company’s common stock for those stock options that had an exercise price lower than the fair value of the Company’s common stock as of the measurement date of September 30, 2024. The aggregate intrinsic value of options exercised during each of the nine months ended September 30, 2024 and 2023 was $0.1 million.</w:t>
      </w:r>
    </w:p>
    <w:p>
      <w:pPr>
        <w:spacing w:after="0" w:line="124"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As of September 30, 2024, unrecognized compensation cost related to unvested stock options was $79.2 million, which is expected to be recognized over a weighted average period of 3.3 years.</w:t>
      </w:r>
    </w:p>
    <w:p>
      <w:pPr>
        <w:spacing w:after="0" w:line="1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 Expense</w:t>
      </w:r>
    </w:p>
    <w:p>
      <w:pPr>
        <w:spacing w:after="0" w:line="150"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The following table presents stock-based compensation expense as reflected in the Company’s condensed consolidated statements of operations and comprehensive loss for the three and nine months ended September 30, 2024 and 2023 (in thousands):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860" w:type="dxa"/>
            <w:vAlign w:val="bottom"/>
          </w:tcPr>
          <w:p>
            <w:pPr>
              <w:spacing w:after="0"/>
              <w:rPr>
                <w:sz w:val="13"/>
                <w:szCs w:val="13"/>
                <w:color w:val="auto"/>
              </w:rPr>
            </w:pPr>
          </w:p>
        </w:tc>
        <w:tc>
          <w:tcPr>
            <w:tcW w:w="2760" w:type="dxa"/>
            <w:vAlign w:val="bottom"/>
            <w:gridSpan w:val="6"/>
          </w:tcPr>
          <w:p>
            <w:pPr>
              <w:ind w:left="28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20" w:type="dxa"/>
            <w:vAlign w:val="bottom"/>
          </w:tcPr>
          <w:p>
            <w:pPr>
              <w:spacing w:after="0"/>
              <w:rPr>
                <w:sz w:val="13"/>
                <w:szCs w:val="13"/>
                <w:color w:val="auto"/>
              </w:rPr>
            </w:pPr>
          </w:p>
        </w:tc>
        <w:tc>
          <w:tcPr>
            <w:tcW w:w="220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26"/>
        </w:trPr>
        <w:tc>
          <w:tcPr>
            <w:tcW w:w="386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bottom w:val="single" w:sz="8" w:color="CCEEFF"/>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383"/>
              <w:spacing w:after="0" w:line="127"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285"/>
              <w:spacing w:after="0" w:line="127"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Borders>
              <w:top w:val="single" w:sz="8" w:color="auto"/>
              <w:bottom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343"/>
              <w:spacing w:after="0" w:line="127"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0"/>
                <w:szCs w:val="10"/>
                <w:color w:val="auto"/>
              </w:rPr>
            </w:pPr>
          </w:p>
        </w:tc>
      </w:tr>
      <w:tr>
        <w:trPr>
          <w:trHeight w:val="187"/>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760" w:type="dxa"/>
            <w:vAlign w:val="bottom"/>
            <w:shd w:val="clear" w:color="auto" w:fill="CCEEFF"/>
          </w:tcPr>
          <w:p>
            <w:pPr>
              <w:jc w:val="right"/>
              <w:ind w:right="605"/>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20" w:type="dxa"/>
            <w:vAlign w:val="bottom"/>
          </w:tcPr>
          <w:p>
            <w:pPr>
              <w:spacing w:after="0"/>
              <w:rPr>
                <w:sz w:val="16"/>
                <w:szCs w:val="16"/>
                <w:color w:val="auto"/>
              </w:rPr>
            </w:pPr>
          </w:p>
        </w:tc>
      </w:tr>
      <w:tr>
        <w:trPr>
          <w:trHeight w:val="195"/>
        </w:trPr>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20" w:type="dxa"/>
            <w:vAlign w:val="bottom"/>
          </w:tcPr>
          <w:p>
            <w:pPr>
              <w:spacing w:after="0"/>
              <w:rPr>
                <w:sz w:val="16"/>
                <w:szCs w:val="16"/>
                <w:color w:val="auto"/>
              </w:rPr>
            </w:pPr>
          </w:p>
        </w:tc>
      </w:tr>
      <w:tr>
        <w:trPr>
          <w:trHeight w:val="187"/>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760" w:type="dxa"/>
            <w:vAlign w:val="bottom"/>
            <w:tcBorders>
              <w:bottom w:val="single" w:sz="8" w:color="auto"/>
            </w:tcBorders>
            <w:shd w:val="clear" w:color="auto" w:fill="CCEEFF"/>
          </w:tcPr>
          <w:p>
            <w:pPr>
              <w:jc w:val="right"/>
              <w:ind w:right="605"/>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1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5,326</w:t>
            </w:r>
          </w:p>
        </w:tc>
        <w:tc>
          <w:tcPr>
            <w:tcW w:w="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20" w:type="dxa"/>
            <w:vAlign w:val="bottom"/>
          </w:tcPr>
          <w:p>
            <w:pPr>
              <w:spacing w:after="0"/>
              <w:rPr>
                <w:sz w:val="16"/>
                <w:szCs w:val="16"/>
                <w:color w:val="auto"/>
              </w:rPr>
            </w:pPr>
          </w:p>
        </w:tc>
      </w:tr>
      <w:tr>
        <w:trPr>
          <w:trHeight w:val="20"/>
        </w:trPr>
        <w:tc>
          <w:tcPr>
            <w:tcW w:w="3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386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23</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6"/>
        </w:trPr>
        <w:tc>
          <w:tcPr>
            <w:tcW w:w="38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7"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20" w:hanging="578"/>
        <w:spacing w:after="0"/>
        <w:tabs>
          <w:tab w:leader="none" w:pos="620" w:val="left"/>
        </w:tabs>
        <w:numPr>
          <w:ilvl w:val="0"/>
          <w:numId w:val="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Net (Loss) Income Per Share</w:t>
      </w:r>
    </w:p>
    <w:p>
      <w:pPr>
        <w:spacing w:after="0" w:line="209"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In periods when participating securities are outstanding and the Company has income, net income (loss) per share information is determined using the two-class method, which includes the weighted-average number of shares of common stock outstanding during the period and other securities that participate in dividends (a participating security). The Company considers the convertible preferred stock to be participating securities because they include rights to participate in dividends with the common stock.</w:t>
      </w:r>
    </w:p>
    <w:p>
      <w:pPr>
        <w:spacing w:after="0" w:line="161"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Under the two-class method, basic net income (loss) per share attributable to common stockholders is computed by dividing the net income (loss) attributable to common stockholders by the weighted-average number of shares of common stock outstanding during the period. Diluted net income (loss) per share attributable to common stockholders is computed using the more dilutive of (1) the two-class method or (2) the if-converted method. The Company allocates net income first to preferred stockholders based on dividend rights under the Company's certificate of incorporation and then to preferred and common stockholders based on ownership interests. Net losses are not allocated to preferred stockholders as they do not have an obligation to share in the Company's net losses.</w:t>
      </w:r>
    </w:p>
    <w:p>
      <w:pPr>
        <w:spacing w:after="0" w:line="166"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Diluted net income (loss) per share gives effect to all potentially dilutive securities. Potential dilutive securities consist of shares of common stock issuable upon the exercise of stock options, and shares of common stock issuable upon the conversion of the outstanding convertible preferred stock and convertible debt. The dilutive effect of these common stock equivalents is reflected in diluted earnings per share by application of the treasury stock method. In periods in which the Company reports a net loss, diluted net loss per share is the same as basic net loss per share since dilutive common shares are not assumed to have been issued if their effect is antidilutive.</w:t>
      </w:r>
    </w:p>
    <w:p>
      <w:pPr>
        <w:spacing w:after="0" w:line="164"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Basic and diluted net (loss) income per share attributable to common stockholders was calculated as follows (in thousands, except share and per share amounts):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80" w:type="dxa"/>
            <w:vAlign w:val="bottom"/>
          </w:tcPr>
          <w:p>
            <w:pPr>
              <w:spacing w:after="0"/>
              <w:rPr>
                <w:sz w:val="13"/>
                <w:szCs w:val="13"/>
                <w:color w:val="auto"/>
              </w:rPr>
            </w:pPr>
          </w:p>
        </w:tc>
        <w:tc>
          <w:tcPr>
            <w:tcW w:w="2300" w:type="dxa"/>
            <w:vAlign w:val="bottom"/>
            <w:gridSpan w:val="5"/>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26"/>
        </w:trPr>
        <w:tc>
          <w:tcPr>
            <w:tcW w:w="392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ind w:left="320"/>
              <w:spacing w:after="0" w:line="127"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Borders>
              <w:top w:val="single" w:sz="8" w:color="auto"/>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ind w:right="280"/>
              <w:spacing w:after="0" w:line="127"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jc w:val="right"/>
              <w:ind w:right="382"/>
              <w:spacing w:after="0" w:line="127"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980" w:type="dxa"/>
            <w:vAlign w:val="bottom"/>
            <w:tcBorders>
              <w:top w:val="single" w:sz="8" w:color="auto"/>
              <w:bottom w:val="single" w:sz="8" w:color="auto"/>
            </w:tcBorders>
          </w:tcPr>
          <w:p>
            <w:pPr>
              <w:jc w:val="right"/>
              <w:ind w:right="340"/>
              <w:spacing w:after="0" w:line="127"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(38,606)</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35,608</w:t>
            </w:r>
          </w:p>
        </w:tc>
        <w:tc>
          <w:tcPr>
            <w:tcW w:w="1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(104,384)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92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Less: Noncumulative undeclared convertible preferred</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dividends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(3,766)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Less: Earnings attributable to participating securities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(28,119)</w:t>
            </w:r>
          </w:p>
        </w:tc>
        <w:tc>
          <w:tcPr>
            <w:tcW w:w="18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Net (loss) income attributable to common stockholders -</w:t>
            </w: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920" w:type="dxa"/>
            <w:vAlign w:val="bottom"/>
            <w:vMerge w:val="continue"/>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(38,606)</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3,723</w:t>
            </w:r>
          </w:p>
        </w:tc>
        <w:tc>
          <w:tcPr>
            <w:tcW w:w="1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(104,384)</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4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common stock outstanding - basic</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7,697,695</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1,537,918</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3,621,276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1,527,730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Dilutive effect of options to purchase common stock</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360,473</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Weighted-average common stock outstanding - diluted</w:t>
            </w: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7,697,695</w:t>
            </w:r>
          </w:p>
        </w:tc>
        <w:tc>
          <w:tcPr>
            <w:tcW w:w="1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1,898,391</w:t>
            </w:r>
          </w:p>
        </w:tc>
        <w:tc>
          <w:tcPr>
            <w:tcW w:w="1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3,621,276</w:t>
            </w:r>
          </w:p>
        </w:tc>
        <w:tc>
          <w:tcPr>
            <w:tcW w:w="1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1,527,730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392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5"/>
                <w:szCs w:val="15"/>
                <w:color w:val="auto"/>
              </w:rPr>
              <w:t>Net (loss) income per share attributable to common</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(5.02)</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(28.83)</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 basic</w:t>
            </w:r>
          </w:p>
        </w:tc>
        <w:tc>
          <w:tcPr>
            <w:tcW w:w="14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spacing w:after="0" w:line="171" w:lineRule="exact"/>
              <w:rPr>
                <w:sz w:val="20"/>
                <w:szCs w:val="20"/>
                <w:color w:val="auto"/>
              </w:rPr>
            </w:pPr>
            <w:r>
              <w:rPr>
                <w:rFonts w:ascii="Times New Roman" w:cs="Times New Roman" w:eastAsia="Times New Roman" w:hAnsi="Times New Roman"/>
                <w:sz w:val="16"/>
                <w:szCs w:val="16"/>
                <w:color w:val="auto"/>
              </w:rPr>
              <w:t>Net (loss) income per share attributable to common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920" w:type="dxa"/>
            <w:vAlign w:val="bottom"/>
            <w:vMerge w:val="continue"/>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(5.02)</w:t>
            </w: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8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(28.83)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(8.21)</w:t>
            </w:r>
          </w:p>
        </w:tc>
        <w:tc>
          <w:tcPr>
            <w:tcW w:w="0" w:type="dxa"/>
            <w:vAlign w:val="bottom"/>
          </w:tcPr>
          <w:p>
            <w:pPr>
              <w:spacing w:after="0"/>
              <w:rPr>
                <w:sz w:val="1"/>
                <w:szCs w:val="1"/>
                <w:color w:val="auto"/>
              </w:rPr>
            </w:pPr>
          </w:p>
        </w:tc>
      </w:tr>
      <w:tr>
        <w:trPr>
          <w:trHeight w:val="200"/>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 diluted</w:t>
            </w:r>
          </w:p>
        </w:tc>
        <w:tc>
          <w:tcPr>
            <w:tcW w:w="14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3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7"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The Company excluded the following shares from the computation of diluted net (loss) income per share attributable to common stockholders as of September 30, 2024 and 2023 because including them would have had an anti-dilutive effect:</w:t>
      </w:r>
    </w:p>
    <w:p>
      <w:pPr>
        <w:spacing w:after="0" w:line="149" w:lineRule="exact"/>
        <w:rPr>
          <w:sz w:val="20"/>
          <w:szCs w:val="20"/>
          <w:color w:val="auto"/>
        </w:rPr>
      </w:pPr>
    </w:p>
    <w:tbl>
      <w:tblPr>
        <w:tblLayout w:type="fixed"/>
        <w:tblInd w:w="940" w:type="dxa"/>
        <w:tblCellMar>
          <w:top w:w="0" w:type="dxa"/>
          <w:left w:w="0" w:type="dxa"/>
          <w:bottom w:w="0" w:type="dxa"/>
          <w:right w:w="0" w:type="dxa"/>
        </w:tblCellMar>
      </w:tblPr>
      <w:tr>
        <w:trPr>
          <w:trHeight w:val="156"/>
        </w:trPr>
        <w:tc>
          <w:tcPr>
            <w:tcW w:w="3980" w:type="dxa"/>
            <w:vAlign w:val="bottom"/>
          </w:tcPr>
          <w:p>
            <w:pPr>
              <w:spacing w:after="0"/>
              <w:rPr>
                <w:sz w:val="13"/>
                <w:szCs w:val="13"/>
                <w:color w:val="auto"/>
              </w:rPr>
            </w:pPr>
          </w:p>
        </w:tc>
        <w:tc>
          <w:tcPr>
            <w:tcW w:w="212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20" w:type="dxa"/>
            <w:vAlign w:val="bottom"/>
            <w:tcBorders>
              <w:bottom w:val="single" w:sz="8" w:color="auto"/>
            </w:tcBorders>
          </w:tcPr>
          <w:p>
            <w:pPr>
              <w:spacing w:after="0"/>
              <w:rPr>
                <w:sz w:val="13"/>
                <w:szCs w:val="13"/>
                <w:color w:val="auto"/>
              </w:rPr>
            </w:pPr>
          </w:p>
        </w:tc>
      </w:tr>
      <w:tr>
        <w:trPr>
          <w:trHeight w:val="151"/>
        </w:trPr>
        <w:tc>
          <w:tcPr>
            <w:tcW w:w="39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11,587,744</w:t>
            </w:r>
          </w:p>
        </w:tc>
      </w:tr>
      <w:tr>
        <w:trPr>
          <w:trHeight w:val="195"/>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Unvested restricted stock</w:t>
            </w:r>
          </w:p>
        </w:tc>
        <w:tc>
          <w:tcPr>
            <w:tcW w:w="2120" w:type="dxa"/>
            <w:vAlign w:val="bottom"/>
            <w:gridSpan w:val="3"/>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29,459</w:t>
            </w:r>
          </w:p>
        </w:tc>
      </w:tr>
      <w:tr>
        <w:trPr>
          <w:trHeight w:val="195"/>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8,630,075</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1,945,373</w:t>
            </w:r>
          </w:p>
        </w:tc>
      </w:tr>
    </w:tbl>
    <w:p>
      <w:pPr>
        <w:spacing w:after="0" w:line="191"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6"/>
          <w:szCs w:val="16"/>
          <w:color w:val="auto"/>
        </w:rPr>
        <w:t>The BMS Note was also outstanding as of September 30, 2023, which could have obligated the Company to issue preferred shares or common shares upon the occurrence of various events at prices and in amounts that were not determinable as of September 30, 2023. As such, Company excluded the BMS Note from the table above and the calculation of diluted net loss per share.</w:t>
      </w:r>
    </w:p>
    <w:p>
      <w:pPr>
        <w:spacing w:after="0" w:line="154" w:lineRule="exact"/>
        <w:rPr>
          <w:sz w:val="20"/>
          <w:szCs w:val="20"/>
          <w:color w:val="auto"/>
        </w:rPr>
      </w:pPr>
    </w:p>
    <w:p>
      <w:pPr>
        <w:ind w:left="620" w:hanging="578"/>
        <w:spacing w:after="0"/>
        <w:tabs>
          <w:tab w:leader="none" w:pos="620"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Operating Leases</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Company has entered into arrangements for leases of office space; see Note 7, “Leases,” for details.</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License and Option Agreements</w:t>
      </w:r>
    </w:p>
    <w:p>
      <w:pPr>
        <w:spacing w:after="0" w:line="209"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The Company entered into licenses agreements under which it is obligated to make fixed and contingent payments; see Note 9 “License and Option Agreements,” for details.</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Other Contracts</w:t>
      </w:r>
    </w:p>
    <w:p>
      <w:pPr>
        <w:spacing w:after="0" w:line="209"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The Company has entered into agreements with certain vendors for the provision of services that the Company is not contractually able to terminate for convenience and thereby avoid any and all future obligations to the vendors. Under such agreements, the Company is contractually obligated to make certain minimum payments to the vendors, with the exact amounts in the event of termination to be based on the timing of the termination and the exact terms of the agreement.</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Indemnification Agreements</w:t>
      </w:r>
    </w:p>
    <w:p>
      <w:pPr>
        <w:spacing w:after="0" w:line="209"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services as directors. The maximum potential amount of future payments the Company could be required to make under these indemnification agreements is, in many cases, unlimited. To date, the Company has not incurred any material costs as a result of such indemnifications. The Company is not currently aware of any indemnification claims and had not accrued any liabilities related to such obligations in its condensed consolidated financial statements as of September 30, 2024.</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Litigation and Other Proceedings</w:t>
      </w:r>
    </w:p>
    <w:p>
      <w:pPr>
        <w:spacing w:after="0" w:line="209"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The Company may periodically become subject to legal proceedings and claims arising in connection with ongoing business activities, including claims or disputes related to patents that have been issued or that are pending in the field of research on which the Company is focused. As of September 30, 2024, the Company was not subject to any material legal proceedings which would reasonably be expected to have a material adverse effect on the Company’s financial results.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578"/>
        <w:spacing w:after="0"/>
        <w:tabs>
          <w:tab w:leader="none" w:pos="620" w:val="left"/>
        </w:tabs>
        <w:numPr>
          <w:ilvl w:val="0"/>
          <w:numId w:val="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Employee Benefit Plans</w:t>
      </w:r>
    </w:p>
    <w:p>
      <w:pPr>
        <w:spacing w:after="0" w:line="209"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Effective June 2020, the Company adopted the Zenas BioPharma 401(k) Plan (the “401(k) Plan”) for its employees, which is designed to be qualified under Section 401(k) of the Internal Revenue Code. Eligible employees are permitted to contribute to the 401(k) Plan within statutory and 401(k) Plan limits. Since inception of the 401(k) Plan and through September 30, 2024, the Company has not made any contributions to the 401(k) Plan.</w:t>
      </w:r>
    </w:p>
    <w:p>
      <w:pPr>
        <w:spacing w:after="0" w:line="159" w:lineRule="exact"/>
        <w:rPr>
          <w:sz w:val="20"/>
          <w:szCs w:val="20"/>
          <w:color w:val="auto"/>
        </w:rPr>
      </w:pPr>
    </w:p>
    <w:p>
      <w:pPr>
        <w:ind w:left="620" w:hanging="578"/>
        <w:spacing w:after="0"/>
        <w:tabs>
          <w:tab w:leader="none" w:pos="620" w:val="left"/>
        </w:tabs>
        <w:numPr>
          <w:ilvl w:val="0"/>
          <w:numId w:val="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Related Party Transactions</w:t>
      </w:r>
    </w:p>
    <w:p>
      <w:pPr>
        <w:spacing w:after="0" w:line="209"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As further described above in Note 9, “License and Option Agreements,” the Company has obtained exclusive, worldwide licenses from Xencor to research, develop, manufacture, market and sell four antibody product candidates pursuant to two license agreements. The Company has concluded that Xencor is a related party, because as initial consideration for the 2020 Xencor Agreement, the Company issued 5,041,542 shares of its Series A Preferred Stock to Xencor during the year ended December 31, 2020. In April 2023, Xencor elected to receive payment for a development milestone in the form of the Company’s Series B Preferred Stock and the Company issued 4,189,955 shares of Series B Preferred Stock as payment for the development milestone in June 2023. Following the IPO and as of September 30, 2024, Xencor held 7.4% of shares of the Company’s outstanding common stock. The Company recorded no reimbursable costs and less than $0.1 million in reimbursable patent-related costs to general and administrative expenses in the condensed consolidated statements of operations and comprehensive loss during the nine months ended September 30, 2024 and 2023, respectively.</w:t>
      </w:r>
    </w:p>
    <w:p>
      <w:pPr>
        <w:spacing w:after="0" w:line="166"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As further described above in Note 9, “License and Option Agreements,” the Company has obtained a license from Viridian to research, develop, manufacture, market and sell an antibody product candidate in China. The Company has concluded that Viridian is a related party because although Fairmount Funds Management LLC owns less than 5% of shares of the Company’s outstanding common stock, they have a seat on the Board and are also a 10% or greater stockholder of Viridian and have two seats on Viridian’s board of directors. As initial consideration for this license, the Company issued 38,707 shares of its common stock to Viridian during the year ended December 31, 2020. Following the IPO and as of September 30, 2024, Viridian held less than 5% of shares of the Company’s outstanding common stock.</w:t>
      </w:r>
    </w:p>
    <w:p>
      <w:pPr>
        <w:spacing w:after="0" w:line="167"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As further described above in Note 9, “License and Option Agreements”, the Company obtained an exclusive option to negotiate and enter into exclusive license agreements with Dianthus for the rights (in the Zenas Territories only) to either or both of two antibody product candidates. In June 2022, the Company and Dianthus entered into the Dianthus License Agreement. In October 2024, the Dianthus Option Agreement and Dianthus License Agreement and all of their related rights and obligations were transferred to Tenacia (Note 17). The Company has concluded that Dianthus is a related party because the Company’s Chair of the Board is a member of the board of directors of Dianthus. As initial consideration for this license, the Company issued 18,063 shares of its common stock to Dianthus during the year ended December 31, 2020. Following the IPO and as of September 30, 2024, Dianthus held less than 5% of shares of the Company’s outstanding common stock.</w:t>
      </w:r>
    </w:p>
    <w:p>
      <w:pPr>
        <w:spacing w:after="0" w:line="167" w:lineRule="exact"/>
        <w:rPr>
          <w:sz w:val="20"/>
          <w:szCs w:val="20"/>
          <w:color w:val="auto"/>
        </w:rPr>
      </w:pPr>
    </w:p>
    <w:p>
      <w:pPr>
        <w:ind w:left="620" w:hanging="578"/>
        <w:spacing w:after="0"/>
        <w:tabs>
          <w:tab w:leader="none" w:pos="620" w:val="left"/>
        </w:tabs>
        <w:numPr>
          <w:ilvl w:val="0"/>
          <w:numId w:val="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Subsequent Events</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Waltham Sublease</w:t>
      </w:r>
    </w:p>
    <w:p>
      <w:pPr>
        <w:spacing w:after="0" w:line="209" w:lineRule="exact"/>
        <w:rPr>
          <w:sz w:val="20"/>
          <w:szCs w:val="20"/>
          <w:color w:val="auto"/>
        </w:rPr>
      </w:pPr>
    </w:p>
    <w:p>
      <w:pPr>
        <w:jc w:val="both"/>
        <w:ind w:left="40" w:right="119"/>
        <w:spacing w:after="0" w:line="263" w:lineRule="auto"/>
        <w:rPr>
          <w:sz w:val="20"/>
          <w:szCs w:val="20"/>
          <w:color w:val="auto"/>
        </w:rPr>
      </w:pPr>
      <w:r>
        <w:rPr>
          <w:rFonts w:ascii="Times New Roman" w:cs="Times New Roman" w:eastAsia="Times New Roman" w:hAnsi="Times New Roman"/>
          <w:sz w:val="16"/>
          <w:szCs w:val="16"/>
          <w:color w:val="auto"/>
        </w:rPr>
        <w:t>On October 10, 2024, the Company entered into an operating sublease agreement (the “Waltham Sublease”) for an office space located in Waltham, Massachusetts. This lease is expected to commence prior to December 31, 2024 and has an initial term of 18 months, with no options to extend the term for additional years. The aggregate estimated undiscounted rental payments due over the term of this lease is $1.0 million. The Company will assess the impact on its right-of use asset in its financial statements for the year ended December 31, 2024.</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Early Termination of Waltham Lease</w:t>
      </w:r>
    </w:p>
    <w:p>
      <w:pPr>
        <w:spacing w:after="0" w:line="209" w:lineRule="exact"/>
        <w:rPr>
          <w:sz w:val="20"/>
          <w:szCs w:val="20"/>
          <w:color w:val="auto"/>
        </w:rPr>
      </w:pPr>
    </w:p>
    <w:p>
      <w:pPr>
        <w:ind w:left="40" w:right="119"/>
        <w:spacing w:after="0" w:line="266" w:lineRule="auto"/>
        <w:rPr>
          <w:sz w:val="20"/>
          <w:szCs w:val="20"/>
          <w:color w:val="auto"/>
        </w:rPr>
      </w:pPr>
      <w:r>
        <w:rPr>
          <w:rFonts w:ascii="Times New Roman" w:cs="Times New Roman" w:eastAsia="Times New Roman" w:hAnsi="Times New Roman"/>
          <w:sz w:val="16"/>
          <w:szCs w:val="16"/>
          <w:color w:val="auto"/>
        </w:rPr>
        <w:t>On October 11, 2024, the Company sent a notice of its intent to early terminate the Waltham Lease effective January 10, 2025. The Waltham Lease had an initial expiration date of June 2025. In accordance with the lease terms, the Company paid an early termination fee of $0.1 million. The Company will assess the impact on its right-of use asset in its financial statements for the year ended December 31, 2024.</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Novation Agreement</w:t>
      </w:r>
    </w:p>
    <w:p>
      <w:pPr>
        <w:spacing w:after="0" w:line="209" w:lineRule="exact"/>
        <w:rPr>
          <w:sz w:val="20"/>
          <w:szCs w:val="20"/>
          <w:color w:val="auto"/>
        </w:rPr>
      </w:pPr>
    </w:p>
    <w:p>
      <w:pPr>
        <w:ind w:left="40" w:right="179"/>
        <w:spacing w:after="0" w:line="266" w:lineRule="auto"/>
        <w:rPr>
          <w:sz w:val="20"/>
          <w:szCs w:val="20"/>
          <w:color w:val="auto"/>
        </w:rPr>
      </w:pPr>
      <w:r>
        <w:rPr>
          <w:rFonts w:ascii="Times New Roman" w:cs="Times New Roman" w:eastAsia="Times New Roman" w:hAnsi="Times New Roman"/>
          <w:sz w:val="16"/>
          <w:szCs w:val="16"/>
          <w:color w:val="auto"/>
        </w:rPr>
        <w:t>On October 21, 2024, the Company entered into a Novation Agreement with Tenacia, under which the Company transferred its rights and obligations under the Dianthus Option Agreement and the Dianthus License Agreement to Tenacia. As partial consideration for the Novation Agreement, the Company will receive a non-creditable, non-refundable upfront fee of $5.0 million from Tenacia. In addition, the Company is eligible to receive up to $86.0 million upon the achievement of certain future regulatory and commercial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FINANCIAL CONDITION AND RESULTS OF OPERATIONS</w:t>
      </w:r>
    </w:p>
    <w:p>
      <w:pPr>
        <w:spacing w:after="0" w:line="18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and analysis of our financial condition and results of operations together with our unaudited condensed consolidated financial statements and the related notes and other financial information included elsewhere in this Quarterly Report and our audited consolidated financial statements and related notes included in our final prospectus for our IPO filed with the SEC pursuant to Rule 424(b)(4) under the Securities Act of 1933, as amended (the “Securities Act”) on September 13, 2024 (the “IPO Prospectus”). In addition to the historical financial information, the following discussion and analysis contains forward-looking statements that involve risks, uncertainties and assumptions. Our actual results and the timing of events could differ materially from those anticipated in these forward-looking statements as a result of many factors, including those discussed in “Risk Factors” in Part II, Item 1A of this Quarterly Report. You should carefully read the sections entitled “Risk Factors” and “Special Note Regarding Forward-Looking Statements” to gain an understanding of the important factors that could cause actual results to differ materially from our forward- looking statements.</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09"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We are a clinical-stage global biopharmaceutical company committed to being a leader in the development and commercialization of transformative immunology-based therapies for patients in need. With the evolving understanding of the pathogenesis of autoimmune diseases, along with the expansion of promising immunology-based pharmacologic targets, we are building an I&amp;I focused biopharmaceutical company. Our core business strategy combines disciplined product candidate acquisition with strategic deployment of internal expertise and effective use of external resources. We leverage our experienced executive management team and our established networks throughout the biopharmaceutical industry to identify, acquire and develop product candidates that we believe can provide superior clinical benefits to patients living with autoimmune diseases.</w:t>
      </w:r>
    </w:p>
    <w:p>
      <w:pPr>
        <w:spacing w:after="0" w:line="167"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Our lead I&amp;I product candidate, obexelimab, is a bifunctional monoclonal antibody designed to bind both CD19 and FcγRIIb, which are broadly present across B cell lineage, in order to inhibit the activity of cells that are implicated in many autoimmune diseases without depleting them. Based on existing clinical data generated to date, we believe that targeting B cell lineage via CD19 and FcγRIIb can inhibit B cells and has been shown to be well-tolerated.</w:t>
      </w:r>
    </w:p>
    <w:p>
      <w:pPr>
        <w:spacing w:after="0" w:line="161"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6"/>
          <w:szCs w:val="16"/>
          <w:color w:val="auto"/>
        </w:rPr>
        <w:t>We are developing obexelimab as a potential I&amp;I franchise for patients in several autoimmune diseases, representing substantial commercial opportunities individually and in the aggregate. The first four indications we are pursuing include IgG4-RD through an ongoing registration-directed Phase 3 trial, MS and SLE through Phase 2, double-blind, randomized, placebo-controlled trials, each of which we initiated in the third quarter of 2024, and wAIHA through an ongoing Phase 2/3 trial, currently in the Phase 2 open label portion.</w:t>
      </w:r>
    </w:p>
    <w:p>
      <w:pPr>
        <w:spacing w:after="0" w:line="359"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Beyond our lead product candidate, obexelimab, we are advancing a pipeline of clinical programs for the potential treatment of other I&amp;I indications that we may continue to develop and ultimately commercialize with partners. Our pipeline includes two global programs, ZB002 (an anti-TNFα monoclonal antibody) and ZB004 (a CTLA-4-Ig fusion), and one regional program, ZB001 (also known as VRDN-001, an IGF-1R monoclonal antibody), and related programs, to which we hold the development and commercialization rights for in greater China. Based on the ongoing clinical studies and clinical data generated to date, we intend to determine future potential indications in which to pursue further clinical development of these programs, and ultimately, if approved, commercialization with one or more partners.</w:t>
      </w:r>
    </w:p>
    <w:p>
      <w:pPr>
        <w:spacing w:after="0" w:line="167"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6"/>
          <w:szCs w:val="16"/>
          <w:color w:val="auto"/>
        </w:rPr>
        <w:t>On September 16, 2024, we completed our IPO in which we issued and sold an aggregate of 15,220,588 shares of our common stock, including 1,985,294 shares of common stock sold pursuant to the full exercise of the underwriter’s option to purchase additional shares, at a public offering price of $17.00 per share, for aggregate gross proceeds of $258.7 million. We received approximately $234.4 million in net proceeds after deducting underwriting discounts and estimated offering expenses payable. In connection with the IPO, all outstanding shares of convertible preferred stock (“Preferred Stock”) converted into an aggregate of 24,978,715 shares of common stock.</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6"/>
          <w:szCs w:val="16"/>
          <w:color w:val="auto"/>
        </w:rPr>
        <w:t>On October 21, 2024, we entered into a Novation Agreement (the “Novation Agreement”) with Tenacia Biotechnology (Hong Kong) Co., Limited (“Tenacia”), under which we transferred our rights and obligations under our agreements with Dianthus to Tenacia. As partial consideration for the Novation Agreement, we will receive a non-creditable, non-refundable upfront fee of $5.0 million from Tenacia. In addition, we are eligible to receive up to $86.0 million upon the achievement of certain future regulatory and commercial milestones.</w:t>
      </w:r>
    </w:p>
    <w:p>
      <w:pPr>
        <w:spacing w:after="0" w:line="359"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Since inception, our operations have focused on research and development activities with respect to our product candidates as described above, as well as raising capital, business planning, organizing and staffing our company, establishing our intellectual property portfolio, establishing arrangements with third parties for the manufacture of our product candidates and related raw materials, and providing general and administrative support for these operations. Through September 30, 2024, we have financed our operations primarily with the proceeds from the issuance of Preferred Stock, our convertible notes, payments received from Bristol-Myers Squibb (“BMS”) under our strategic license and collaboration agreement (the “BMS Agreement”) and from the sale of common stock in our IPO completed in September 2024.</w:t>
      </w:r>
    </w:p>
    <w:p>
      <w:pPr>
        <w:spacing w:after="0" w:line="167"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To date, we have no product candidates approved for commercial sale in any country and have not generated any revenue from product sales.</w:t>
      </w:r>
    </w:p>
    <w:p>
      <w:pPr>
        <w:spacing w:after="0" w:line="143"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We have incurred significant operating losses and negative cash flows since inception. Our ability to generate product revenue sufficient to achieve profitability will depend heavily on the successful development and eventual commercialization of one or more of our product candidates. Our net losses for the three and nine months ended September 30, 2024 were $38.6 million and $104.4 million, respectively, and we recorded net income of $35.6 million and a net loss of $12.5 million, for the three and nine months ended September 30, 2023, respectively. As of September 30, 2024, we had an accumulated deficit of $334.8 million. We expect to continue to incur significant and increasing losses for the foreseeable future. We expect that our expenses and capital requirements will increase substantially in connection with our ongoing activities, particularly if and as we:</w:t>
      </w:r>
    </w:p>
    <w:p>
      <w:pPr>
        <w:spacing w:after="0" w:line="167" w:lineRule="exact"/>
        <w:rPr>
          <w:sz w:val="20"/>
          <w:szCs w:val="20"/>
          <w:color w:val="auto"/>
        </w:rPr>
      </w:pPr>
    </w:p>
    <w:p>
      <w:pPr>
        <w:ind w:left="660" w:hanging="300"/>
        <w:spacing w:after="0"/>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clinical development of obexelimab and our other programs;</w:t>
      </w:r>
    </w:p>
    <w:p>
      <w:pPr>
        <w:spacing w:after="0" w:line="206"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 our obexelimab program and our other product candidates through preclinical development and clinical trials;</w:t>
      </w:r>
    </w:p>
    <w:p>
      <w:pPr>
        <w:spacing w:after="0" w:line="206" w:lineRule="exact"/>
        <w:rPr>
          <w:rFonts w:ascii="Times New Roman" w:cs="Times New Roman" w:eastAsia="Times New Roman" w:hAnsi="Times New Roman"/>
          <w:sz w:val="16"/>
          <w:szCs w:val="16"/>
          <w:color w:val="auto"/>
        </w:rPr>
      </w:pPr>
    </w:p>
    <w:p>
      <w:pPr>
        <w:ind w:left="660" w:right="59" w:hanging="300"/>
        <w:spacing w:after="0" w:line="289"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additional product candidates and acquire rights from third parties to those product candidates through licenses or acquisitions and conduct development activities, including preclinical studies and clinical trials;</w:t>
      </w:r>
    </w:p>
    <w:p>
      <w:pPr>
        <w:spacing w:after="0" w:line="142"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royalty, milestone or other payments under current, and any future, license or collaboration agreements;</w:t>
      </w:r>
    </w:p>
    <w:p>
      <w:pPr>
        <w:spacing w:after="0" w:line="206"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procure the manufacturing of preclinical, clinical and commercial supply of our current or any future product candidates;</w:t>
      </w:r>
    </w:p>
    <w:p>
      <w:pPr>
        <w:spacing w:after="0" w:line="206"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marketing regulatory approvals for our current or any future product candidates that successfully complete clinical trials;</w:t>
      </w:r>
    </w:p>
    <w:p>
      <w:pPr>
        <w:spacing w:after="0" w:line="206"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commercialize our current or any future product candidates, if approved;</w:t>
      </w:r>
    </w:p>
    <w:p>
      <w:pPr>
        <w:spacing w:after="0" w:line="206" w:lineRule="exact"/>
        <w:rPr>
          <w:rFonts w:ascii="Times New Roman" w:cs="Times New Roman" w:eastAsia="Times New Roman" w:hAnsi="Times New Roman"/>
          <w:sz w:val="16"/>
          <w:szCs w:val="16"/>
          <w:color w:val="auto"/>
        </w:rPr>
      </w:pPr>
    </w:p>
    <w:p>
      <w:pPr>
        <w:ind w:left="660" w:right="59" w:hanging="300"/>
        <w:spacing w:after="0" w:line="289"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steps toward our goal of being an integrated biopharma company capable of supporting commercial activities, including establishing sales, marketing and distribution infrastructure;</w:t>
      </w:r>
    </w:p>
    <w:p>
      <w:pPr>
        <w:spacing w:after="0" w:line="142" w:lineRule="exact"/>
        <w:rPr>
          <w:rFonts w:ascii="Times New Roman" w:cs="Times New Roman" w:eastAsia="Times New Roman" w:hAnsi="Times New Roman"/>
          <w:sz w:val="16"/>
          <w:szCs w:val="16"/>
          <w:color w:val="auto"/>
        </w:rPr>
      </w:pPr>
    </w:p>
    <w:p>
      <w:pPr>
        <w:ind w:left="660" w:right="59" w:hanging="300"/>
        <w:spacing w:after="0" w:line="289"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develop, maintain and defend our intellectual property portfolio, including against third-party interference, infringement and other intellectual property claims, if any;</w:t>
      </w:r>
    </w:p>
    <w:p>
      <w:pPr>
        <w:spacing w:after="0" w:line="142"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to attract, hire and retain qualified clinical, scientific, operations and management personnel;</w:t>
      </w:r>
    </w:p>
    <w:p>
      <w:pPr>
        <w:spacing w:after="0" w:line="206"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and maintain operational, financial and information management systems;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hanging="300"/>
        <w:spacing w:after="0"/>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attempt to address any competing therapies and market developments;</w:t>
      </w:r>
    </w:p>
    <w:p>
      <w:pPr>
        <w:spacing w:after="0" w:line="206" w:lineRule="exact"/>
        <w:rPr>
          <w:rFonts w:ascii="Times New Roman" w:cs="Times New Roman" w:eastAsia="Times New Roman" w:hAnsi="Times New Roman"/>
          <w:sz w:val="16"/>
          <w:szCs w:val="16"/>
          <w:color w:val="auto"/>
        </w:rPr>
      </w:pPr>
    </w:p>
    <w:p>
      <w:pPr>
        <w:ind w:left="660" w:right="59" w:hanging="300"/>
        <w:spacing w:after="0" w:line="289"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experience delays in our preclinical studies, clinical trials or regulatory approval for our current or any future product candidates, including with respect to failed studies, inconclusive results, safety issues or other regulatory challenges;</w:t>
      </w:r>
    </w:p>
    <w:p>
      <w:pPr>
        <w:spacing w:after="0" w:line="142"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agreements with contract research organizations (“CROs”) and contract manufacturing organizations (“CMOs”); and</w:t>
      </w:r>
    </w:p>
    <w:p>
      <w:pPr>
        <w:spacing w:after="0" w:line="206" w:lineRule="exact"/>
        <w:rPr>
          <w:rFonts w:ascii="Times New Roman" w:cs="Times New Roman" w:eastAsia="Times New Roman" w:hAnsi="Times New Roman"/>
          <w:sz w:val="16"/>
          <w:szCs w:val="16"/>
          <w:color w:val="auto"/>
        </w:rPr>
      </w:pPr>
    </w:p>
    <w:p>
      <w:pPr>
        <w:jc w:val="both"/>
        <w:ind w:left="660" w:right="59" w:hanging="300"/>
        <w:spacing w:after="0" w:line="272"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additional costs associated with being a public company, including audit, legal, regulatory, and tax-related services associated with maintaining compliance with an exchange listing and the SEC requirements, director and officer insurance premiums and investor relations costs.</w:t>
      </w:r>
    </w:p>
    <w:p>
      <w:pPr>
        <w:spacing w:after="0" w:line="156"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We will not generate revenue from product sales unless and until we successfully complete clinical development and obtain regulatory approval for a product candidate, and we cannot assure you that we will ever generate significant revenue or profits. In addition, if we obtain regulatory approval for a product candidate and do not enter into a third-party commercialization partnership, we expect to incur significant expenses related to developing our commercialization capability to support product sales, marketing, manufacturing and distribution activities. Our net losses may fluctuate significantly from period to period, depending on the timing of our planned clinical studies and expenditures related to our research and development activities.</w:t>
      </w:r>
    </w:p>
    <w:p>
      <w:pPr>
        <w:spacing w:after="0" w:line="166"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6"/>
          <w:szCs w:val="16"/>
          <w:color w:val="auto"/>
        </w:rPr>
        <w:t>Furthermore, we expect to incur additional costs associated with operating as a public company, including significant audit, legal, regulatory and tax-related expenses, as well as director and officer insurance premiums and investor relations costs that we did not incur as a private company. As a result, we will need substantial additional funding to support our continuing operations and pursue our growth strategy as a public company. Until such time as we can generate significant revenue from product sales, if ever, we expect to finance our operations through a combination of public or private equity financings, debt financings or other capital sources, which could include collaborations with other companies, or other strategic transactions and licensing agreements. We may be unable to obtain financing on acceptable terms, or at all, and we may be unable to enter into collaborations or other arrangements. Our failure to raise capital or enter into such agreements as, and when, needed, could have a material adverse effect on our business, prospects, results of operations, and financial condition, including requiring us to have to delay, reduce or eliminate product development or future commercialization efforts, or grant rights to develop and market potential future product candidates that we would otherwise prefer to develop and market ourselves.</w:t>
      </w:r>
    </w:p>
    <w:p>
      <w:pPr>
        <w:spacing w:after="0" w:line="365"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As there are numerous risks and uncertainties associated with development of I&amp;I therapeutics, we are unable to predict the timing or amount of increased expenses, or when or if we will be able to achieve or maintain profitability. Even if we are able to generate product sales, we may not become profitable. We will need to generate significant revenue to achieve profitability, and we may never do so. If we fail to become profitable or are unable to sustain profitability on a continuing basis, then we may be unable to continue our operations at planned levels and be forced to reduce or terminate our operations.</w:t>
      </w:r>
    </w:p>
    <w:p>
      <w:pPr>
        <w:spacing w:after="0" w:line="164"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As of September 30, 2024, we had $386.8 million in cash, cash equivalents and investments. We believe that our cash, cash equivalents and investments as of September 30, 2024 will be sufficient to fund our operations and capital expenditure requirements into the fourth quarter of 2026. We have based this estimate on our current assumptions, which may prove to be wrong, and we may exhaust our available capital resources sooner than we expect. See section titled “—Liquidity and Capital Resources.”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Components of Our Results of Operations</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211"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To date, we have no product candidates approved for commercial sale in any country, and we have not generated any revenues from the sale of products. Our revenue has been derived from collaboration arrangements and license fees.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Collaboration Revenue</w:t>
      </w:r>
    </w:p>
    <w:p>
      <w:pPr>
        <w:spacing w:after="0" w:line="20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6"/>
          <w:szCs w:val="16"/>
          <w:color w:val="auto"/>
        </w:rPr>
        <w:t>Collaboration revenue is generated exclusively from our collaboration arrangement with BMS. Pursuant to the BMS Agreement, we sublicensed the rights to develop and commercialize obexelimab in Japan, South Korea, Taiwan, Singapore, Hong Kong and Australia (the “BMS Territory”). We retain exclusive rights to commercialize the licensed products containing obexelimab outside of the BMS Territory. The revenue recognized to date pursuant to this arrangement relates to the license of obexelimab and the related technology transfer, which was recognized upon delivery of the license. This arrangement includes the participation by BMS in certain joint global studies of obexelimab in accordance with the terms of the BMS Agreement, in which BMS will reimburse us for its share of the related study costs. Such reimbursements will be classified as a reduction to research and development expense in the period such costs are incurred. We will recognize development and regulatory milestones defined in the BMS Agreement when the achievement of the underlying milestone events is deemed probable, which is expected to be upon achievement. Sales milestones and royalties on future sales will be recognized in the period the related sales occur.</w:t>
      </w:r>
    </w:p>
    <w:p>
      <w:pPr>
        <w:spacing w:after="0" w:line="170"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For a more detailed description of this agreement, see Note 8 to our unaudited condensed consolidated financial statements included elsewhere in this Quarterly Report.</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211"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Our operating expenses consists of (i) research and development expenses, (ii) general and administrative expenses and (iii) acquired in-process research and development expenses.</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209"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6"/>
          <w:szCs w:val="16"/>
          <w:color w:val="auto"/>
        </w:rPr>
        <w:t>Research and development expenses account for a significant portion of our operating expenses and consist primarily of external and internal costs incurred in connection with the preclinical and clinical development of obexelimab, ZB002, ZB004, ZB001 and ZB005, and include:</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Direct Costs:</w:t>
      </w:r>
    </w:p>
    <w:p>
      <w:pPr>
        <w:spacing w:after="0" w:line="209" w:lineRule="exact"/>
        <w:rPr>
          <w:sz w:val="20"/>
          <w:szCs w:val="20"/>
          <w:color w:val="auto"/>
        </w:rPr>
      </w:pPr>
    </w:p>
    <w:p>
      <w:pPr>
        <w:ind w:left="660" w:right="59" w:hanging="300"/>
        <w:spacing w:after="0" w:line="289"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external research and development expenses incurred under agreements with CROs and consultants that conduct our clinical studies and other scientific development services;</w:t>
      </w:r>
    </w:p>
    <w:p>
      <w:pPr>
        <w:spacing w:after="0" w:line="142"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incurred under agreements with CMOs for manufacturing material for our preclinical studies and clinical trials;</w:t>
      </w:r>
    </w:p>
    <w:p>
      <w:pPr>
        <w:spacing w:after="0" w:line="206" w:lineRule="exact"/>
        <w:rPr>
          <w:rFonts w:ascii="Times New Roman" w:cs="Times New Roman" w:eastAsia="Times New Roman" w:hAnsi="Times New Roman"/>
          <w:sz w:val="16"/>
          <w:szCs w:val="16"/>
          <w:color w:val="auto"/>
        </w:rPr>
      </w:pPr>
    </w:p>
    <w:p>
      <w:pPr>
        <w:ind w:left="660" w:right="59" w:hanging="300"/>
        <w:spacing w:after="0" w:line="289"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to obtain and maintain licenses to intellectual property, and related future payments should milestones described in those agreements be achieved; and</w:t>
      </w:r>
    </w:p>
    <w:p>
      <w:pPr>
        <w:spacing w:after="0" w:line="142"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related to compliance with regulatory requirements.</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Indirect Costs:</w:t>
      </w:r>
    </w:p>
    <w:p>
      <w:pPr>
        <w:spacing w:after="0" w:line="209" w:lineRule="exact"/>
        <w:rPr>
          <w:sz w:val="20"/>
          <w:szCs w:val="20"/>
          <w:color w:val="auto"/>
        </w:rPr>
      </w:pPr>
    </w:p>
    <w:p>
      <w:pPr>
        <w:ind w:left="660" w:right="59" w:hanging="300"/>
        <w:spacing w:after="0" w:line="289"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employee-related expenses including salaries, bonuses, benefits, stock-based compensation and other related costs for those employees involved in research and development activities; and</w:t>
      </w:r>
    </w:p>
    <w:p>
      <w:pPr>
        <w:spacing w:after="0" w:line="142"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outside consultants, including their fees, stock-based compensation and related travel expenses.</w:t>
      </w:r>
    </w:p>
    <w:p>
      <w:pPr>
        <w:spacing w:after="0" w:line="207"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We expense research and development costs as incurred. We recognize external development costs based on an evaluation of the progress to completion of specific tasks using information provided to us by our vendors or our estimate of the level of service that has been performed at each reporting date. Payments for these external development activities are based on the terms of the individual agreements, which may differ from the pattern of costs incurred, and are reflected in our condensed consolidated financial statements as prepaid expenses or accrued expenses. Nonrefundable advance payments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6"/>
          <w:szCs w:val="16"/>
          <w:color w:val="auto"/>
        </w:rPr>
        <w:t>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156"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A significant portion of our research and development costs have been external costs, which we track on an individual product candidate basis after a clinical product candidate has been identified. We utilize third party contractors for our research and development activities and CMOs for our manufacturing activities and we do not have our own laboratory or manufacturing facilities. Therefore, we have no material facilities expenses attributed to research and development. Our internal research and development costs are primarily personnel-related costs and other indirect costs. We do not track internal costs on a program specific or stage of program basis because these costs are deployed across multiple programs and, as such, are not separately classified.</w:t>
      </w:r>
    </w:p>
    <w:p>
      <w:pPr>
        <w:spacing w:after="0" w:line="166"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Where we share costs with our collaboration partners, such as in our BMS Agreement, research and development expenses may include cost sharing reimbursements from our partner.</w:t>
      </w:r>
    </w:p>
    <w:p>
      <w:pPr>
        <w:spacing w:after="0" w:line="143"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6"/>
          <w:szCs w:val="16"/>
          <w:color w:val="auto"/>
        </w:rPr>
        <w:t>Research and development activities are central to our business model. We expect that our research and development expenses will continue to increase for the foreseeable future as we advance clinical trials for our product candidates, pursue additional indications, continue to develop additional product candidates, expand our headcount and maintain, expand and enforce our intellectual property portfolio. We also expect our manufacturing costs to increase with our CMOs as we scale up our processes for commercial manufacturing. Product candidates in later stages of clinical development will generally have higher development costs than those in earlier stages of clinical development, primarily due to the increased size and duration of later-stage clinical trials and additional manufacturing activities. There are numerous factors associated with the successful development and commercialization of any product candidates we may develop, including the safety and efficacy of our product candidates, investment in our clinical programs, manufacturing capability and competition with other products, and future commercial and regulatory factors beyond our control that will impact our clinical development program and plans.</w:t>
      </w:r>
    </w:p>
    <w:p>
      <w:pPr>
        <w:spacing w:after="0" w:line="17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6"/>
          <w:szCs w:val="16"/>
          <w:color w:val="auto"/>
        </w:rPr>
        <w:t>The successful development of our current product candidates, or any product candidates we may develop in the future is highly uncertain. Therefore, we cannot reasonably estimate or know the nature, timing and estimated costs of the efforts that will be necessary to complete the development and commercialization of our product candidates, if approved, and any other product candidates that we may develop. We are also unable to predict when, if ever, material net cash inflows will commence from the sale of any current or future product candidate, if approved. This is due to the numerous risks and uncertainties associated with product development, including the uncertainty of:</w:t>
      </w:r>
    </w:p>
    <w:p>
      <w:pPr>
        <w:spacing w:after="0" w:line="363" w:lineRule="exact"/>
        <w:rPr>
          <w:sz w:val="20"/>
          <w:szCs w:val="20"/>
          <w:color w:val="auto"/>
        </w:rPr>
      </w:pPr>
    </w:p>
    <w:p>
      <w:pPr>
        <w:ind w:left="660" w:right="59" w:hanging="300"/>
        <w:spacing w:after="0" w:line="289"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timing and progress of our ongoing obexelimab clinical studies and other research and development activities associated with the development of our other and future product candidates;</w:t>
      </w:r>
    </w:p>
    <w:p>
      <w:pPr>
        <w:spacing w:after="0" w:line="142"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scope of preclinical and clinical programs we decide to pursue;</w:t>
      </w:r>
    </w:p>
    <w:p>
      <w:pPr>
        <w:spacing w:after="0" w:line="206"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our current research and development programs and to establish new programs;</w:t>
      </w:r>
    </w:p>
    <w:p>
      <w:pPr>
        <w:spacing w:after="0" w:line="206"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and successful patient enrollment in, and the initiation and completion of, clinical trials;</w:t>
      </w:r>
    </w:p>
    <w:p>
      <w:pPr>
        <w:spacing w:after="0" w:line="206" w:lineRule="exact"/>
        <w:rPr>
          <w:rFonts w:ascii="Times New Roman" w:cs="Times New Roman" w:eastAsia="Times New Roman" w:hAnsi="Times New Roman"/>
          <w:sz w:val="16"/>
          <w:szCs w:val="16"/>
          <w:color w:val="auto"/>
        </w:rPr>
      </w:pPr>
    </w:p>
    <w:p>
      <w:pPr>
        <w:ind w:left="660" w:right="59" w:hanging="300"/>
        <w:spacing w:after="0" w:line="289"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successful completion of clinical trials with safety, tolerability and efficacy profiles that are satisfactory to the U.S. Food and Drug Administration (“FDA”), or any comparable foreign regulatory authority;</w:t>
      </w:r>
    </w:p>
    <w:p>
      <w:pPr>
        <w:spacing w:after="0" w:line="142"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receipt and terms of any marketing approvals from applicable regulatory authorities;</w:t>
      </w:r>
    </w:p>
    <w:p>
      <w:pPr>
        <w:spacing w:after="0" w:line="206"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establish new licensing or collaboration arrangements;</w:t>
      </w:r>
    </w:p>
    <w:p>
      <w:pPr>
        <w:spacing w:after="0" w:line="206"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of our future collaborators, if any;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59" w:hanging="300"/>
        <w:spacing w:after="0" w:line="289"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establish arrangements with third-party manufacturers for the commercial supply of products that receive marketing approval, if any;</w:t>
      </w:r>
    </w:p>
    <w:p>
      <w:pPr>
        <w:spacing w:after="0" w:line="142" w:lineRule="exact"/>
        <w:rPr>
          <w:rFonts w:ascii="Times New Roman" w:cs="Times New Roman" w:eastAsia="Times New Roman" w:hAnsi="Times New Roman"/>
          <w:sz w:val="16"/>
          <w:szCs w:val="16"/>
          <w:color w:val="auto"/>
        </w:rPr>
      </w:pPr>
    </w:p>
    <w:p>
      <w:pPr>
        <w:ind w:left="660" w:right="59" w:hanging="300"/>
        <w:spacing w:after="0" w:line="289"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and timely delivery of commercial-grade drug formulations that can be used in our planned clinical trials and for commercialization;</w:t>
      </w:r>
    </w:p>
    <w:p>
      <w:pPr>
        <w:spacing w:after="0" w:line="142"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maintaining, defending and enforcing patent claims and other intellectual property rights;</w:t>
      </w:r>
    </w:p>
    <w:p>
      <w:pPr>
        <w:spacing w:after="0" w:line="206" w:lineRule="exact"/>
        <w:rPr>
          <w:rFonts w:ascii="Times New Roman" w:cs="Times New Roman" w:eastAsia="Times New Roman" w:hAnsi="Times New Roman"/>
          <w:sz w:val="16"/>
          <w:szCs w:val="16"/>
          <w:color w:val="auto"/>
        </w:rPr>
      </w:pPr>
    </w:p>
    <w:p>
      <w:pPr>
        <w:ind w:left="660" w:right="59" w:hanging="300"/>
        <w:spacing w:after="0" w:line="289"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hire additional personnel and consultants as our business grows, including additional executive officers and clinical development, regulatory, chemistry, manufacturing and controls (“CMC”), quality and commercial personnel;</w:t>
      </w:r>
    </w:p>
    <w:p>
      <w:pPr>
        <w:spacing w:after="0" w:line="142"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commercializing product candidates, if approved, whether alone or in collaboration with others;</w:t>
      </w:r>
    </w:p>
    <w:p>
      <w:pPr>
        <w:spacing w:after="0" w:line="206"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establishing or securing sales and marketing capabilities for our product candidates if approved;</w:t>
      </w:r>
    </w:p>
    <w:p>
      <w:pPr>
        <w:spacing w:after="0" w:line="206" w:lineRule="exact"/>
        <w:rPr>
          <w:rFonts w:ascii="Times New Roman" w:cs="Times New Roman" w:eastAsia="Times New Roman" w:hAnsi="Times New Roman"/>
          <w:sz w:val="16"/>
          <w:szCs w:val="16"/>
          <w:color w:val="auto"/>
        </w:rPr>
      </w:pPr>
    </w:p>
    <w:p>
      <w:pPr>
        <w:ind w:left="660" w:right="59" w:hanging="300"/>
        <w:spacing w:after="0" w:line="289"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achieve sufficient market acceptance, coverage and adequate reimbursement from third-party payors and adequate market share and revenue for any approved products; and</w:t>
      </w:r>
    </w:p>
    <w:p>
      <w:pPr>
        <w:spacing w:after="0" w:line="142"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 continued acceptable safety profile of the product candidates following approval.</w:t>
      </w:r>
    </w:p>
    <w:p>
      <w:pPr>
        <w:spacing w:after="0" w:line="207"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Any changes in the outcome of any of these variables with respect to the development of our current product candidates or any future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anticipate would be required for the completion of clinical development, or if we experience significant delays in enrollment in any clinical trials following the FDA’s acceptance and clearance of an Investigational New Drug Application (“IND”), we could be required to expend significant additional financial resources and time to complete clinical development than we currently expect. We may never obtain regulatory approval for any product candidates that we develop.</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209"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General and administrative expenses consist primarily of personnel-related expenses, including salaries, bonuses, benefits, and stock-based compensation expenses for personnel in executive, finance, accounting, human resources and other administrative functions. Other significant general and administrative expenses include legal fees relating to intellectual property and corporate matters, professional fees paid for accounting, auditing, tax and consulting and other professional services, and expenses for rent, insurance and other operating costs not otherwise classified as research and development expenses.</w:t>
      </w:r>
    </w:p>
    <w:p>
      <w:pPr>
        <w:spacing w:after="0" w:line="164"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We anticipate that our general and administrative expenses will increase in the next few years as we increase our headcount to support our continued research and development activities of our product candidates. These increases will likely include increased costs related to the hiring of additional personnel and fees to outside consultants, among other expenses. We also anticipate increased expenses associated with being a public company, including costs for accounting, audit, legal, regulatory and tax-related services associated with maintaining compliance with the rules and regulations of the SEC, listing standards applicable to companies listed on a national securities exchange, director and officer insurance costs, and investor and public relations costs. In addition, if we obtain regulatory approval for our current product candidates or any product candidates we may develop in the future and do not enter into a third-party commercialization collaboration, we expect to incur significant expenses related to building a sales and marketing team to support product sales, marketing and distribution activities.</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Acquired In-Process Research and Development Expenses</w:t>
      </w:r>
    </w:p>
    <w:p>
      <w:pPr>
        <w:spacing w:after="0" w:line="209"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We expense acquisition costs for assets purchased for use in research and development activities that have no alternative future use as in-process research and development (“IPR&amp;D”) expense as of the acquisition date. When we become obligated to make contingent milestone payments under the terms of the agreements by which we acquired the IPR&amp;D assets, we will recognize additional IPR&amp;D expense. We measure and recognize contingent consideration in the period in which the related milestone is achieved and becomes payable.</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Total Other Income (Expense), Net</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Other Income (Expense), Net</w:t>
      </w:r>
    </w:p>
    <w:p>
      <w:pPr>
        <w:spacing w:after="0" w:line="209"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Other income (expense), net primarily consists of interest income generated from cash equivalents and investments, and realized and unrealized gains and losses on foreign currency transactions.</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Change in Fair Value of Convertible Notes</w:t>
      </w:r>
    </w:p>
    <w:p>
      <w:pPr>
        <w:spacing w:after="0" w:line="209"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In August 2023, we issued a convertible note to BMS (the “BMS Note”) in connection with the BMS Agreement as described above. We elected to record the BMS Note at fair value upon issuance and to subsequently remeasure the note at fair value at the end of each reporting period with the change in fair value being recorded as a component of other expense in our condensed consolidated statement of operations and comprehensive loss. In May 2024, in connection with our Series C convertible preferred stock (“Series C Preferred Stock”) financing, the BMS Note plus accrued interest was automatically converted into 12,284,686 shares of Series C Preferred Stock. We reassessed the estimated fair value of the BMS Note immediately prior to the conversion utilizing the fair value of the shares of Series C Preferred Stock for which the note subsequently converted into and recorded the change in fair value as a component of other income (expense), net in our condensed consolidated statement of operations and comprehensive loss during the nine months ended September 30, 2024.</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11"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Since our inception, we have not recorded income tax benefits for any of our deferred tax assets, including the net operating losses (“NOLs”) incurred or the research and development tax credits generated in each year, as we have concluded that it is more likely than not that these deferred tax assets will not be realized. We did not record an income tax provision for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Three Months Ended September 30, 2024 and 2023</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summarizes our results of operations for each of the periods presented (in thousands):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60" w:type="dxa"/>
            <w:vAlign w:val="bottom"/>
            <w:gridSpan w:val="6"/>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26"/>
        </w:trPr>
        <w:tc>
          <w:tcPr>
            <w:tcW w:w="3400" w:type="dxa"/>
            <w:vAlign w:val="bottom"/>
            <w:tcBorders>
              <w:bottom w:val="single" w:sz="8" w:color="CCEEFF"/>
            </w:tcBorders>
          </w:tcPr>
          <w:p>
            <w:pPr>
              <w:spacing w:after="0"/>
              <w:rPr>
                <w:sz w:val="10"/>
                <w:szCs w:val="10"/>
                <w:color w:val="auto"/>
              </w:rPr>
            </w:pPr>
          </w:p>
        </w:tc>
        <w:tc>
          <w:tcPr>
            <w:tcW w:w="1020" w:type="dxa"/>
            <w:vAlign w:val="bottom"/>
            <w:tcBorders>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top w:val="single" w:sz="8" w:color="auto"/>
              <w:bottom w:val="single" w:sz="8" w:color="auto"/>
            </w:tcBorders>
          </w:tcPr>
          <w:p>
            <w:pPr>
              <w:spacing w:after="0"/>
              <w:rPr>
                <w:sz w:val="10"/>
                <w:szCs w:val="10"/>
                <w:color w:val="auto"/>
              </w:rPr>
            </w:pPr>
          </w:p>
        </w:tc>
        <w:tc>
          <w:tcPr>
            <w:tcW w:w="280" w:type="dxa"/>
            <w:vAlign w:val="bottom"/>
            <w:tcBorders>
              <w:top w:val="single" w:sz="8" w:color="auto"/>
              <w:bottom w:val="single" w:sz="8" w:color="CCEEFF"/>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420"/>
              <w:spacing w:after="0" w:line="127"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0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Collaboration revenue</w:t>
            </w:r>
          </w:p>
        </w:tc>
        <w:tc>
          <w:tcPr>
            <w:tcW w:w="1920" w:type="dxa"/>
            <w:vAlign w:val="bottom"/>
            <w:gridSpan w:val="2"/>
          </w:tcPr>
          <w:p>
            <w:pPr>
              <w:jc w:val="right"/>
              <w:ind w:right="75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60" w:type="dxa"/>
            <w:vAlign w:val="bottom"/>
          </w:tcPr>
          <w:p>
            <w:pPr>
              <w:spacing w:after="0"/>
              <w:rPr>
                <w:sz w:val="16"/>
                <w:szCs w:val="16"/>
                <w:color w:val="auto"/>
              </w:rPr>
            </w:pP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187"/>
        </w:trPr>
        <w:tc>
          <w:tcPr>
            <w:tcW w:w="34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revenue</w:t>
            </w:r>
          </w:p>
        </w:tc>
        <w:tc>
          <w:tcPr>
            <w:tcW w:w="10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195"/>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33,530</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9,352</w:t>
            </w: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24,178</w:t>
            </w:r>
          </w:p>
        </w:tc>
        <w:tc>
          <w:tcPr>
            <w:tcW w:w="0" w:type="dxa"/>
            <w:vAlign w:val="bottom"/>
          </w:tcPr>
          <w:p>
            <w:pPr>
              <w:spacing w:after="0"/>
              <w:rPr>
                <w:sz w:val="1"/>
                <w:szCs w:val="1"/>
                <w:color w:val="auto"/>
              </w:rPr>
            </w:pPr>
          </w:p>
        </w:tc>
      </w:tr>
      <w:tr>
        <w:trPr>
          <w:trHeight w:val="195"/>
        </w:trPr>
        <w:tc>
          <w:tcPr>
            <w:tcW w:w="3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7,454</w:t>
            </w:r>
          </w:p>
        </w:tc>
        <w:tc>
          <w:tcPr>
            <w:tcW w:w="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2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0" w:type="dxa"/>
            <w:vAlign w:val="bottom"/>
          </w:tcPr>
          <w:p>
            <w:pPr>
              <w:spacing w:after="0"/>
              <w:rPr>
                <w:sz w:val="1"/>
                <w:szCs w:val="1"/>
                <w:color w:val="auto"/>
              </w:rPr>
            </w:pPr>
          </w:p>
        </w:tc>
      </w:tr>
      <w:tr>
        <w:trPr>
          <w:trHeight w:val="187"/>
        </w:trPr>
        <w:tc>
          <w:tcPr>
            <w:tcW w:w="3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2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40,984</w:t>
            </w:r>
          </w:p>
        </w:tc>
        <w:tc>
          <w:tcPr>
            <w:tcW w:w="2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14,376</w:t>
            </w: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26,608</w:t>
            </w:r>
          </w:p>
        </w:tc>
        <w:tc>
          <w:tcPr>
            <w:tcW w:w="0" w:type="dxa"/>
            <w:vAlign w:val="bottom"/>
          </w:tcPr>
          <w:p>
            <w:pPr>
              <w:spacing w:after="0"/>
              <w:rPr>
                <w:sz w:val="1"/>
                <w:szCs w:val="1"/>
                <w:color w:val="auto"/>
              </w:rPr>
            </w:pPr>
          </w:p>
        </w:tc>
      </w:tr>
      <w:tr>
        <w:trPr>
          <w:trHeight w:val="187"/>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10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(40,984)</w:t>
            </w:r>
          </w:p>
        </w:tc>
        <w:tc>
          <w:tcPr>
            <w:tcW w:w="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35,624</w:t>
            </w:r>
          </w:p>
        </w:tc>
        <w:tc>
          <w:tcPr>
            <w:tcW w:w="2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(76,608)</w:t>
            </w:r>
          </w:p>
        </w:tc>
        <w:tc>
          <w:tcPr>
            <w:tcW w:w="0" w:type="dxa"/>
            <w:vAlign w:val="bottom"/>
          </w:tcPr>
          <w:p>
            <w:pPr>
              <w:spacing w:after="0"/>
              <w:rPr>
                <w:sz w:val="1"/>
                <w:szCs w:val="1"/>
                <w:color w:val="auto"/>
              </w:rPr>
            </w:pPr>
          </w:p>
        </w:tc>
      </w:tr>
      <w:tr>
        <w:trPr>
          <w:trHeight w:val="187"/>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0" w:type="dxa"/>
            <w:vAlign w:val="bottom"/>
          </w:tcPr>
          <w:p>
            <w:pPr>
              <w:spacing w:after="0"/>
              <w:rPr>
                <w:sz w:val="1"/>
                <w:szCs w:val="1"/>
                <w:color w:val="auto"/>
              </w:rPr>
            </w:pPr>
          </w:p>
        </w:tc>
      </w:tr>
      <w:tr>
        <w:trPr>
          <w:trHeight w:val="187"/>
        </w:trPr>
        <w:tc>
          <w:tcPr>
            <w:tcW w:w="3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2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2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0" w:type="dxa"/>
            <w:vAlign w:val="bottom"/>
          </w:tcPr>
          <w:p>
            <w:pPr>
              <w:spacing w:after="0"/>
              <w:rPr>
                <w:sz w:val="1"/>
                <w:szCs w:val="1"/>
                <w:color w:val="auto"/>
              </w:rPr>
            </w:pPr>
          </w:p>
        </w:tc>
      </w:tr>
      <w:tr>
        <w:trPr>
          <w:trHeight w:val="187"/>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020" w:type="dxa"/>
            <w:vAlign w:val="bottom"/>
          </w:tcPr>
          <w:p>
            <w:pPr>
              <w:spacing w:after="0"/>
              <w:rPr>
                <w:sz w:val="16"/>
                <w:szCs w:val="16"/>
                <w:color w:val="auto"/>
              </w:rPr>
            </w:pPr>
          </w:p>
        </w:tc>
        <w:tc>
          <w:tcPr>
            <w:tcW w:w="9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(38,606)</w:t>
            </w:r>
          </w:p>
        </w:tc>
        <w:tc>
          <w:tcPr>
            <w:tcW w:w="280" w:type="dxa"/>
            <w:vAlign w:val="bottom"/>
          </w:tcPr>
          <w:p>
            <w:pPr>
              <w:spacing w:after="0"/>
              <w:rPr>
                <w:sz w:val="16"/>
                <w:szCs w:val="16"/>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35,608</w:t>
            </w: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(74,214)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209"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There was no collaboration revenue for the three months ended September 30, 2024. Collaboration revenue was $50.0 million for the three months ended September 30, 2023, and was derived from our BMS Agreement.</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summarizes our research and development expenses for each of the periods presented (in thousands):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4560" w:type="dxa"/>
            <w:vAlign w:val="bottom"/>
          </w:tcPr>
          <w:p>
            <w:pPr>
              <w:spacing w:after="0"/>
              <w:rPr>
                <w:sz w:val="13"/>
                <w:szCs w:val="13"/>
                <w:color w:val="auto"/>
              </w:rPr>
            </w:pPr>
          </w:p>
        </w:tc>
        <w:tc>
          <w:tcPr>
            <w:tcW w:w="3040" w:type="dxa"/>
            <w:vAlign w:val="bottom"/>
            <w:gridSpan w:val="6"/>
          </w:tcPr>
          <w:p>
            <w:pPr>
              <w:ind w:left="40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60" w:type="dxa"/>
            <w:vAlign w:val="bottom"/>
          </w:tcPr>
          <w:p>
            <w:pPr>
              <w:spacing w:after="0"/>
              <w:rPr>
                <w:sz w:val="13"/>
                <w:szCs w:val="13"/>
                <w:color w:val="auto"/>
              </w:rPr>
            </w:pPr>
          </w:p>
        </w:tc>
        <w:tc>
          <w:tcPr>
            <w:tcW w:w="1060" w:type="dxa"/>
            <w:vAlign w:val="bottom"/>
            <w:vMerge w:val="restart"/>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26"/>
        </w:trPr>
        <w:tc>
          <w:tcPr>
            <w:tcW w:w="456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auto"/>
              <w:bottom w:val="single" w:sz="8" w:color="CCEEFF"/>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421"/>
              <w:spacing w:after="0" w:line="127" w:lineRule="exact"/>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research and development expenses by program:</w:t>
            </w: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Obexelimab</w:t>
            </w:r>
          </w:p>
        </w:tc>
        <w:tc>
          <w:tcPr>
            <w:tcW w:w="800" w:type="dxa"/>
            <w:vAlign w:val="bottom"/>
          </w:tcPr>
          <w:p>
            <w:pPr>
              <w:jc w:val="right"/>
              <w:ind w:right="647"/>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21,326</w:t>
            </w:r>
          </w:p>
        </w:tc>
        <w:tc>
          <w:tcPr>
            <w:tcW w:w="240" w:type="dxa"/>
            <w:vAlign w:val="bottom"/>
          </w:tcPr>
          <w:p>
            <w:pPr>
              <w:spacing w:after="0"/>
              <w:rPr>
                <w:sz w:val="16"/>
                <w:szCs w:val="16"/>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240" w:type="dxa"/>
            <w:vAlign w:val="bottom"/>
          </w:tcPr>
          <w:p>
            <w:pPr>
              <w:spacing w:after="0"/>
              <w:rPr>
                <w:sz w:val="16"/>
                <w:szCs w:val="16"/>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19,980</w:t>
            </w:r>
          </w:p>
        </w:tc>
        <w:tc>
          <w:tcPr>
            <w:tcW w:w="0" w:type="dxa"/>
            <w:vAlign w:val="bottom"/>
          </w:tcPr>
          <w:p>
            <w:pPr>
              <w:spacing w:after="0"/>
              <w:rPr>
                <w:sz w:val="1"/>
                <w:szCs w:val="1"/>
                <w:color w:val="auto"/>
              </w:rPr>
            </w:pPr>
          </w:p>
        </w:tc>
      </w:tr>
      <w:tr>
        <w:trPr>
          <w:trHeight w:val="195"/>
        </w:trPr>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Global programs (ZB002 &amp; ZB004)</w:t>
            </w: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195"/>
        </w:trPr>
        <w:tc>
          <w:tcPr>
            <w:tcW w:w="4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Regional programs (ZB001 &amp; ZB005)</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195"/>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Unallocated research and development expenses:</w:t>
            </w: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Personnel expenses (including stock-based compensation)</w:t>
            </w: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5,279</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3,770</w:t>
            </w:r>
          </w:p>
        </w:tc>
        <w:tc>
          <w:tcPr>
            <w:tcW w:w="0" w:type="dxa"/>
            <w:vAlign w:val="bottom"/>
          </w:tcPr>
          <w:p>
            <w:pPr>
              <w:spacing w:after="0"/>
              <w:rPr>
                <w:sz w:val="1"/>
                <w:szCs w:val="1"/>
                <w:color w:val="auto"/>
              </w:rPr>
            </w:pPr>
          </w:p>
        </w:tc>
      </w:tr>
      <w:tr>
        <w:trPr>
          <w:trHeight w:val="195"/>
        </w:trPr>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expenses</w:t>
            </w:r>
          </w:p>
        </w:tc>
        <w:tc>
          <w:tcPr>
            <w:tcW w:w="8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2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187"/>
        </w:trPr>
        <w:tc>
          <w:tcPr>
            <w:tcW w:w="4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80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33,530</w:t>
            </w:r>
          </w:p>
        </w:tc>
        <w:tc>
          <w:tcPr>
            <w:tcW w:w="240" w:type="dxa"/>
            <w:vAlign w:val="bottom"/>
          </w:tcPr>
          <w:p>
            <w:pPr>
              <w:spacing w:after="0"/>
              <w:rPr>
                <w:sz w:val="16"/>
                <w:szCs w:val="16"/>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9,352</w:t>
            </w:r>
          </w:p>
        </w:tc>
        <w:tc>
          <w:tcPr>
            <w:tcW w:w="240" w:type="dxa"/>
            <w:vAlign w:val="bottom"/>
          </w:tcPr>
          <w:p>
            <w:pPr>
              <w:spacing w:after="0"/>
              <w:rPr>
                <w:sz w:val="16"/>
                <w:szCs w:val="16"/>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24,178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Research and development expenses were $33.5 million for the three months ended September 30, 2024, compared to $9.4 million for the three months ended September 30, 2023. The increase of $24.2 million was primarily attributable to the following:</w:t>
      </w:r>
    </w:p>
    <w:p>
      <w:pPr>
        <w:spacing w:after="0" w:line="143" w:lineRule="exact"/>
        <w:rPr>
          <w:sz w:val="20"/>
          <w:szCs w:val="20"/>
          <w:color w:val="auto"/>
        </w:rPr>
      </w:pPr>
    </w:p>
    <w:p>
      <w:pPr>
        <w:ind w:left="660" w:right="59" w:hanging="300"/>
        <w:spacing w:after="0" w:line="289"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$20.0 million increase in costs related to the development of obexelimab, our lead product candidate, driven by a $12.0 million increase in clinical trial costs and a $7.6 million increase in manufacturing costs for clinical trial materials;</w:t>
      </w:r>
    </w:p>
    <w:p>
      <w:pPr>
        <w:spacing w:after="0" w:line="142" w:lineRule="exact"/>
        <w:rPr>
          <w:rFonts w:ascii="Times New Roman" w:cs="Times New Roman" w:eastAsia="Times New Roman" w:hAnsi="Times New Roman"/>
          <w:sz w:val="16"/>
          <w:szCs w:val="16"/>
          <w:color w:val="auto"/>
        </w:rPr>
      </w:pPr>
    </w:p>
    <w:p>
      <w:pPr>
        <w:ind w:left="660" w:right="59" w:hanging="300"/>
        <w:spacing w:after="0" w:line="289"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$0.4 million decrease in costs related to our global programs, including a $0.1 million increase related to ZB002 and a $0.4 million decrease related to ZB004;</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660" w:right="59" w:hanging="300"/>
        <w:spacing w:after="0" w:line="272"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$0.6 million increase in costs related to our regional problems, including a $0.7 million decrease related to ZB001 as the ongoing clinical studies wound down and a $1.3 million increase related to ZB005, largely driven by an increase in clinical activities; and</w:t>
      </w:r>
    </w:p>
    <w:p>
      <w:pPr>
        <w:spacing w:after="0" w:line="155" w:lineRule="exact"/>
        <w:rPr>
          <w:rFonts w:ascii="Times New Roman" w:cs="Times New Roman" w:eastAsia="Times New Roman" w:hAnsi="Times New Roman"/>
          <w:sz w:val="16"/>
          <w:szCs w:val="16"/>
          <w:color w:val="auto"/>
        </w:rPr>
      </w:pPr>
    </w:p>
    <w:p>
      <w:pPr>
        <w:jc w:val="both"/>
        <w:ind w:left="660" w:right="59" w:hanging="300"/>
        <w:spacing w:after="0" w:line="272"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$3.8 million increase in personnel costs, including a $2.5 million increase in salary and benefit related expense, primarily due to an increase in headcount, a $0.7 million increase in stock-based compensation expense, and a $0.5 million increase in external contractor expense and other personnel costs.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General and Administrative Expense</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summarizes our general and administrative expenses for each of the periods presented (in thousands):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4560" w:type="dxa"/>
            <w:vAlign w:val="bottom"/>
          </w:tcPr>
          <w:p>
            <w:pPr>
              <w:spacing w:after="0"/>
              <w:rPr>
                <w:sz w:val="13"/>
                <w:szCs w:val="13"/>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4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26"/>
        </w:trPr>
        <w:tc>
          <w:tcPr>
            <w:tcW w:w="456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tcPr>
          <w:p>
            <w:pPr>
              <w:jc w:val="right"/>
              <w:ind w:right="27"/>
              <w:spacing w:after="0" w:line="127" w:lineRule="exact"/>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Personnel related expenses (including stock-based compensation)</w:t>
            </w:r>
          </w:p>
        </w:tc>
        <w:tc>
          <w:tcPr>
            <w:tcW w:w="960" w:type="dxa"/>
            <w:vAlign w:val="bottom"/>
            <w:shd w:val="clear" w:color="auto" w:fill="CCEEFF"/>
          </w:tcPr>
          <w:p>
            <w:pPr>
              <w:jc w:val="right"/>
              <w:ind w:right="807"/>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4,866</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0" w:type="dxa"/>
            <w:vAlign w:val="bottom"/>
          </w:tcPr>
          <w:p>
            <w:pPr>
              <w:spacing w:after="0"/>
              <w:rPr>
                <w:sz w:val="1"/>
                <w:szCs w:val="1"/>
                <w:color w:val="auto"/>
              </w:rPr>
            </w:pPr>
          </w:p>
        </w:tc>
      </w:tr>
      <w:tr>
        <w:trPr>
          <w:trHeight w:val="195"/>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Legal and professional fees</w:t>
            </w:r>
          </w:p>
        </w:tc>
        <w:tc>
          <w:tcPr>
            <w:tcW w:w="9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195"/>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Facilities and supplies</w:t>
            </w: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195"/>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2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187"/>
        </w:trPr>
        <w:tc>
          <w:tcPr>
            <w:tcW w:w="4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general and administrative expenses</w:t>
            </w:r>
          </w:p>
        </w:tc>
        <w:tc>
          <w:tcPr>
            <w:tcW w:w="960" w:type="dxa"/>
            <w:vAlign w:val="bottom"/>
            <w:tcBorders>
              <w:bottom w:val="single" w:sz="8" w:color="auto"/>
            </w:tcBorders>
            <w:shd w:val="clear" w:color="auto" w:fill="CCEEFF"/>
          </w:tcPr>
          <w:p>
            <w:pPr>
              <w:jc w:val="right"/>
              <w:ind w:right="807"/>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7,454</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General and administrative expenses were $7.5 million for the three months ended September 30, 2024, compared to $5.0 million for the three months ended September 30, 2023. The increase of $2.4 million was primarily attributable to the following:</w:t>
      </w:r>
    </w:p>
    <w:p>
      <w:pPr>
        <w:spacing w:after="0" w:line="143" w:lineRule="exact"/>
        <w:rPr>
          <w:sz w:val="20"/>
          <w:szCs w:val="20"/>
          <w:color w:val="auto"/>
        </w:rPr>
      </w:pPr>
    </w:p>
    <w:p>
      <w:pPr>
        <w:ind w:left="340" w:right="59" w:hanging="298"/>
        <w:spacing w:after="0" w:line="289"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$2.2 million increase in personnel costs, including a $1.1 million increase in stock-based compensation expense, and a $1.1 million increase in salary and benefit related expense, primarily due to an increase in headcount;</w:t>
      </w:r>
    </w:p>
    <w:p>
      <w:pPr>
        <w:spacing w:after="0" w:line="142" w:lineRule="exact"/>
        <w:rPr>
          <w:rFonts w:ascii="Times New Roman" w:cs="Times New Roman" w:eastAsia="Times New Roman" w:hAnsi="Times New Roman"/>
          <w:sz w:val="16"/>
          <w:szCs w:val="16"/>
          <w:color w:val="auto"/>
        </w:rPr>
      </w:pPr>
    </w:p>
    <w:p>
      <w:pPr>
        <w:ind w:left="340" w:right="59" w:hanging="298"/>
        <w:spacing w:after="0" w:line="289"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$0.3 million decrease in professional fees, including legal, audit and tax expenses, primarily due to higher costs in 2023 associated with preparation for the IPO; and</w:t>
      </w:r>
    </w:p>
    <w:p>
      <w:pPr>
        <w:spacing w:after="0" w:line="142" w:lineRule="exact"/>
        <w:rPr>
          <w:rFonts w:ascii="Times New Roman" w:cs="Times New Roman" w:eastAsia="Times New Roman" w:hAnsi="Times New Roman"/>
          <w:sz w:val="16"/>
          <w:szCs w:val="16"/>
          <w:color w:val="auto"/>
        </w:rPr>
      </w:pPr>
    </w:p>
    <w:p>
      <w:pPr>
        <w:ind w:left="340" w:hanging="298"/>
        <w:spacing w:after="0"/>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$0.4 million increase in other expenses, including insurance and other variable costs related to operating as a public company.</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Total Other Income (Expense), Net</w:t>
      </w:r>
    </w:p>
    <w:p>
      <w:pPr>
        <w:spacing w:after="0" w:line="209"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Total other income (expense), net was $2.4 million for the three months ended September 30, 2024, and was made up of interest income of $2.3 million, partially offset by realized and unrealized gains and losses on foreign currency transactions of $0.1 million. Total other expense, net was less than $0.1 million for the three months ended September 30, 2023, and was made up primarily of immaterial realized and unrealized gains and losses on foreign currency transactions.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Nine Months Ended September 30, 2024 and 2023</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summarizes our results of operations for each of the periods presented (in thousands):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40" w:type="dxa"/>
            <w:vAlign w:val="bottom"/>
          </w:tcPr>
          <w:p>
            <w:pPr>
              <w:spacing w:after="0"/>
              <w:rPr>
                <w:sz w:val="13"/>
                <w:szCs w:val="13"/>
                <w:color w:val="auto"/>
              </w:rPr>
            </w:pPr>
          </w:p>
        </w:tc>
        <w:tc>
          <w:tcPr>
            <w:tcW w:w="860" w:type="dxa"/>
            <w:vAlign w:val="bottom"/>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26"/>
        </w:trPr>
        <w:tc>
          <w:tcPr>
            <w:tcW w:w="552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gridSpan w:val="2"/>
          </w:tcPr>
          <w:p>
            <w:pPr>
              <w:jc w:val="right"/>
              <w:ind w:right="279"/>
              <w:spacing w:after="0" w:line="127"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300"/>
              <w:spacing w:after="0" w:line="127"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5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Collaboration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187"/>
        </w:trPr>
        <w:tc>
          <w:tcPr>
            <w:tcW w:w="55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195"/>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89,982</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50,367</w:t>
            </w:r>
          </w:p>
        </w:tc>
        <w:tc>
          <w:tcPr>
            <w:tcW w:w="0" w:type="dxa"/>
            <w:vAlign w:val="bottom"/>
          </w:tcPr>
          <w:p>
            <w:pPr>
              <w:spacing w:after="0"/>
              <w:rPr>
                <w:sz w:val="1"/>
                <w:szCs w:val="1"/>
                <w:color w:val="auto"/>
              </w:rPr>
            </w:pPr>
          </w:p>
        </w:tc>
      </w:tr>
      <w:tr>
        <w:trPr>
          <w:trHeight w:val="195"/>
        </w:trPr>
        <w:tc>
          <w:tcPr>
            <w:tcW w:w="5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18,283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5,530</w:t>
            </w:r>
          </w:p>
        </w:tc>
        <w:tc>
          <w:tcPr>
            <w:tcW w:w="0" w:type="dxa"/>
            <w:vAlign w:val="bottom"/>
          </w:tcPr>
          <w:p>
            <w:pPr>
              <w:spacing w:after="0"/>
              <w:rPr>
                <w:sz w:val="1"/>
                <w:szCs w:val="1"/>
                <w:color w:val="auto"/>
              </w:rPr>
            </w:pPr>
          </w:p>
        </w:tc>
      </w:tr>
      <w:tr>
        <w:trPr>
          <w:trHeight w:val="195"/>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Acquired in-process research and development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87"/>
        </w:trPr>
        <w:tc>
          <w:tcPr>
            <w:tcW w:w="5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108,265</w:t>
            </w:r>
          </w:p>
        </w:tc>
        <w:tc>
          <w:tcPr>
            <w:tcW w:w="2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62,368</w:t>
            </w:r>
          </w:p>
        </w:tc>
        <w:tc>
          <w:tcPr>
            <w:tcW w:w="2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45,897</w:t>
            </w:r>
          </w:p>
        </w:tc>
        <w:tc>
          <w:tcPr>
            <w:tcW w:w="0" w:type="dxa"/>
            <w:vAlign w:val="bottom"/>
          </w:tcPr>
          <w:p>
            <w:pPr>
              <w:spacing w:after="0"/>
              <w:rPr>
                <w:sz w:val="1"/>
                <w:szCs w:val="1"/>
                <w:color w:val="auto"/>
              </w:rPr>
            </w:pPr>
          </w:p>
        </w:tc>
      </w:tr>
      <w:tr>
        <w:trPr>
          <w:trHeight w:val="18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(108,265)</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(12,368)</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(95,897)</w:t>
            </w:r>
          </w:p>
        </w:tc>
        <w:tc>
          <w:tcPr>
            <w:tcW w:w="0" w:type="dxa"/>
            <w:vAlign w:val="bottom"/>
          </w:tcPr>
          <w:p>
            <w:pPr>
              <w:spacing w:after="0"/>
              <w:rPr>
                <w:sz w:val="1"/>
                <w:szCs w:val="1"/>
                <w:color w:val="auto"/>
              </w:rPr>
            </w:pPr>
          </w:p>
        </w:tc>
      </w:tr>
      <w:tr>
        <w:trPr>
          <w:trHeight w:val="18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Fair value adjustments to convertible notes</w:t>
            </w:r>
          </w:p>
        </w:tc>
        <w:tc>
          <w:tcPr>
            <w:tcW w:w="10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(846)</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0" w:type="dxa"/>
            <w:vAlign w:val="bottom"/>
          </w:tcPr>
          <w:p>
            <w:pPr>
              <w:spacing w:after="0"/>
              <w:rPr>
                <w:sz w:val="1"/>
                <w:szCs w:val="1"/>
                <w:color w:val="auto"/>
              </w:rPr>
            </w:pPr>
          </w:p>
        </w:tc>
      </w:tr>
      <w:tr>
        <w:trPr>
          <w:trHeight w:val="195"/>
        </w:trPr>
        <w:tc>
          <w:tcPr>
            <w:tcW w:w="5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(169)</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0" w:type="dxa"/>
            <w:vAlign w:val="bottom"/>
          </w:tcPr>
          <w:p>
            <w:pPr>
              <w:spacing w:after="0"/>
              <w:rPr>
                <w:sz w:val="1"/>
                <w:szCs w:val="1"/>
                <w:color w:val="auto"/>
              </w:rPr>
            </w:pPr>
          </w:p>
        </w:tc>
      </w:tr>
      <w:tr>
        <w:trPr>
          <w:trHeight w:val="187"/>
        </w:trPr>
        <w:tc>
          <w:tcPr>
            <w:tcW w:w="55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4,050</w:t>
            </w:r>
          </w:p>
        </w:tc>
        <w:tc>
          <w:tcPr>
            <w:tcW w:w="0" w:type="dxa"/>
            <w:vAlign w:val="bottom"/>
          </w:tcPr>
          <w:p>
            <w:pPr>
              <w:spacing w:after="0"/>
              <w:rPr>
                <w:sz w:val="1"/>
                <w:szCs w:val="1"/>
                <w:color w:val="auto"/>
              </w:rPr>
            </w:pPr>
          </w:p>
        </w:tc>
      </w:tr>
      <w:tr>
        <w:trPr>
          <w:trHeight w:val="18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(104,384)</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(12,537)</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(91,847)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209"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There was no collaboration revenue for the nine months ended September 31, 2024. Collaboration revenue was $50.0 million for the nine months ended September 30, 2023, and was derived from our BMS Agreement.</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summarizes our research and development expenses for each of the periods presented (in thousands):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5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00" w:type="dxa"/>
            <w:vAlign w:val="bottom"/>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220" w:type="dxa"/>
            <w:vAlign w:val="bottom"/>
          </w:tcPr>
          <w:p>
            <w:pPr>
              <w:spacing w:after="0"/>
              <w:rPr>
                <w:sz w:val="13"/>
                <w:szCs w:val="13"/>
                <w:color w:val="auto"/>
              </w:rPr>
            </w:pPr>
          </w:p>
        </w:tc>
        <w:tc>
          <w:tcPr>
            <w:tcW w:w="940" w:type="dxa"/>
            <w:vAlign w:val="bottom"/>
            <w:vMerge w:val="restart"/>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26"/>
        </w:trPr>
        <w:tc>
          <w:tcPr>
            <w:tcW w:w="508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363"/>
              <w:spacing w:after="0" w:line="127"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top w:val="single" w:sz="8" w:color="auto"/>
              <w:bottom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361"/>
              <w:spacing w:after="0" w:line="127"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research and development expenses by program:</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Obexelimab</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56,408</w:t>
            </w:r>
          </w:p>
        </w:tc>
        <w:tc>
          <w:tcPr>
            <w:tcW w:w="200" w:type="dxa"/>
            <w:vAlign w:val="bottom"/>
          </w:tcPr>
          <w:p>
            <w:pPr>
              <w:spacing w:after="0"/>
              <w:rPr>
                <w:sz w:val="16"/>
                <w:szCs w:val="16"/>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14,282</w:t>
            </w:r>
          </w:p>
        </w:tc>
        <w:tc>
          <w:tcPr>
            <w:tcW w:w="200" w:type="dxa"/>
            <w:vAlign w:val="bottom"/>
          </w:tcPr>
          <w:p>
            <w:pPr>
              <w:spacing w:after="0"/>
              <w:rPr>
                <w:sz w:val="16"/>
                <w:szCs w:val="16"/>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42,126</w:t>
            </w:r>
          </w:p>
        </w:tc>
        <w:tc>
          <w:tcPr>
            <w:tcW w:w="0" w:type="dxa"/>
            <w:vAlign w:val="bottom"/>
          </w:tcPr>
          <w:p>
            <w:pPr>
              <w:spacing w:after="0"/>
              <w:rPr>
                <w:sz w:val="1"/>
                <w:szCs w:val="1"/>
                <w:color w:val="auto"/>
              </w:rPr>
            </w:pPr>
          </w:p>
        </w:tc>
      </w:tr>
      <w:tr>
        <w:trPr>
          <w:trHeight w:val="195"/>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Global programs (ZB002 &amp; ZB004)</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0" w:type="dxa"/>
            <w:vAlign w:val="bottom"/>
          </w:tcPr>
          <w:p>
            <w:pPr>
              <w:spacing w:after="0"/>
              <w:rPr>
                <w:sz w:val="1"/>
                <w:szCs w:val="1"/>
                <w:color w:val="auto"/>
              </w:rPr>
            </w:pPr>
          </w:p>
        </w:tc>
      </w:tr>
      <w:tr>
        <w:trPr>
          <w:trHeight w:val="195"/>
        </w:trPr>
        <w:tc>
          <w:tcPr>
            <w:tcW w:w="5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Regional programs (ZB001 &amp; ZB005)</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6,367</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0" w:type="dxa"/>
            <w:vAlign w:val="bottom"/>
          </w:tcPr>
          <w:p>
            <w:pPr>
              <w:spacing w:after="0"/>
              <w:rPr>
                <w:sz w:val="1"/>
                <w:szCs w:val="1"/>
                <w:color w:val="auto"/>
              </w:rPr>
            </w:pPr>
          </w:p>
        </w:tc>
      </w:tr>
      <w:tr>
        <w:trPr>
          <w:trHeight w:val="195"/>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Unallocated research and development expenses: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Personnel expenses (including stock-based compensation)</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9,158</w:t>
            </w:r>
          </w:p>
        </w:tc>
        <w:tc>
          <w:tcPr>
            <w:tcW w:w="0" w:type="dxa"/>
            <w:vAlign w:val="bottom"/>
          </w:tcPr>
          <w:p>
            <w:pPr>
              <w:spacing w:after="0"/>
              <w:rPr>
                <w:sz w:val="1"/>
                <w:szCs w:val="1"/>
                <w:color w:val="auto"/>
              </w:rPr>
            </w:pPr>
          </w:p>
        </w:tc>
      </w:tr>
      <w:tr>
        <w:trPr>
          <w:trHeight w:val="195"/>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2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187"/>
        </w:trPr>
        <w:tc>
          <w:tcPr>
            <w:tcW w:w="5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89,982</w:t>
            </w:r>
          </w:p>
        </w:tc>
        <w:tc>
          <w:tcPr>
            <w:tcW w:w="200" w:type="dxa"/>
            <w:vAlign w:val="bottom"/>
          </w:tcPr>
          <w:p>
            <w:pPr>
              <w:spacing w:after="0"/>
              <w:rPr>
                <w:sz w:val="16"/>
                <w:szCs w:val="16"/>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39,615</w:t>
            </w:r>
          </w:p>
        </w:tc>
        <w:tc>
          <w:tcPr>
            <w:tcW w:w="200" w:type="dxa"/>
            <w:vAlign w:val="bottom"/>
          </w:tcPr>
          <w:p>
            <w:pPr>
              <w:spacing w:after="0"/>
              <w:rPr>
                <w:sz w:val="16"/>
                <w:szCs w:val="16"/>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50,367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Research and development expenses were $90.0 million for the nine months ended September 30, 2024, compared to $39.6 million for the nine months ended September 30, 2023. The increase of $50.4 million was primarily attributable to the following:</w:t>
      </w:r>
    </w:p>
    <w:p>
      <w:pPr>
        <w:spacing w:after="0" w:line="143" w:lineRule="exact"/>
        <w:rPr>
          <w:sz w:val="20"/>
          <w:szCs w:val="20"/>
          <w:color w:val="auto"/>
        </w:rPr>
      </w:pPr>
    </w:p>
    <w:p>
      <w:pPr>
        <w:jc w:val="both"/>
        <w:ind w:left="660" w:right="59" w:hanging="300"/>
        <w:spacing w:after="0" w:line="272"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$42.1 million increase in costs related to the development of obexelimab, our lead product candidate, driven by a $22.9 million increase in costs related to our ongoing lead trial in IgG4-RD and the initiation of additional clinical trials, and a $19.2 million increase in manufacturing costs for clinical trial materials;</w:t>
      </w:r>
    </w:p>
    <w:p>
      <w:pPr>
        <w:spacing w:after="0" w:line="155" w:lineRule="exact"/>
        <w:rPr>
          <w:rFonts w:ascii="Times New Roman" w:cs="Times New Roman" w:eastAsia="Times New Roman" w:hAnsi="Times New Roman"/>
          <w:sz w:val="16"/>
          <w:szCs w:val="16"/>
          <w:color w:val="auto"/>
        </w:rPr>
      </w:pPr>
    </w:p>
    <w:p>
      <w:pPr>
        <w:jc w:val="both"/>
        <w:ind w:left="660" w:right="59" w:hanging="300"/>
        <w:spacing w:after="0" w:line="272"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$2.1 million decrease in costs related to our global programs, including a $1.1 million decrease related to ZB002 and a $0.9 million decrease related to ZB004, largely driven by a decrease in clinical and non-clinical activities as these programs were deprioritized;</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660" w:right="59" w:hanging="300"/>
        <w:spacing w:after="0" w:line="272"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$0.8 million increase in costs related to our regional programs, including a $1.4 million decrease related to ZB001 as the ongoing clinical studies winded down and a $2.0 million increase related to ZB005, largely driven by an increase in clinical and non-clinical activities; and</w:t>
      </w:r>
    </w:p>
    <w:p>
      <w:pPr>
        <w:spacing w:after="0" w:line="155" w:lineRule="exact"/>
        <w:rPr>
          <w:rFonts w:ascii="Times New Roman" w:cs="Times New Roman" w:eastAsia="Times New Roman" w:hAnsi="Times New Roman"/>
          <w:sz w:val="16"/>
          <w:szCs w:val="16"/>
          <w:color w:val="auto"/>
        </w:rPr>
      </w:pPr>
    </w:p>
    <w:p>
      <w:pPr>
        <w:jc w:val="both"/>
        <w:ind w:left="660" w:right="59" w:hanging="300"/>
        <w:spacing w:after="0" w:line="272" w:lineRule="auto"/>
        <w:tabs>
          <w:tab w:leader="none" w:pos="6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$9.2 million increase in personnel costs, including a $6.3 million increase in salary and benefit related expense, primarily due to an increase in headcount, a $1.3 million increase in stock-based compensation expense, and a $1.5 million increase in external contractor expense and other personnel costs.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General and Administrative Expense</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summarizes our general and administrative expenses for each of the periods presented (in thousands):</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5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80" w:type="dxa"/>
            <w:vAlign w:val="bottom"/>
          </w:tcPr>
          <w:p>
            <w:pPr>
              <w:spacing w:after="0"/>
              <w:rPr>
                <w:sz w:val="13"/>
                <w:szCs w:val="13"/>
                <w:color w:val="auto"/>
              </w:rPr>
            </w:pPr>
          </w:p>
        </w:tc>
        <w:tc>
          <w:tcPr>
            <w:tcW w:w="76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26"/>
        </w:trPr>
        <w:tc>
          <w:tcPr>
            <w:tcW w:w="562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303"/>
              <w:spacing w:after="0" w:line="127"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top w:val="single" w:sz="8" w:color="auto"/>
              <w:bottom w:val="single" w:sz="8" w:color="CCEEFF"/>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301"/>
              <w:spacing w:after="0" w:line="127"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Personnel related expenses (including stock-based compensation)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10,961</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7,363</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Legal and professional fees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0" w:type="dxa"/>
            <w:vAlign w:val="bottom"/>
          </w:tcPr>
          <w:p>
            <w:pPr>
              <w:spacing w:after="0"/>
              <w:rPr>
                <w:sz w:val="1"/>
                <w:szCs w:val="1"/>
                <w:color w:val="auto"/>
              </w:rPr>
            </w:pPr>
          </w:p>
        </w:tc>
      </w:tr>
      <w:tr>
        <w:trPr>
          <w:trHeight w:val="195"/>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Facilities and supplies</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0" w:type="dxa"/>
            <w:vAlign w:val="bottom"/>
          </w:tcPr>
          <w:p>
            <w:pPr>
              <w:spacing w:after="0"/>
              <w:rPr>
                <w:sz w:val="1"/>
                <w:szCs w:val="1"/>
                <w:color w:val="auto"/>
              </w:rPr>
            </w:pPr>
          </w:p>
        </w:tc>
      </w:tr>
      <w:tr>
        <w:trPr>
          <w:trHeight w:val="187"/>
        </w:trPr>
        <w:tc>
          <w:tcPr>
            <w:tcW w:w="5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general and administrative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18,283</w:t>
            </w: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12,753</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General and administrative expenses were $18.3 million for the nine months ended September 30, 2024, compared to $12.8 million for the nine months ended September 30, 2023. The increase of $5.5 million was primarily attributable to the following:</w:t>
      </w:r>
    </w:p>
    <w:p>
      <w:pPr>
        <w:spacing w:after="0" w:line="143" w:lineRule="exact"/>
        <w:rPr>
          <w:sz w:val="20"/>
          <w:szCs w:val="20"/>
          <w:color w:val="auto"/>
        </w:rPr>
      </w:pPr>
    </w:p>
    <w:p>
      <w:pPr>
        <w:jc w:val="both"/>
        <w:ind w:left="660" w:right="59" w:hanging="300"/>
        <w:spacing w:after="0" w:line="272" w:lineRule="auto"/>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$3.6 million increase in personnel costs, including a $1.6 million increase in stock-based compensation expense, and a $2.1 million increase in salary and benefit related expense, primarily due to an increase in headcount, partially offset by a $0.1 million decrease in external contractor expenses;</w:t>
      </w:r>
    </w:p>
    <w:p>
      <w:pPr>
        <w:spacing w:after="0" w:line="155" w:lineRule="exact"/>
        <w:rPr>
          <w:rFonts w:ascii="Times New Roman" w:cs="Times New Roman" w:eastAsia="Times New Roman" w:hAnsi="Times New Roman"/>
          <w:sz w:val="16"/>
          <w:szCs w:val="16"/>
          <w:color w:val="auto"/>
        </w:rPr>
      </w:pPr>
    </w:p>
    <w:p>
      <w:pPr>
        <w:ind w:left="660" w:right="59" w:hanging="300"/>
        <w:spacing w:after="0" w:line="289" w:lineRule="auto"/>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$0.8 million increase in professional fees, including legal, audit and tax expenses, primarily attributable to operating as a public company; and</w:t>
      </w:r>
    </w:p>
    <w:p>
      <w:pPr>
        <w:spacing w:after="0" w:line="142"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$1.0 million increase in other expenses, including insurance and other variable costs related to operating as a public company.</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Acquired In-Process Research and Development Expenses</w:t>
      </w:r>
    </w:p>
    <w:p>
      <w:pPr>
        <w:spacing w:after="0" w:line="209"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6"/>
          <w:szCs w:val="16"/>
          <w:color w:val="auto"/>
        </w:rPr>
        <w:t>There was no acquired IPR&amp;D expense recorded for the nine months ended September 30, 2024. Acquired IPR&amp;D was $10.0 million for the nine months ended September 30, 2023, and was made up of a $10.0 million development milestone payment related to obexelimab.</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Total Other Income (Expense), Net</w:t>
      </w:r>
    </w:p>
    <w:p>
      <w:pPr>
        <w:spacing w:after="0" w:line="209"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Total other income (expense), net was $3.9 million for the nine months ended September 30, 2024, and consisted of interest income of $4.7 million, partially offset by the change in fair value of the BMS Note of $0.8 million upon remeasurement immediately prior to conversion. Total other expense, net was $0.2 million for the nine months ended September 30, 2023, and was made up primarily of immaterial realized and unrealized gains and losses on foreign currency transactions.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Sources of Liquidity</w:t>
      </w:r>
    </w:p>
    <w:p>
      <w:pPr>
        <w:spacing w:after="0" w:line="211"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We have incurred significant operating losses since inception. We have not yet commercialized any product candidates, and we do not expect to generate revenue from sales of any product candidates or from other sources for several years, if</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at all. As of September 30, 2024, we had $386.8 million in cash, cash equivalents, and investments and we had an accumulated deficit of $334.8 million. Through September 30, 2024, we have funded our operations primarily with gross proceeds of $358.0 million through the sale and issuance of our Preferred Stock, our convertible notes, as well as $50.0 million through our BMS Agreement, and most recently, from the sale of common stock in our IPO.</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provides information regarding our cash flows for each of the periods presented (in thousands):</w:t>
      </w:r>
    </w:p>
    <w:p>
      <w:pPr>
        <w:spacing w:after="0" w:line="21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ind w:left="7280"/>
        <w:spacing w:after="0" w:line="226" w:lineRule="auto"/>
        <w:rPr>
          <w:sz w:val="20"/>
          <w:szCs w:val="20"/>
          <w:color w:val="auto"/>
        </w:rPr>
      </w:pPr>
      <w:r>
        <w:rPr>
          <w:rFonts w:ascii="Times New Roman" w:cs="Times New Roman" w:eastAsia="Times New Roman" w:hAnsi="Times New Roman"/>
          <w:sz w:val="13"/>
          <w:szCs w:val="13"/>
          <w:b w:val="1"/>
          <w:bCs w:val="1"/>
          <w:color w:val="auto"/>
        </w:rPr>
        <w:t>September 30,</w:t>
      </w:r>
    </w:p>
    <w:tbl>
      <w:tblPr>
        <w:tblLayout w:type="fixed"/>
        <w:tblInd w:w="40" w:type="dxa"/>
        <w:tblCellMar>
          <w:top w:w="0" w:type="dxa"/>
          <w:left w:w="0" w:type="dxa"/>
          <w:bottom w:w="0" w:type="dxa"/>
          <w:right w:w="0" w:type="dxa"/>
        </w:tblCellMar>
      </w:tblPr>
      <w:tr>
        <w:trPr>
          <w:trHeight w:val="126"/>
        </w:trPr>
        <w:tc>
          <w:tcPr>
            <w:tcW w:w="6380" w:type="dxa"/>
            <w:vAlign w:val="bottom"/>
            <w:tcBorders>
              <w:bottom w:val="single" w:sz="8" w:color="CCEEFF"/>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361"/>
              <w:spacing w:after="0" w:line="127"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top w:val="single" w:sz="8" w:color="auto"/>
              <w:bottom w:val="single" w:sz="8" w:color="CCEEFF"/>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381"/>
              <w:spacing w:after="0" w:line="127" w:lineRule="exact"/>
              <w:rPr>
                <w:sz w:val="20"/>
                <w:szCs w:val="20"/>
                <w:color w:val="auto"/>
              </w:rPr>
            </w:pPr>
            <w:r>
              <w:rPr>
                <w:rFonts w:ascii="Times New Roman" w:cs="Times New Roman" w:eastAsia="Times New Roman" w:hAnsi="Times New Roman"/>
                <w:sz w:val="13"/>
                <w:szCs w:val="13"/>
                <w:b w:val="1"/>
                <w:bCs w:val="1"/>
                <w:color w:val="auto"/>
              </w:rPr>
              <w:t>2023</w:t>
            </w:r>
          </w:p>
        </w:tc>
      </w:tr>
      <w:tr>
        <w:trPr>
          <w:trHeight w:val="187"/>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(81,120)</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(15,129)</w:t>
            </w:r>
          </w:p>
        </w:tc>
      </w:tr>
      <w:tr>
        <w:trPr>
          <w:trHeight w:val="195"/>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(26,817)</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411,105</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20,066</w:t>
            </w:r>
          </w:p>
        </w:tc>
      </w:tr>
      <w:tr>
        <w:trPr>
          <w:trHeight w:val="195"/>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restricted cash</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187"/>
        </w:trPr>
        <w:tc>
          <w:tcPr>
            <w:tcW w:w="6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303,184</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5,102</w:t>
            </w:r>
          </w:p>
        </w:tc>
      </w:tr>
      <w:tr>
        <w:trPr>
          <w:trHeight w:val="20"/>
        </w:trPr>
        <w:tc>
          <w:tcPr>
            <w:tcW w:w="6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Net Cash Used in Operating Activities</w:t>
      </w:r>
    </w:p>
    <w:p>
      <w:pPr>
        <w:spacing w:after="0" w:line="209"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Net cash used in operating activities for the nine months ended September 30, 2024 was $81.2 million, and was primarily due to our net loss of $104.4 million, partially offset by a $6.3 million increase in accounts payable, a $10.2 million increase in accrued expenses, a $0.5 million increase in prepaid expenses and other assets, a $0.8 million increase in the fair value of our BMS Note liability and $5.3 million of stock-based compensation expense. The increase in accrued expenses and accounts payable was primarily attributable to an increase in research and development expenses, while the increase in prepaid expenses and other assets was primarily due to the timing of vendor payments.</w:t>
      </w:r>
    </w:p>
    <w:p>
      <w:pPr>
        <w:spacing w:after="0" w:line="166"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Net cash used in operating activities for the nine months ended September 30, 2023 was $15.1 million, and was primarily due to our net loss of $12.5 million, a $6.8 million decrease in accrued expenses, a $4.7 million decrease in prepaid expenses and other assets, and a $3.5 million decrease in accounts payable, partially offset by a $10.0 million acquisition of in-process research and development and $2.4 million of stock-based compensation expense. The decrease in accrued expenses and accounts payable was primarily attributable to a decrease in research and development expenses, while the decrease in prepaid expenses and other assets was primarily due to the timing of vendor payments.</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Net Cash Used in Investing Activities</w:t>
      </w:r>
    </w:p>
    <w:p>
      <w:pPr>
        <w:spacing w:after="0" w:line="209"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6"/>
          <w:szCs w:val="16"/>
          <w:color w:val="auto"/>
        </w:rPr>
        <w:t>Net cash used in investing activities for the nine months ended September 30, 2024 was $26.8 million and consisted of purchases of investments of $26.8 million and purchases of property and equipment of $0.1 million. There was no cash used in or provided by investing activities for the nine months ended September 30, 2023.</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Net Cash Provided by Financing Activities</w:t>
      </w:r>
    </w:p>
    <w:p>
      <w:pPr>
        <w:spacing w:after="0" w:line="209"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6"/>
          <w:szCs w:val="16"/>
          <w:color w:val="auto"/>
        </w:rPr>
        <w:t>Net cash provided by financing activities for the nine months ended September 30, 2024 was $411.1 million, resulting from $178.4 million in net proceeds received from the issuance and sale of shares of our Series C Preferred Stock, net proceeds from our IPO of $234.4 million, and $0.2 million of proceeds received from the exercise of stock options, partially offset by a $1.9 million payment of offering costs.</w:t>
      </w:r>
    </w:p>
    <w:p>
      <w:pPr>
        <w:spacing w:after="0" w:line="358"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Net cash provided by financing activities for the nine months ended September 30, 2023 was $20.1 million, resulting from $20.0 million in proceeds received from the sale of the BMS Note and $0.1 million in proceeds received from the exercise of stock options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Future Funding Requirements</w:t>
      </w:r>
    </w:p>
    <w:p>
      <w:pPr>
        <w:spacing w:after="0" w:line="211"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As of September 30, 2024, we had $386.8 million in cash, cash equivalents and investments. Based on our current operating plan, we believe that our existing cash will be sufficient to fund our operations and capital expenditure requirements for at least twelve months from the date that our financial statements are issued. We estimate that our existing cash, cash equivalents, and investments will be sufficient to fund our projected operations and capital expenditure requirements into the fourth quarter of 2026. We have based this estimate on assumptions that may prove to be wrong, and we could expend our capital resources sooner than we expect.</w:t>
      </w:r>
    </w:p>
    <w:p>
      <w:pPr>
        <w:spacing w:after="0" w:line="164"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6"/>
          <w:szCs w:val="16"/>
          <w:color w:val="auto"/>
        </w:rPr>
        <w:t>We expect to incur significant expenses and operating losses for the foreseeable future as we advance our product candidates through clinical development, seek regulatory approval, and pursue commercialization of any approved drug candidates. We expect that our research and development and general and administrative costs will increase in connection with our planned research and clinical activities. In addition, we expect to incur additional costs associated with operating as a public company, including significant audit, legal, regulatory and tax-related expenses, as well as director and officer insurance premiums, investor relations costs, and other expenses that we did not incur as a private company. Cash used to fund operating expenses is impacted by the timing of when we pay these expenses, as reflected in the change in our outstanding accounts payable, accrued expenses, and prepaid expenses. If we receive regulatory approval for any of our product candidates, we expect to incur significant commercialization expenses related to drug manufacturing, sales, marketing and distribution, depending on where we choose to commercialize. We may also require additional capital to pursue in-licenses or acquisitions of other product candidates. As a result, we expect to incur substantial operating losses and negative operating cash flows for the foreseeable future.</w:t>
      </w:r>
    </w:p>
    <w:p>
      <w:pPr>
        <w:spacing w:after="0" w:line="168"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6"/>
          <w:szCs w:val="16"/>
          <w:color w:val="auto"/>
        </w:rPr>
        <w:t>Because of the numerous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 including:</w:t>
      </w:r>
    </w:p>
    <w:p>
      <w:pPr>
        <w:spacing w:after="0" w:line="156" w:lineRule="exact"/>
        <w:rPr>
          <w:sz w:val="20"/>
          <w:szCs w:val="20"/>
          <w:color w:val="auto"/>
        </w:rPr>
      </w:pPr>
    </w:p>
    <w:p>
      <w:pPr>
        <w:ind w:left="660" w:right="59" w:hanging="300"/>
        <w:spacing w:after="0" w:line="289"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timing, progress results and costs of our ongoing obexelimab clinical studies and other research and development activities associated with the development of our other and future product candidates;</w:t>
      </w:r>
    </w:p>
    <w:p>
      <w:pPr>
        <w:spacing w:after="0" w:line="142"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timing and outcome of regulatory review of product candidates;</w:t>
      </w:r>
    </w:p>
    <w:p>
      <w:pPr>
        <w:spacing w:after="0" w:line="206" w:lineRule="exact"/>
        <w:rPr>
          <w:rFonts w:ascii="Times New Roman" w:cs="Times New Roman" w:eastAsia="Times New Roman" w:hAnsi="Times New Roman"/>
          <w:sz w:val="16"/>
          <w:szCs w:val="16"/>
          <w:color w:val="auto"/>
        </w:rPr>
      </w:pPr>
    </w:p>
    <w:p>
      <w:pPr>
        <w:ind w:left="660" w:right="59" w:hanging="300"/>
        <w:spacing w:after="0" w:line="289"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future activities, including product sales, medical affairs, marketing, manufacturing and distribution, for any product candidates for which we receive marketing approval;</w:t>
      </w:r>
    </w:p>
    <w:p>
      <w:pPr>
        <w:spacing w:after="0" w:line="142" w:lineRule="exact"/>
        <w:rPr>
          <w:rFonts w:ascii="Times New Roman" w:cs="Times New Roman" w:eastAsia="Times New Roman" w:hAnsi="Times New Roman"/>
          <w:sz w:val="16"/>
          <w:szCs w:val="16"/>
          <w:color w:val="auto"/>
        </w:rPr>
      </w:pPr>
    </w:p>
    <w:p>
      <w:pPr>
        <w:ind w:left="660" w:right="59" w:hanging="300"/>
        <w:spacing w:after="0" w:line="289"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establishing and maintaining arrangements with third-party manufacturers for the commercial supply of products that receive marketing approval, if any;</w:t>
      </w:r>
    </w:p>
    <w:p>
      <w:pPr>
        <w:spacing w:after="0" w:line="142" w:lineRule="exact"/>
        <w:rPr>
          <w:rFonts w:ascii="Times New Roman" w:cs="Times New Roman" w:eastAsia="Times New Roman" w:hAnsi="Times New Roman"/>
          <w:sz w:val="16"/>
          <w:szCs w:val="16"/>
          <w:color w:val="auto"/>
        </w:rPr>
      </w:pPr>
    </w:p>
    <w:p>
      <w:pPr>
        <w:jc w:val="both"/>
        <w:ind w:left="660" w:right="59" w:hanging="300"/>
        <w:spacing w:after="0" w:line="272"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manufacturing for obexelimab and other product candidates, including commercial manufacturing at sufficient scale, if any product candidate is approved, including as a result of inflation, any supply chain issues or component shortages;</w:t>
      </w:r>
    </w:p>
    <w:p>
      <w:pPr>
        <w:spacing w:after="0" w:line="155"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revenue, if any, received from commercial sale of our products, should any product candidates receive marketing approval;</w:t>
      </w:r>
    </w:p>
    <w:p>
      <w:pPr>
        <w:spacing w:after="0" w:line="206"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cash requirements of any future acquisitions or discovery of product candidates;</w:t>
      </w:r>
    </w:p>
    <w:p>
      <w:pPr>
        <w:spacing w:after="0" w:line="206"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and timing of attracting, hiring and retaining skilled personnel to support our operations and continued growth;</w:t>
      </w:r>
    </w:p>
    <w:p>
      <w:pPr>
        <w:spacing w:after="0" w:line="206"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implementing operational, financial and management systems;</w:t>
      </w:r>
    </w:p>
    <w:p>
      <w:pPr>
        <w:spacing w:after="0" w:line="206" w:lineRule="exact"/>
        <w:rPr>
          <w:rFonts w:ascii="Times New Roman" w:cs="Times New Roman" w:eastAsia="Times New Roman" w:hAnsi="Times New Roman"/>
          <w:sz w:val="16"/>
          <w:szCs w:val="16"/>
          <w:color w:val="auto"/>
        </w:rPr>
      </w:pPr>
    </w:p>
    <w:p>
      <w:pPr>
        <w:ind w:left="660" w:right="59" w:hanging="300"/>
        <w:spacing w:after="0" w:line="289"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preparing, filing and prosecuting patent applications, maintaining and enforcing our intellectual property rights and defending intellectual property-related claims;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59" w:hanging="300"/>
        <w:spacing w:after="0" w:line="289"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establish and maintain collaborations, strategic partnerships or marketing, distribution, licensing or other strategic arrangements with third parties on favorable terms, if at all;</w:t>
      </w:r>
    </w:p>
    <w:p>
      <w:pPr>
        <w:spacing w:after="0" w:line="142" w:lineRule="exact"/>
        <w:rPr>
          <w:rFonts w:ascii="Times New Roman" w:cs="Times New Roman" w:eastAsia="Times New Roman" w:hAnsi="Times New Roman"/>
          <w:sz w:val="16"/>
          <w:szCs w:val="16"/>
          <w:color w:val="auto"/>
        </w:rPr>
      </w:pPr>
    </w:p>
    <w:p>
      <w:pPr>
        <w:ind w:left="660" w:right="59" w:hanging="300"/>
        <w:spacing w:after="0" w:line="289"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achieve sufficient market acceptance, coverage and adequate reimbursement from third-party payors and adequate market share and revenue for any approved products;</w:t>
      </w:r>
    </w:p>
    <w:p>
      <w:pPr>
        <w:spacing w:after="0" w:line="142" w:lineRule="exact"/>
        <w:rPr>
          <w:rFonts w:ascii="Times New Roman" w:cs="Times New Roman" w:eastAsia="Times New Roman" w:hAnsi="Times New Roman"/>
          <w:sz w:val="16"/>
          <w:szCs w:val="16"/>
          <w:color w:val="auto"/>
        </w:rPr>
      </w:pPr>
    </w:p>
    <w:p>
      <w:pPr>
        <w:ind w:left="660" w:right="59" w:hanging="300"/>
        <w:spacing w:after="0" w:line="289"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receipt and amount of sales of, or milestone payments related to or royalties on, current or future product candidates, if any; and</w:t>
      </w:r>
    </w:p>
    <w:p>
      <w:pPr>
        <w:spacing w:after="0" w:line="142" w:lineRule="exact"/>
        <w:rPr>
          <w:rFonts w:ascii="Times New Roman" w:cs="Times New Roman" w:eastAsia="Times New Roman" w:hAnsi="Times New Roman"/>
          <w:sz w:val="16"/>
          <w:szCs w:val="16"/>
          <w:color w:val="auto"/>
        </w:rPr>
      </w:pPr>
    </w:p>
    <w:p>
      <w:pPr>
        <w:ind w:left="660" w:right="59" w:hanging="300"/>
        <w:spacing w:after="0" w:line="264"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associated with operating as a public company, including legal, accounting or other expenses in operating our business.</w:t>
      </w:r>
    </w:p>
    <w:p>
      <w:pPr>
        <w:spacing w:after="0" w:line="383"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6"/>
          <w:szCs w:val="16"/>
          <w:color w:val="auto"/>
        </w:rPr>
        <w:t>A change in the outcome of any of these or other variables with respect to the development of obexelimab or any other product candidate could significantly change the costs and timing associated with our operating plans. Further, our operating plans may change in the future, and we may need additional funds to meet operational needs and capital requirements associated with such operating plans.</w:t>
      </w:r>
    </w:p>
    <w:p>
      <w:pPr>
        <w:spacing w:after="0" w:line="156"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Until such time, if ever, as we can generate substantial product revenues, we expect to finance our cash needs through a combination of equity offerings, debt financings or other capital sources, which could include collaborations, strategic alliances, or licensing arrangements. We currently have no credit facility or committed sources of capital. Adequate additional funds may not be available to us on acceptable terms, or at all. To the extent that we raise additional capital through the sale of equity or convertible debt securities, the ownership interests of our existing stockholders may be diluted, and the terms of these securities may include liquidation or other preferences that could adversely affect the rights of such stockholders. Debt financing, if available, may involve agreements that include restrictive covenants that limit our ability to take specific actions, such as incurring additional debt, making capital expenditures or declaring dividends, which could adversely impact our ability to conduct our business.</w:t>
      </w:r>
    </w:p>
    <w:p>
      <w:pPr>
        <w:spacing w:after="0" w:line="169"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If we raise additional funds through collaborations, strategic alliances, or licensing arrangements with third parties, we may have to relinquish valuable rights to our technologies, future revenue streams, research program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Material Cash Requirements for Known Contractual and Other Obligations</w:t>
      </w:r>
    </w:p>
    <w:p>
      <w:pPr>
        <w:spacing w:after="0" w:line="211" w:lineRule="exact"/>
        <w:rPr>
          <w:sz w:val="20"/>
          <w:szCs w:val="20"/>
          <w:color w:val="auto"/>
        </w:rPr>
      </w:pPr>
    </w:p>
    <w:p>
      <w:pPr>
        <w:jc w:val="both"/>
        <w:ind w:left="40" w:right="299"/>
        <w:spacing w:after="0" w:line="272" w:lineRule="auto"/>
        <w:rPr>
          <w:sz w:val="20"/>
          <w:szCs w:val="20"/>
          <w:color w:val="auto"/>
        </w:rPr>
      </w:pPr>
      <w:r>
        <w:rPr>
          <w:rFonts w:ascii="Times New Roman" w:cs="Times New Roman" w:eastAsia="Times New Roman" w:hAnsi="Times New Roman"/>
          <w:sz w:val="16"/>
          <w:szCs w:val="16"/>
          <w:color w:val="auto"/>
        </w:rPr>
        <w:t>During the three months ended September 30, 2024, there were no material changes to our contractual obligations and commitments from those described under the heading “Management’s Discussion and Analysis of Financial Condition and Results of Operations— Contractual Obligations and Commitments” in our IPO Prospectus.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Critical Accounting Policies and Significant Judgments and Estimates</w:t>
      </w:r>
    </w:p>
    <w:p>
      <w:pPr>
        <w:spacing w:after="0" w:line="20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6"/>
          <w:szCs w:val="16"/>
          <w:color w:val="auto"/>
        </w:rPr>
        <w:t>This management’s discussion and analysis is based on our condensed consolidated financial statements, which have been prepared in accordance with U.S. generally accepted accounting principles. The preparation of these condensed consolidated financial statements requires us to make judgments and estimates that affect the reported amounts of assets and liabilities, the disclosure of contingent assets and liabilities at the date of the condensed consolidated financial statements, and the reported amounts of expenses during the reported periods.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On an ongoing basis, we evaluate our judgments and estimates in light of changes in circumstances, facts and experiences. Actual results may differ from these estimates under different assumptions or conditions. The effects of material revisions in estimates, if any, will be reflected in the condensed consolidated financial statements prospectively from the date of change in estimates.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During the three months ended September 30, 2024, there were no material changes to our critical accounting policies from those described in the IPO Prospectus.</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209"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A description of recently issued accounting pronouncements that may potentially impact our financial position and results of operations is disclosed in Note 2 in our audited consolidated financial statements included in our the IPO Prospectus.</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Implications of Being an Emerging Growth Company and Smaller Reporting Company</w:t>
      </w:r>
    </w:p>
    <w:p>
      <w:pPr>
        <w:spacing w:after="0" w:line="209"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We qualify as an “emerging growth company” as defined in the JOBS Act. As an emerging growth company, we may take advantage of specified reduced disclosure and other requirements that are otherwise applicable generally to public companies, including reduced disclosure about our executive compensation arrangements, exemption from the requirements to hold non binding advisory votes on executive compensation and golden parachute payments and exemption from the auditor attestation requirement in the assessment of our internal control over financial reporting.</w:t>
      </w:r>
    </w:p>
    <w:p>
      <w:pPr>
        <w:spacing w:after="0" w:line="164"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We may take advantage of these exemptions until December 31, 2029 or such earlier time that we are no longer an emerging growth company. We would cease to be an emerging growth company earlier if we have more than $1.235 billion in annual revenue, we have more than $700.0 million in market value of our stock held by non affiliates (and we have been a public company for at least twelve months and have filed one Annual Report on Form 10-K) or we issue more than $1.0 billion of non convertible debt securities over a three 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w:t>
      </w:r>
    </w:p>
    <w:p>
      <w:pPr>
        <w:spacing w:after="0" w:line="167"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 Therefore, the reported results of operations contained in our financial statements may not be directly comparable to those of other public companies.</w:t>
      </w:r>
    </w:p>
    <w:p>
      <w:pPr>
        <w:spacing w:after="0" w:line="364"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6"/>
          <w:szCs w:val="16"/>
          <w:color w:val="auto"/>
        </w:rPr>
        <w:t>We are also a “smaller reporting company,” meaning that the market value of our stock held by non-affiliates following the IPO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We may continue to be a smaller reporting company until the fiscal year following the determination that we no longer meet the requirements necessary to be considered a smaller reporting company.</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Interest Rate Risk</w:t>
      </w:r>
    </w:p>
    <w:p>
      <w:pPr>
        <w:spacing w:after="0" w:line="209"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We are exposed to interest rate risk in the ordinary course of our business. As of September 30, 2024, we had cash, cash equivalents and investments in marketable securities of $386.8 million, and we had no outstanding debt obligations. As of</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December 31, 2023, we had no cash equivalents or investments in marketable securities, and our outstanding debt obligation of $20.0 million for the BMS Note was at a fixed interest rate.</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Foreign Currency Exchange Risk</w:t>
      </w:r>
    </w:p>
    <w:p>
      <w:pPr>
        <w:spacing w:after="0" w:line="209"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Our reporting currency is the U.S. dollar (“USD”). Our functional currency for Zenas BioPharma (HK) Limited, our wholly owned subsidiary in Hong Kong, is the USD, and our functional currency for Shanghai Zenas Biotechnology Co. Limited, our wholly-owned subsidiary in China, is the Chinese Yuan. The functional currency of our wholly-owned U.S. subsidiaries, Zenas BioPharma (USA) LLC and Zenas BioPharma Securities Corporation, is the USD. Adjustments that arise from exchange rate changes on transactions denominated in a currency other than the functional currency are included in other income (expense), net in the condensed consolidated statements of operations and comprehensive loss as incurred. Realized foreign currency transaction gains (losses) were immaterial for the three and nine months ended September 30, 2024.</w:t>
      </w:r>
    </w:p>
    <w:p>
      <w:pPr>
        <w:spacing w:after="0" w:line="167"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We do not currently engage in currency hedging activities in order to reduce our currency exposure, but we may begin to do so in the future. Instruments that may be used to hedge future risks may include foreign currency forward and swap contracts. These instruments may be used to selectively manage risks, but there can be no assurance that we will be fully protected against material foreign currency fluctuations. We do not believe that a hypothetical 10% increase or decrease in exchange rates during any of the periods presented would have had a material impact on our financial statements included elsewhere in this Quarterly Report.</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Effects of Inflation</w:t>
      </w:r>
    </w:p>
    <w:p>
      <w:pPr>
        <w:spacing w:after="0" w:line="209"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Inflation generally affects us by increasing our cost of labor and clinical trial costs. We believe that inflation has not had a material effect on our business, or on our condensed consolidated financial statements included elsewhere in this Quarterly Report.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Evaluation of Disclosure Controls and Procedures</w:t>
      </w:r>
    </w:p>
    <w:p>
      <w:pPr>
        <w:spacing w:after="0" w:line="211"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6"/>
          <w:szCs w:val="16"/>
          <w:color w:val="auto"/>
        </w:rPr>
        <w:t>Our management, with the participation of our principal executive officer and our principal financial officer, evaluated the effectiveness of our disclosure controls and procedures as defined in Rules 13a-15(e) and 15d-15(e) under the Securities Exchange Act of 1934 as of September 30, 2024. The term “disclosure controls and procedures,” as defined in Rules 13a-15(e) and 15d-15(e) under the Exchange Act, means controls and other procedures of a company that are designed to ensure that information required to be disclosed by us in the reports that we file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p>
    <w:p>
      <w:pPr>
        <w:spacing w:after="0" w:line="211"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(as defined in Rules 13a-15(f) and 15d-15(f) under the Exchange Act) during the quarter ended September 30, 2024 that have materially affected, or are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209"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07" w:lineRule="exact"/>
        <w:rPr>
          <w:sz w:val="20"/>
          <w:szCs w:val="20"/>
          <w:color w:val="auto"/>
        </w:rPr>
      </w:pPr>
    </w:p>
    <w:p>
      <w:pPr>
        <w:jc w:val="both"/>
        <w:ind w:left="40" w:right="99"/>
        <w:spacing w:after="0" w:line="260" w:lineRule="auto"/>
        <w:rPr>
          <w:sz w:val="20"/>
          <w:szCs w:val="20"/>
          <w:color w:val="auto"/>
        </w:rPr>
      </w:pPr>
      <w:r>
        <w:rPr>
          <w:rFonts w:ascii="Times New Roman" w:cs="Times New Roman" w:eastAsia="Times New Roman" w:hAnsi="Times New Roman"/>
          <w:sz w:val="16"/>
          <w:szCs w:val="16"/>
          <w:i w:val="1"/>
          <w:iCs w:val="1"/>
          <w:color w:val="231F20"/>
        </w:rPr>
        <w:t>You should carefully consider the risks described below, together with the other information contained in this Quarterly Report, including in the section titled “Management’s Discussion and Analysis of Financial Condition and Results of Operations” and in our unaudited condensed consolidated financial statements and the related notes contained in this Quarterly Report and our audited consolidated financial statements and related notes included in the IPO Prospectus. The events discussed below may occur and adversely impact our business, financial condition, results of operations and prospects, which may cause the trading price of our common stock to decline. These risks and uncertainties described below are not the only ones we face. Additional risks and uncertainties not presently known to us or that we currently believe to be immaterial may also affect our business. See “Special Note Regarding Forward-Looking Statements.”</w:t>
      </w: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231F20"/>
        </w:rPr>
        <w:t>Risks Related to Our Financial Position and Need for Capital</w:t>
      </w:r>
    </w:p>
    <w:p>
      <w:pPr>
        <w:spacing w:after="0" w:line="266" w:lineRule="exact"/>
        <w:rPr>
          <w:sz w:val="20"/>
          <w:szCs w:val="20"/>
          <w:color w:val="auto"/>
        </w:rPr>
      </w:pPr>
    </w:p>
    <w:p>
      <w:pPr>
        <w:jc w:val="both"/>
        <w:ind w:left="40" w:right="59"/>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We are a clinical-stage biopharma company with a limited operating history and no products approved for commercial sale; we have incurred substantial losses since our inception, and we anticipate incurring substantial and increasing losses for the foreseeable future.</w:t>
      </w:r>
    </w:p>
    <w:p>
      <w:pPr>
        <w:spacing w:after="0" w:line="94" w:lineRule="exact"/>
        <w:rPr>
          <w:sz w:val="20"/>
          <w:szCs w:val="20"/>
          <w:color w:val="auto"/>
        </w:rPr>
      </w:pPr>
    </w:p>
    <w:p>
      <w:pPr>
        <w:jc w:val="both"/>
        <w:ind w:left="40" w:right="259" w:firstLine="325"/>
        <w:spacing w:after="0" w:line="272" w:lineRule="auto"/>
        <w:rPr>
          <w:sz w:val="20"/>
          <w:szCs w:val="20"/>
          <w:color w:val="auto"/>
        </w:rPr>
      </w:pPr>
      <w:r>
        <w:rPr>
          <w:rFonts w:ascii="Times New Roman" w:cs="Times New Roman" w:eastAsia="Times New Roman" w:hAnsi="Times New Roman"/>
          <w:sz w:val="16"/>
          <w:szCs w:val="16"/>
          <w:color w:val="231F20"/>
        </w:rPr>
        <w:t>We are a clinical-stage biopharma company with a limited operating history on which to base your investment decision. We have no product candidates approved for commercial sale in any country and have not generated any revenue from sales of products. Biopharmaceutical product development is a highly speculative undertaking, involving</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spacing w:after="0" w:line="272" w:lineRule="auto"/>
        <w:rPr>
          <w:sz w:val="20"/>
          <w:szCs w:val="20"/>
          <w:color w:val="auto"/>
        </w:rPr>
      </w:pPr>
      <w:r>
        <w:rPr>
          <w:rFonts w:ascii="Times New Roman" w:cs="Times New Roman" w:eastAsia="Times New Roman" w:hAnsi="Times New Roman"/>
          <w:sz w:val="16"/>
          <w:szCs w:val="16"/>
          <w:color w:val="231F20"/>
        </w:rPr>
        <w:t>substantial upfront capital expenditure and significant risk. Any product candidate may fail to demonstrate adequate efficacy or an acceptable safety profile, gain regulatory approval or become commercially viable, despite substantial investment on development or commercialization.</w:t>
      </w:r>
    </w:p>
    <w:p>
      <w:pPr>
        <w:spacing w:after="0" w:line="156" w:lineRule="exact"/>
        <w:rPr>
          <w:sz w:val="20"/>
          <w:szCs w:val="20"/>
          <w:color w:val="auto"/>
        </w:rPr>
      </w:pPr>
    </w:p>
    <w:p>
      <w:pPr>
        <w:jc w:val="both"/>
        <w:ind w:left="40" w:right="259" w:firstLine="325"/>
        <w:spacing w:after="0" w:line="260" w:lineRule="auto"/>
        <w:rPr>
          <w:sz w:val="20"/>
          <w:szCs w:val="20"/>
          <w:color w:val="auto"/>
        </w:rPr>
      </w:pPr>
      <w:r>
        <w:rPr>
          <w:rFonts w:ascii="Times New Roman" w:cs="Times New Roman" w:eastAsia="Times New Roman" w:hAnsi="Times New Roman"/>
          <w:sz w:val="16"/>
          <w:szCs w:val="16"/>
          <w:color w:val="231F20"/>
        </w:rPr>
        <w:t>We have incurred, and will continue to incur, significant expenses related to the clinical development of our product candidates and ongoing operations. Our net losses for the three and nine months ended September 30, 2024 were $38.6 million and $104.4 million, respectively, and we recorded net income of $35.6 million and a net loss of $12.5 million, for the three and nine months ended September 30, 2023, respectively. As of September 30, 2024, we had an accumulated deficit of 334.8 million. Substantially all of our operating losses have resulted from expenses incurred in connection with the acquisition and development of our pipeline and from general and administrative costs associated with our operations. We expect to incur significant losses for the foreseeable future, and we expect these losses to increase as we advance the development of our product candidates.</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231F20"/>
        </w:rPr>
        <w:t>We anticipate that our expenses will increase substantially if, and as, we:</w:t>
      </w:r>
    </w:p>
    <w:p>
      <w:pPr>
        <w:spacing w:after="0" w:line="207" w:lineRule="exact"/>
        <w:rPr>
          <w:sz w:val="20"/>
          <w:szCs w:val="20"/>
          <w:color w:val="auto"/>
        </w:rPr>
      </w:pPr>
    </w:p>
    <w:p>
      <w:pPr>
        <w:ind w:left="660" w:hanging="154"/>
        <w:spacing w:after="0"/>
        <w:tabs>
          <w:tab w:leader="none" w:pos="660" w:val="left"/>
        </w:tabs>
        <w:numPr>
          <w:ilvl w:val="0"/>
          <w:numId w:val="3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continue clinical development of obexelimab and our other programs;</w:t>
      </w:r>
    </w:p>
    <w:p>
      <w:pPr>
        <w:spacing w:after="0" w:line="121"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3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advance our obexelimab program and our other product candidates through preclinical development and clinical trials;</w:t>
      </w:r>
    </w:p>
    <w:p>
      <w:pPr>
        <w:spacing w:after="0" w:line="108"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3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identify additional product candidates and acquire rights from third parties to those product candidates through licenses or acquisitions and conduct development activities, including preclinical studies and clinical trials;</w:t>
      </w:r>
    </w:p>
    <w:p>
      <w:pPr>
        <w:spacing w:after="0" w:line="45"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3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make royalty, milestone or other payments under current, and any future, license or collaboration agreements;</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3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procure the manufacturing of preclinical, clinical and commercial supply of our current or any future product candidates;</w:t>
      </w:r>
    </w:p>
    <w:p>
      <w:pPr>
        <w:spacing w:after="0" w:line="108" w:lineRule="exact"/>
        <w:rPr>
          <w:rFonts w:ascii="Times New Roman" w:cs="Times New Roman" w:eastAsia="Times New Roman" w:hAnsi="Times New Roman"/>
          <w:sz w:val="16"/>
          <w:szCs w:val="16"/>
          <w:color w:val="231F20"/>
        </w:rPr>
      </w:pPr>
    </w:p>
    <w:p>
      <w:pPr>
        <w:ind w:left="660" w:right="279" w:hanging="154"/>
        <w:spacing w:after="0" w:line="264" w:lineRule="auto"/>
        <w:tabs>
          <w:tab w:leader="none" w:pos="660" w:val="left"/>
        </w:tabs>
        <w:numPr>
          <w:ilvl w:val="0"/>
          <w:numId w:val="3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seek marketing regulatory approvals for our current or any future product candidates that successfully complete clinical trials;</w:t>
      </w:r>
    </w:p>
    <w:p>
      <w:pPr>
        <w:spacing w:after="0" w:line="285"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3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commercialize our current or any future product candidates, if approved;</w:t>
      </w:r>
    </w:p>
    <w:p>
      <w:pPr>
        <w:spacing w:after="0" w:line="121"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3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take steps toward our goal of being an integrated biopharma company capable of supporting commercial activities, including establishing sales, marketing and distribution infrastructure;</w:t>
      </w:r>
    </w:p>
    <w:p>
      <w:pPr>
        <w:spacing w:after="0" w:line="45"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3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attract, hire and retain qualified clinical, scientific, operations and management personnel;</w:t>
      </w:r>
    </w:p>
    <w:p>
      <w:pPr>
        <w:spacing w:after="0" w:line="108"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3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seek to continue to develop, maintain and defend our intellectual property portfolio, including against third-party interference, infringement and other intellectual property claims, if any;</w:t>
      </w:r>
    </w:p>
    <w:p>
      <w:pPr>
        <w:spacing w:after="0" w:line="45"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3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add and maintain operational, financial and information management systems;</w:t>
      </w:r>
    </w:p>
    <w:p>
      <w:pPr>
        <w:spacing w:after="0" w:line="84"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3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attempt to address any competing therapies and market developments;</w:t>
      </w:r>
    </w:p>
    <w:p>
      <w:pPr>
        <w:spacing w:after="0" w:line="108"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3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experience delays in our preclinical studies, clinical trials or regulatory approval for our current or any future product candidates, including with respect to failed studies, inconclusive results, safety issues or other regulatory challenges;</w:t>
      </w:r>
    </w:p>
    <w:p>
      <w:pPr>
        <w:spacing w:after="0" w:line="45"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3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establish agreements with contract research organizations (“CROs”) and contract manufacturing organizations (“CMOs”); and</w:t>
      </w:r>
    </w:p>
    <w:p>
      <w:pPr>
        <w:spacing w:after="0" w:line="108" w:lineRule="exact"/>
        <w:rPr>
          <w:rFonts w:ascii="Times New Roman" w:cs="Times New Roman" w:eastAsia="Times New Roman" w:hAnsi="Times New Roman"/>
          <w:sz w:val="16"/>
          <w:szCs w:val="16"/>
          <w:color w:val="231F20"/>
        </w:rPr>
      </w:pPr>
    </w:p>
    <w:p>
      <w:pPr>
        <w:jc w:val="both"/>
        <w:ind w:left="660" w:right="279" w:hanging="154"/>
        <w:spacing w:after="0" w:line="272" w:lineRule="auto"/>
        <w:tabs>
          <w:tab w:leader="none" w:pos="660" w:val="left"/>
        </w:tabs>
        <w:numPr>
          <w:ilvl w:val="0"/>
          <w:numId w:val="3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incur additional costs associated with being a public company, including audit, legal, regulatory and tax-related services associated with maintaining compliance with an exchange listing and the Securities and Exchange Commission (the “SEC”) requirements, director and officer insurance premiums and investor relations costs.</w:t>
      </w:r>
    </w:p>
    <w:p>
      <w:pPr>
        <w:spacing w:after="0" w:line="82" w:lineRule="exact"/>
        <w:rPr>
          <w:sz w:val="20"/>
          <w:szCs w:val="20"/>
          <w:color w:val="auto"/>
        </w:rPr>
      </w:pPr>
    </w:p>
    <w:p>
      <w:pPr>
        <w:jc w:val="both"/>
        <w:ind w:left="40" w:right="259" w:firstLine="325"/>
        <w:spacing w:after="0" w:line="272" w:lineRule="auto"/>
        <w:rPr>
          <w:sz w:val="20"/>
          <w:szCs w:val="20"/>
          <w:color w:val="auto"/>
        </w:rPr>
      </w:pPr>
      <w:r>
        <w:rPr>
          <w:rFonts w:ascii="Times New Roman" w:cs="Times New Roman" w:eastAsia="Times New Roman" w:hAnsi="Times New Roman"/>
          <w:sz w:val="16"/>
          <w:szCs w:val="16"/>
          <w:color w:val="231F20"/>
        </w:rPr>
        <w:t>Even if we succeed in commercializing one or more product candidates, we expect to incur substantial expenditures to develop and market additional product candidates. We also may encounter unforeseen expenses, difficulties, complications, delays and other events that adversely affect our business. The size of our future net losses will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spacing w:after="0" w:line="289" w:lineRule="auto"/>
        <w:rPr>
          <w:sz w:val="20"/>
          <w:szCs w:val="20"/>
          <w:color w:val="auto"/>
        </w:rPr>
      </w:pPr>
      <w:r>
        <w:rPr>
          <w:rFonts w:ascii="Times New Roman" w:cs="Times New Roman" w:eastAsia="Times New Roman" w:hAnsi="Times New Roman"/>
          <w:sz w:val="16"/>
          <w:szCs w:val="16"/>
          <w:color w:val="231F20"/>
        </w:rPr>
        <w:t>depend, in part, on the rate that our expenses increase and our ability to generate revenue. Our prior losses and expected future losses have had and will continue to have an adverse effect on our stockholders’ equity and our working capital.</w:t>
      </w:r>
    </w:p>
    <w:p>
      <w:pPr>
        <w:spacing w:after="0" w:line="139" w:lineRule="exact"/>
        <w:rPr>
          <w:sz w:val="20"/>
          <w:szCs w:val="20"/>
          <w:color w:val="auto"/>
        </w:rPr>
      </w:pPr>
    </w:p>
    <w:p>
      <w:pPr>
        <w:ind w:left="40" w:right="59"/>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We will require substantial additional financing to achieve our goals, and failure to obtain additional capital when needed, or on acceptable terms, would cause us to delay, limit, reduce or terminate our product development efforts.</w:t>
      </w:r>
    </w:p>
    <w:p>
      <w:pPr>
        <w:spacing w:after="0" w:line="77" w:lineRule="exact"/>
        <w:rPr>
          <w:sz w:val="20"/>
          <w:szCs w:val="20"/>
          <w:color w:val="auto"/>
        </w:rPr>
      </w:pPr>
    </w:p>
    <w:p>
      <w:pPr>
        <w:jc w:val="both"/>
        <w:ind w:left="40" w:right="259" w:firstLine="325"/>
        <w:spacing w:after="0" w:line="260" w:lineRule="auto"/>
        <w:rPr>
          <w:sz w:val="20"/>
          <w:szCs w:val="20"/>
          <w:color w:val="auto"/>
        </w:rPr>
      </w:pPr>
      <w:r>
        <w:rPr>
          <w:rFonts w:ascii="Times New Roman" w:cs="Times New Roman" w:eastAsia="Times New Roman" w:hAnsi="Times New Roman"/>
          <w:sz w:val="16"/>
          <w:szCs w:val="16"/>
          <w:color w:val="231F20"/>
        </w:rPr>
        <w:t>The development of biopharmaceutical product candidates, including conducting preclinical studies and clinical trials, is a time consuming, capital-intensive and uncertain process. Our operations have consumed substantial amounts of cash since inception. We expect our expenses to substantially increase in connection with our ongoing and future activities. If we obtain regulatory approval for obexelimab or other product candidates, we also expect to incur significant commercialization expenses related to manufacturing, marketing, sales and distribution of such products. Because the outcome of any clinical trial or preclinical study is uncertain, we cannot reliably estimate the actual amount of capital necessary to successfully complete the development and commercialization of obexelimab and other product candidates.</w:t>
      </w:r>
    </w:p>
    <w:p>
      <w:pPr>
        <w:spacing w:after="0" w:line="167"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As of September 30, 2024, we had $386.8 million in cash, cash equivalents and investments. Based upon our current operating plan, we believe that our cash, cash equivalents and investments as of September 30, 2024 will be sufficient to fund our operating expenses and capital expenditure requirements into the fourth quarter of 2026. We have based this estimate on assumptions that may prove to be wrong, and we could exhaust our available capital resources sooner than we expect. We expect to attempt to raise additional cash in advance of exhausting our available capital resources.</w:t>
      </w:r>
    </w:p>
    <w:p>
      <w:pPr>
        <w:spacing w:after="0" w:line="164" w:lineRule="exact"/>
        <w:rPr>
          <w:sz w:val="20"/>
          <w:szCs w:val="20"/>
          <w:color w:val="auto"/>
        </w:rPr>
      </w:pPr>
    </w:p>
    <w:p>
      <w:pPr>
        <w:jc w:val="both"/>
        <w:ind w:left="40" w:right="259" w:firstLine="325"/>
        <w:spacing w:after="0" w:line="259" w:lineRule="auto"/>
        <w:rPr>
          <w:sz w:val="20"/>
          <w:szCs w:val="20"/>
          <w:color w:val="auto"/>
        </w:rPr>
      </w:pPr>
      <w:r>
        <w:rPr>
          <w:rFonts w:ascii="Times New Roman" w:cs="Times New Roman" w:eastAsia="Times New Roman" w:hAnsi="Times New Roman"/>
          <w:sz w:val="16"/>
          <w:szCs w:val="16"/>
          <w:color w:val="231F20"/>
        </w:rPr>
        <w:t>We will not generate revenue from product sales unless and until we successfully complete clinical development and obtain regulatory approval for a product candidate, and we may not ever generate significant revenue or profits. In addition, we expect to incur costs associated with operating as a public company, including significant legal, accounting, investor relations, and other expenses that we did not incur prior to our IPO. If we obtain regulatory approval for a product candidate and do not enter into a third-party commercialization partnership, we expect to incur significant expenses related to developing our commercialization capability to support product sales, marketing, manufacturing and distribution activities. We may also require additional capital to pursue in-licenses or acquisitions of other product candidates. As a result, we expect to incur substantial operating losses and negative operating cash flows for the foreseeable future.</w:t>
      </w:r>
    </w:p>
    <w:p>
      <w:pPr>
        <w:spacing w:after="0" w:line="169" w:lineRule="exact"/>
        <w:rPr>
          <w:sz w:val="20"/>
          <w:szCs w:val="20"/>
          <w:color w:val="auto"/>
        </w:rPr>
      </w:pPr>
    </w:p>
    <w:p>
      <w:pPr>
        <w:jc w:val="both"/>
        <w:ind w:left="40" w:right="259" w:firstLine="325"/>
        <w:spacing w:after="0" w:line="272" w:lineRule="auto"/>
        <w:rPr>
          <w:sz w:val="20"/>
          <w:szCs w:val="20"/>
          <w:color w:val="auto"/>
        </w:rPr>
      </w:pPr>
      <w:r>
        <w:rPr>
          <w:rFonts w:ascii="Times New Roman" w:cs="Times New Roman" w:eastAsia="Times New Roman" w:hAnsi="Times New Roman"/>
          <w:sz w:val="16"/>
          <w:szCs w:val="16"/>
          <w:color w:val="231F20"/>
        </w:rPr>
        <w:t>Because of the numerous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 including:</w:t>
      </w:r>
    </w:p>
    <w:p>
      <w:pPr>
        <w:spacing w:after="0" w:line="156" w:lineRule="exact"/>
        <w:rPr>
          <w:sz w:val="20"/>
          <w:szCs w:val="20"/>
          <w:color w:val="auto"/>
        </w:rPr>
      </w:pPr>
    </w:p>
    <w:p>
      <w:pPr>
        <w:ind w:left="660" w:right="279" w:hanging="154"/>
        <w:spacing w:after="0" w:line="289" w:lineRule="auto"/>
        <w:tabs>
          <w:tab w:leader="none" w:pos="660" w:val="left"/>
        </w:tabs>
        <w:numPr>
          <w:ilvl w:val="1"/>
          <w:numId w:val="3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scope, timing and progress of our ongoing obexelimab clinical studies and other research and development activities associated with the development of other and future product candidates;</w:t>
      </w:r>
    </w:p>
    <w:p>
      <w:pPr>
        <w:spacing w:after="0" w:line="20"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1"/>
          <w:numId w:val="3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number and scope of preclinical and clinical programs we decide to pursue;</w:t>
      </w:r>
    </w:p>
    <w:p>
      <w:pPr>
        <w:spacing w:after="0" w:line="96"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1"/>
          <w:numId w:val="3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ability to maintain our current research and development programs and to establish new programs;</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1"/>
          <w:numId w:val="3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timing of and successful patient enrollment in, and the initiation and completion of, clinical trials;</w:t>
      </w:r>
    </w:p>
    <w:p>
      <w:pPr>
        <w:spacing w:after="0" w:line="108" w:lineRule="exact"/>
        <w:rPr>
          <w:rFonts w:ascii="Times New Roman" w:cs="Times New Roman" w:eastAsia="Times New Roman" w:hAnsi="Times New Roman"/>
          <w:sz w:val="16"/>
          <w:szCs w:val="16"/>
          <w:color w:val="231F20"/>
        </w:rPr>
      </w:pPr>
    </w:p>
    <w:p>
      <w:pPr>
        <w:ind w:left="660" w:right="619" w:hanging="154"/>
        <w:spacing w:after="0" w:line="289" w:lineRule="auto"/>
        <w:tabs>
          <w:tab w:leader="none" w:pos="660" w:val="left"/>
        </w:tabs>
        <w:numPr>
          <w:ilvl w:val="1"/>
          <w:numId w:val="3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successful completion of clinical trials with safety, tolerability and efficacy profiles that are satisfactory to the FDA, or any comparable foreign regulatory authority;</w:t>
      </w:r>
    </w:p>
    <w:p>
      <w:pPr>
        <w:spacing w:after="0" w:line="32"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1"/>
          <w:numId w:val="3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timing, receipt and terms of any marketing approvals from applicable regulatory authorities;</w:t>
      </w:r>
    </w:p>
    <w:p>
      <w:pPr>
        <w:spacing w:after="0" w:line="96"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1"/>
          <w:numId w:val="3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ability to establish new licensing or collaboration arrangements;</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1"/>
          <w:numId w:val="3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performance of our future collaborators, if any;</w:t>
      </w:r>
    </w:p>
    <w:p>
      <w:pPr>
        <w:spacing w:after="0" w:line="108" w:lineRule="exact"/>
        <w:rPr>
          <w:rFonts w:ascii="Times New Roman" w:cs="Times New Roman" w:eastAsia="Times New Roman" w:hAnsi="Times New Roman"/>
          <w:sz w:val="16"/>
          <w:szCs w:val="16"/>
          <w:color w:val="231F20"/>
        </w:rPr>
      </w:pPr>
    </w:p>
    <w:p>
      <w:pPr>
        <w:ind w:left="660" w:right="399" w:hanging="173"/>
        <w:spacing w:after="0" w:line="289" w:lineRule="auto"/>
        <w:tabs>
          <w:tab w:leader="none" w:pos="659" w:val="left"/>
        </w:tabs>
        <w:numPr>
          <w:ilvl w:val="0"/>
          <w:numId w:val="3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ability to establish arrangements with third-party manufacturers for the commercial supply of products that receive marketing approval, if any;</w:t>
      </w:r>
    </w:p>
    <w:p>
      <w:pPr>
        <w:spacing w:after="0" w:line="32" w:lineRule="exact"/>
        <w:rPr>
          <w:rFonts w:ascii="Times New Roman" w:cs="Times New Roman" w:eastAsia="Times New Roman" w:hAnsi="Times New Roman"/>
          <w:sz w:val="16"/>
          <w:szCs w:val="16"/>
          <w:color w:val="231F20"/>
        </w:rPr>
      </w:pPr>
    </w:p>
    <w:p>
      <w:pPr>
        <w:ind w:left="660" w:right="359" w:hanging="154"/>
        <w:spacing w:after="0" w:line="289" w:lineRule="auto"/>
        <w:tabs>
          <w:tab w:leader="none" w:pos="660" w:val="left"/>
        </w:tabs>
        <w:numPr>
          <w:ilvl w:val="1"/>
          <w:numId w:val="3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development and timely delivery of commercial-grade drug formulations that can be used in our planned clinical trials and for commercialization;</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7309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hanging="154"/>
        <w:spacing w:after="0"/>
        <w:tabs>
          <w:tab w:leader="none" w:pos="660" w:val="left"/>
        </w:tabs>
        <w:numPr>
          <w:ilvl w:val="0"/>
          <w:numId w:val="3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obtaining, maintaining, defending and enforcing patent claims and other intellectual property rights;</w:t>
      </w:r>
    </w:p>
    <w:p>
      <w:pPr>
        <w:spacing w:after="0" w:line="108"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3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ability to hire additional personnel and consultants as our business grows, including additional executive officers and clinical development, regulatory, chemistry, manufacturing and controls, quality and commercial personnel;</w:t>
      </w:r>
    </w:p>
    <w:p>
      <w:pPr>
        <w:spacing w:after="0" w:line="32"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3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commercializing product candidates, if approved, whether alone or in collaboration with others;</w:t>
      </w:r>
    </w:p>
    <w:p>
      <w:pPr>
        <w:spacing w:after="0" w:line="96" w:lineRule="exact"/>
        <w:rPr>
          <w:rFonts w:ascii="Times New Roman" w:cs="Times New Roman" w:eastAsia="Times New Roman" w:hAnsi="Times New Roman"/>
          <w:sz w:val="16"/>
          <w:szCs w:val="16"/>
          <w:color w:val="231F20"/>
        </w:rPr>
      </w:pPr>
    </w:p>
    <w:p>
      <w:pPr>
        <w:ind w:left="660" w:right="879" w:hanging="154"/>
        <w:spacing w:after="0" w:line="289" w:lineRule="auto"/>
        <w:tabs>
          <w:tab w:leader="none" w:pos="660" w:val="left"/>
        </w:tabs>
        <w:numPr>
          <w:ilvl w:val="0"/>
          <w:numId w:val="3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costs and timing of establishing or securing sales and marketing capabilities for our product candidates, if approved;</w:t>
      </w:r>
    </w:p>
    <w:p>
      <w:pPr>
        <w:spacing w:after="0" w:line="45" w:lineRule="exact"/>
        <w:rPr>
          <w:rFonts w:ascii="Times New Roman" w:cs="Times New Roman" w:eastAsia="Times New Roman" w:hAnsi="Times New Roman"/>
          <w:sz w:val="16"/>
          <w:szCs w:val="16"/>
          <w:color w:val="231F20"/>
        </w:rPr>
      </w:pPr>
    </w:p>
    <w:p>
      <w:pPr>
        <w:ind w:left="660" w:right="299" w:hanging="154"/>
        <w:spacing w:after="0" w:line="289" w:lineRule="auto"/>
        <w:tabs>
          <w:tab w:leader="none" w:pos="660" w:val="left"/>
        </w:tabs>
        <w:numPr>
          <w:ilvl w:val="0"/>
          <w:numId w:val="3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ability to achieve sufficient market acceptance, coverage and adequate reimbursement from third-party payors and adequate market share and revenue for any approved products; and</w:t>
      </w:r>
    </w:p>
    <w:p>
      <w:pPr>
        <w:spacing w:after="0" w:line="32"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3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maintaining a continued acceptable safety profile of the product candidates following approval.</w:t>
      </w:r>
    </w:p>
    <w:p>
      <w:pPr>
        <w:spacing w:after="0" w:line="133" w:lineRule="exact"/>
        <w:rPr>
          <w:sz w:val="20"/>
          <w:szCs w:val="20"/>
          <w:color w:val="auto"/>
        </w:rPr>
      </w:pPr>
    </w:p>
    <w:p>
      <w:pPr>
        <w:jc w:val="both"/>
        <w:ind w:left="40" w:right="259" w:firstLine="325"/>
        <w:spacing w:after="0" w:line="259" w:lineRule="auto"/>
        <w:rPr>
          <w:sz w:val="20"/>
          <w:szCs w:val="20"/>
          <w:color w:val="auto"/>
        </w:rPr>
      </w:pPr>
      <w:r>
        <w:rPr>
          <w:rFonts w:ascii="Times New Roman" w:cs="Times New Roman" w:eastAsia="Times New Roman" w:hAnsi="Times New Roman"/>
          <w:sz w:val="16"/>
          <w:szCs w:val="16"/>
          <w:color w:val="231F20"/>
        </w:rPr>
        <w:t>We expect that our commercial revenue, if any, will initially be derived from sales of obexelimab, which we do not expect to be commercially available for several years, if ever. Accordingly, we will need to continue to rely on additional financing to achieve our business objectives. Adequate additional financing may not be available to us on acceptable terms, or at all, including as a result of financial and credit market deterioration or instability, market-wide liquidity shortages, geopolitical events or otherwise. If we are unable to raise sufficient additional capital, we would be forced to curtail our planned operations and the pursuit of our growth strategy.</w:t>
      </w:r>
    </w:p>
    <w:p>
      <w:pPr>
        <w:spacing w:after="0" w:line="358" w:lineRule="exact"/>
        <w:rPr>
          <w:sz w:val="20"/>
          <w:szCs w:val="20"/>
          <w:color w:val="auto"/>
        </w:rPr>
      </w:pPr>
    </w:p>
    <w:p>
      <w:pPr>
        <w:ind w:left="40" w:right="59"/>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Raising additional capital may cause dilution to our stockholders imposing restrictions on our operations or require us to relinquish rights to our product candidates.</w:t>
      </w:r>
    </w:p>
    <w:p>
      <w:pPr>
        <w:spacing w:after="0" w:line="77" w:lineRule="exact"/>
        <w:rPr>
          <w:sz w:val="20"/>
          <w:szCs w:val="20"/>
          <w:color w:val="auto"/>
        </w:rPr>
      </w:pPr>
    </w:p>
    <w:p>
      <w:pPr>
        <w:jc w:val="both"/>
        <w:ind w:left="40" w:right="259" w:firstLine="325"/>
        <w:spacing w:after="0" w:line="259" w:lineRule="auto"/>
        <w:rPr>
          <w:sz w:val="20"/>
          <w:szCs w:val="20"/>
          <w:color w:val="auto"/>
        </w:rPr>
      </w:pPr>
      <w:r>
        <w:rPr>
          <w:rFonts w:ascii="Times New Roman" w:cs="Times New Roman" w:eastAsia="Times New Roman" w:hAnsi="Times New Roman"/>
          <w:sz w:val="16"/>
          <w:szCs w:val="16"/>
          <w:color w:val="231F20"/>
        </w:rPr>
        <w:t>Until such time, if ever, that we generate substantial product revenue, we expect to finance our cash needs through equity offerings, debt financings or other capital sources, including potential collaborations, licenses and other arrangements. To the extent that we raise additional capital through the sale of equity or convertible debt securities, your ownership interest will be diluted, and the terms of these securities may include liquidation or other preferences that adversely affect your rights as a holder of our common stock. Any future debt or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w:t>
      </w:r>
    </w:p>
    <w:p>
      <w:pPr>
        <w:spacing w:after="0" w:line="169"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If we raise additional funds through future collaborations, licenses and other arrangements, we likely would relinquish valuable rights to our potential future revenue streams or product candidates. We also may grant licenses on terms that may not be favorable to us or that reduce the value of our common stock. If we are unable to raise additional funds through equity or debt financings or other arrangements when needed, or on acceptable terms, we would be required to delay, limit, reduce or terminate our product development efforts or grant rights to develop and market product candidates that we would otherwise prefer to develop and market ourselves.</w:t>
      </w:r>
    </w:p>
    <w:p>
      <w:pPr>
        <w:spacing w:after="0" w:line="164" w:lineRule="exact"/>
        <w:rPr>
          <w:sz w:val="20"/>
          <w:szCs w:val="20"/>
          <w:color w:val="auto"/>
        </w:rPr>
      </w:pPr>
    </w:p>
    <w:p>
      <w:pPr>
        <w:jc w:val="both"/>
        <w:ind w:left="40" w:right="259" w:firstLine="325"/>
        <w:spacing w:after="0" w:line="271" w:lineRule="auto"/>
        <w:rPr>
          <w:sz w:val="20"/>
          <w:szCs w:val="20"/>
          <w:color w:val="auto"/>
        </w:rPr>
      </w:pPr>
      <w:r>
        <w:rPr>
          <w:rFonts w:ascii="Times New Roman" w:cs="Times New Roman" w:eastAsia="Times New Roman" w:hAnsi="Times New Roman"/>
          <w:sz w:val="16"/>
          <w:szCs w:val="16"/>
          <w:color w:val="231F20"/>
        </w:rPr>
        <w:t>Further, we may not be able to access a portion of our existing cash due to market conditions. If banks and financial institutions with whom we hold accounts enter receivership or become insolvent in the future in response to financial conditions affecting the banking system and financial markets, our ability to access our existing cash may be threatened and could have a material adverse effect on our business and financial condition.</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231F20"/>
        </w:rPr>
        <w:t>Risks Related to Product Candidate Development and Commercialization</w:t>
      </w:r>
    </w:p>
    <w:p>
      <w:pPr>
        <w:spacing w:after="0" w:line="302" w:lineRule="exact"/>
        <w:rPr>
          <w:sz w:val="20"/>
          <w:szCs w:val="20"/>
          <w:color w:val="auto"/>
        </w:rPr>
      </w:pPr>
    </w:p>
    <w:p>
      <w:pPr>
        <w:jc w:val="both"/>
        <w:ind w:left="40" w:right="59"/>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Clinical development is lengthy and expensive, characterized by uncertain outcomes, with results of earlier studies and trials often failing to predict future trial results or results in other indications of a product candidate. We may incur additional costs or experience delays in completing, or fail to complete, the development and commercialization of our current product candidates or any future product candidates.</w:t>
      </w:r>
    </w:p>
    <w:p>
      <w:pPr>
        <w:spacing w:after="0" w:line="98" w:lineRule="exact"/>
        <w:rPr>
          <w:sz w:val="20"/>
          <w:szCs w:val="20"/>
          <w:color w:val="auto"/>
        </w:rPr>
      </w:pPr>
    </w:p>
    <w:p>
      <w:pPr>
        <w:ind w:left="40" w:right="259" w:firstLine="325"/>
        <w:spacing w:after="0" w:line="289" w:lineRule="auto"/>
        <w:rPr>
          <w:sz w:val="20"/>
          <w:szCs w:val="20"/>
          <w:color w:val="auto"/>
        </w:rPr>
      </w:pPr>
      <w:r>
        <w:rPr>
          <w:rFonts w:ascii="Times New Roman" w:cs="Times New Roman" w:eastAsia="Times New Roman" w:hAnsi="Times New Roman"/>
          <w:sz w:val="16"/>
          <w:szCs w:val="16"/>
          <w:color w:val="231F20"/>
        </w:rPr>
        <w:t>We face substantial risk of failure with our product candidates and we may fail to receive regulatory approval for any of our product candidates. To obtain the requisite regulatory approvals to commercialize any product candidate, we</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spacing w:after="0" w:line="264" w:lineRule="auto"/>
        <w:rPr>
          <w:sz w:val="20"/>
          <w:szCs w:val="20"/>
          <w:color w:val="auto"/>
        </w:rPr>
      </w:pPr>
      <w:r>
        <w:rPr>
          <w:rFonts w:ascii="Times New Roman" w:cs="Times New Roman" w:eastAsia="Times New Roman" w:hAnsi="Times New Roman"/>
          <w:sz w:val="16"/>
          <w:szCs w:val="16"/>
          <w:color w:val="231F20"/>
        </w:rPr>
        <w:t>must demonstrate, through extensive preclinical studies and lengthy, complex and expensive clinical trials, that a product candidate is safe, pure and potent and has a favorable risk-benefit profile. Clinical testing often takes many years to complete, and its outcome is inherently uncertain. The results of preclinical studies and early clinical trials of our product candidates may not predict results of later-stage clinical trials, and results in one indication may not predict results for the same product candidate in another indication. Differences in trial design between early-stage clinical trials and later-stage clinical trials raise challenges for extrapolating the results of earlier clinical trials to later clinical trials.</w:t>
      </w:r>
    </w:p>
    <w:p>
      <w:pPr>
        <w:spacing w:after="0" w:line="165" w:lineRule="exact"/>
        <w:rPr>
          <w:sz w:val="20"/>
          <w:szCs w:val="20"/>
          <w:color w:val="auto"/>
        </w:rPr>
      </w:pPr>
    </w:p>
    <w:p>
      <w:pPr>
        <w:jc w:val="both"/>
        <w:ind w:left="40" w:right="259" w:firstLine="325"/>
        <w:spacing w:after="0" w:line="261" w:lineRule="auto"/>
        <w:rPr>
          <w:sz w:val="20"/>
          <w:szCs w:val="20"/>
          <w:color w:val="auto"/>
        </w:rPr>
      </w:pPr>
      <w:r>
        <w:rPr>
          <w:rFonts w:ascii="Times New Roman" w:cs="Times New Roman" w:eastAsia="Times New Roman" w:hAnsi="Times New Roman"/>
          <w:sz w:val="16"/>
          <w:szCs w:val="16"/>
          <w:color w:val="231F20"/>
        </w:rPr>
        <w:t>A number of companies in the biopharmaceutical industry have suffered significant setbacks in advanced clinical trials due to lack of efficacy or unfavorable safety profiles, notwithstanding promising results in earlier trials. For example, we are developing obexelimab as a potential treatment for IgG4-RD, MS, SLE and wAIHA. Prior to our acquisition of obexelimab, Xencor conducted a Phase 2 trial of obexelimab in patients with SLE, where the primary endpoint was not achieved with statistical significance. The results of our clinical trials of obexelimab in SLE or other indications or our clinical trials for any other product candidates may not achieve statistical significance or demonstrate a favorable risk-benefit profile. Further, negative clinical trial results for a product candidate with respect to one indication may impact the potential or perceived potential of other indications. Moreover, clinical data are often susceptible to varying interpretations and analyses, and many companies that have believed their product candidates performed satisfactorily in clinical trials have nonetheless failed to obtain marketing approval of such product candidates.</w:t>
      </w:r>
    </w:p>
    <w:p>
      <w:pPr>
        <w:spacing w:after="0" w:line="164"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Commencing any future clinical trials is subject to finalizing the trial design and submitting an application, such as an IND, to the FDA or a comparable foreign regulatory authority. Even after the submission of an IND, the FDA or comparable foreign regulatory authorities could disagree that their requirements to commence a clinical trial have been satisfied or disagree with the study design, which may require the completion of additional trials or the amendment of the trial’s protocols or the imposition of stricter conditions on the commencement of the clinical trial. We may be unable to establish clinical endpoints, dose levels and regimens or bioanalytical assay methods that regulatory authorities would consider clinically meaningful. A high failure rate characterizes product candidates proceeding through clinical trials, and failure may occur at all stages of the clinical trial process. Most product candidates that commence clinical trials are never approved as products, and our current or future clinical trials ultimately may fail to support the approval of our current or any future product candidates.</w:t>
      </w:r>
    </w:p>
    <w:p>
      <w:pPr>
        <w:spacing w:after="0" w:line="175" w:lineRule="exact"/>
        <w:rPr>
          <w:sz w:val="20"/>
          <w:szCs w:val="20"/>
          <w:color w:val="auto"/>
        </w:rPr>
      </w:pPr>
    </w:p>
    <w:p>
      <w:pPr>
        <w:jc w:val="both"/>
        <w:ind w:left="40" w:right="259" w:firstLine="325"/>
        <w:spacing w:after="0" w:line="266" w:lineRule="auto"/>
        <w:rPr>
          <w:sz w:val="20"/>
          <w:szCs w:val="20"/>
          <w:color w:val="auto"/>
        </w:rPr>
      </w:pPr>
      <w:r>
        <w:rPr>
          <w:rFonts w:ascii="Times New Roman" w:cs="Times New Roman" w:eastAsia="Times New Roman" w:hAnsi="Times New Roman"/>
          <w:sz w:val="16"/>
          <w:szCs w:val="16"/>
          <w:color w:val="231F20"/>
        </w:rPr>
        <w:t>We expect to continue to rely, in part, on collaborators, CROs and clinical trial sites to conduct our clinical trials, including participant enrollment, and we have limited influence over their performance. We or our collaborators may experience delays in initiating or completing clinical trials and preclinical studies or other issues that delay or prevent our ability to receive marketing approval or commercialize our current and any future product candidates, including:</w:t>
      </w:r>
    </w:p>
    <w:p>
      <w:pPr>
        <w:spacing w:after="0" w:line="173" w:lineRule="exact"/>
        <w:rPr>
          <w:sz w:val="20"/>
          <w:szCs w:val="20"/>
          <w:color w:val="auto"/>
        </w:rPr>
      </w:pPr>
    </w:p>
    <w:p>
      <w:pPr>
        <w:ind w:left="660" w:right="619" w:hanging="154"/>
        <w:spacing w:after="0" w:line="289" w:lineRule="auto"/>
        <w:tabs>
          <w:tab w:leader="none" w:pos="660" w:val="left"/>
        </w:tabs>
        <w:numPr>
          <w:ilvl w:val="0"/>
          <w:numId w:val="4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FDA or comparable foreign regulatory authorities may require us to conduct additional preclinical studies or impose additional requirements before permitting us to initiate a clinical trial;</w:t>
      </w:r>
    </w:p>
    <w:p>
      <w:pPr>
        <w:spacing w:after="0" w:line="57" w:lineRule="exact"/>
        <w:rPr>
          <w:rFonts w:ascii="Times New Roman" w:cs="Times New Roman" w:eastAsia="Times New Roman" w:hAnsi="Times New Roman"/>
          <w:sz w:val="16"/>
          <w:szCs w:val="16"/>
          <w:color w:val="231F20"/>
        </w:rPr>
      </w:pPr>
    </w:p>
    <w:p>
      <w:pPr>
        <w:jc w:val="both"/>
        <w:ind w:left="660" w:right="359" w:hanging="154"/>
        <w:spacing w:after="0" w:line="272" w:lineRule="auto"/>
        <w:tabs>
          <w:tab w:leader="none" w:pos="660" w:val="left"/>
        </w:tabs>
        <w:numPr>
          <w:ilvl w:val="0"/>
          <w:numId w:val="4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FDA or comparable foreign regulatory authorities, Institutional Review Boards (“IRBs”) or ethics committees may disagree with our study design, may require that we modify or amend our clinical trial protocols, or may not authorize us or our investigators to commence or conduct a clinical trial at a prospective trial site;</w:t>
      </w:r>
    </w:p>
    <w:p>
      <w:pPr>
        <w:spacing w:after="0" w:line="57" w:lineRule="exact"/>
        <w:rPr>
          <w:rFonts w:ascii="Times New Roman" w:cs="Times New Roman" w:eastAsia="Times New Roman" w:hAnsi="Times New Roman"/>
          <w:sz w:val="16"/>
          <w:szCs w:val="16"/>
          <w:color w:val="231F20"/>
        </w:rPr>
      </w:pPr>
    </w:p>
    <w:p>
      <w:pPr>
        <w:ind w:left="660" w:right="279" w:hanging="154"/>
        <w:spacing w:after="0" w:line="305" w:lineRule="auto"/>
        <w:tabs>
          <w:tab w:leader="none" w:pos="660" w:val="left"/>
        </w:tabs>
        <w:numPr>
          <w:ilvl w:val="0"/>
          <w:numId w:val="4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we may experience delays in reaching, or fail to reach, agreement on acceptable terms with trial sites and CROs, the terms of which can be subject to extensive negotiation and may vary significantly;</w:t>
      </w:r>
    </w:p>
    <w:p>
      <w:pPr>
        <w:spacing w:after="0" w:line="32" w:lineRule="exact"/>
        <w:rPr>
          <w:rFonts w:ascii="Times New Roman" w:cs="Times New Roman" w:eastAsia="Times New Roman" w:hAnsi="Times New Roman"/>
          <w:sz w:val="16"/>
          <w:szCs w:val="16"/>
          <w:color w:val="231F20"/>
        </w:rPr>
      </w:pPr>
    </w:p>
    <w:p>
      <w:pPr>
        <w:ind w:left="660" w:right="279" w:hanging="154"/>
        <w:spacing w:after="0" w:line="305" w:lineRule="auto"/>
        <w:tabs>
          <w:tab w:leader="none" w:pos="660" w:val="left"/>
        </w:tabs>
        <w:numPr>
          <w:ilvl w:val="0"/>
          <w:numId w:val="4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clinical investigators or clinical trial sites may deviate from trial protocols or Good Clinical Practice requirements (“GCPs”) or drop out of a trial, and we may need to add new investigators or sites;</w:t>
      </w:r>
    </w:p>
    <w:p>
      <w:pPr>
        <w:spacing w:after="0" w:line="32" w:lineRule="exact"/>
        <w:rPr>
          <w:rFonts w:ascii="Times New Roman" w:cs="Times New Roman" w:eastAsia="Times New Roman" w:hAnsi="Times New Roman"/>
          <w:sz w:val="16"/>
          <w:szCs w:val="16"/>
          <w:color w:val="231F20"/>
        </w:rPr>
      </w:pPr>
    </w:p>
    <w:p>
      <w:pPr>
        <w:ind w:left="660" w:right="279" w:hanging="154"/>
        <w:spacing w:after="0" w:line="305" w:lineRule="auto"/>
        <w:tabs>
          <w:tab w:leader="none" w:pos="660" w:val="left"/>
        </w:tabs>
        <w:numPr>
          <w:ilvl w:val="0"/>
          <w:numId w:val="4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CROs may fail to comply with regulatory requirements or meet their contractual obligations to us in a timely manner, if at all;</w:t>
      </w:r>
    </w:p>
    <w:p>
      <w:pPr>
        <w:spacing w:after="0" w:line="32" w:lineRule="exact"/>
        <w:rPr>
          <w:rFonts w:ascii="Times New Roman" w:cs="Times New Roman" w:eastAsia="Times New Roman" w:hAnsi="Times New Roman"/>
          <w:sz w:val="16"/>
          <w:szCs w:val="16"/>
          <w:color w:val="231F20"/>
        </w:rPr>
      </w:pPr>
    </w:p>
    <w:p>
      <w:pPr>
        <w:jc w:val="both"/>
        <w:ind w:left="660" w:right="279" w:hanging="154"/>
        <w:spacing w:after="0" w:line="305" w:lineRule="auto"/>
        <w:tabs>
          <w:tab w:leader="none" w:pos="660" w:val="left"/>
        </w:tabs>
        <w:numPr>
          <w:ilvl w:val="0"/>
          <w:numId w:val="4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number of participants required for clinical trials may be larger than expected, enrollment in clinical trials may be slower than expected or participants may drop out or fail to return for post-treatment follow-up at a higher rate than expected;</w:t>
      </w:r>
    </w:p>
    <w:p>
      <w:pPr>
        <w:spacing w:after="0" w:line="32"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4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we may observe unexpectedly high placebo response rates;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279" w:hanging="154"/>
        <w:spacing w:after="0" w:line="305" w:lineRule="auto"/>
        <w:tabs>
          <w:tab w:leader="none" w:pos="660" w:val="left"/>
        </w:tabs>
        <w:numPr>
          <w:ilvl w:val="0"/>
          <w:numId w:val="4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cost of clinical trials and preclinical studies may be greater than we anticipate, or we may have insufficient funds to conduct such trial or study or to pay the substantial user fees required by the FDA upon the submission of a BLA;</w:t>
      </w:r>
    </w:p>
    <w:p>
      <w:pPr>
        <w:spacing w:after="0" w:line="32" w:lineRule="exact"/>
        <w:rPr>
          <w:rFonts w:ascii="Times New Roman" w:cs="Times New Roman" w:eastAsia="Times New Roman" w:hAnsi="Times New Roman"/>
          <w:sz w:val="16"/>
          <w:szCs w:val="16"/>
          <w:color w:val="231F20"/>
        </w:rPr>
      </w:pPr>
    </w:p>
    <w:p>
      <w:pPr>
        <w:ind w:left="660" w:right="279" w:hanging="154"/>
        <w:spacing w:after="0" w:line="305" w:lineRule="auto"/>
        <w:tabs>
          <w:tab w:leader="none" w:pos="660" w:val="left"/>
        </w:tabs>
        <w:numPr>
          <w:ilvl w:val="0"/>
          <w:numId w:val="4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supply or quality of our product candidates or other materials necessary to conduct our clinical trials or preclinical studies may be insufficient or inadequate to initiate or complete a given clinical trial;</w:t>
      </w:r>
    </w:p>
    <w:p>
      <w:pPr>
        <w:spacing w:after="0" w:line="32" w:lineRule="exact"/>
        <w:rPr>
          <w:rFonts w:ascii="Times New Roman" w:cs="Times New Roman" w:eastAsia="Times New Roman" w:hAnsi="Times New Roman"/>
          <w:sz w:val="16"/>
          <w:szCs w:val="16"/>
          <w:color w:val="231F20"/>
        </w:rPr>
      </w:pPr>
    </w:p>
    <w:p>
      <w:pPr>
        <w:ind w:left="660" w:right="279" w:hanging="154"/>
        <w:spacing w:after="0" w:line="305" w:lineRule="auto"/>
        <w:tabs>
          <w:tab w:leader="none" w:pos="660" w:val="left"/>
        </w:tabs>
        <w:numPr>
          <w:ilvl w:val="0"/>
          <w:numId w:val="4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product candidates may have undesirable side effects or other unexpected characteristics that are viewed to outweigh their potential benefits;</w:t>
      </w:r>
    </w:p>
    <w:p>
      <w:pPr>
        <w:spacing w:after="0" w:line="32" w:lineRule="exact"/>
        <w:rPr>
          <w:rFonts w:ascii="Times New Roman" w:cs="Times New Roman" w:eastAsia="Times New Roman" w:hAnsi="Times New Roman"/>
          <w:sz w:val="16"/>
          <w:szCs w:val="16"/>
          <w:color w:val="231F20"/>
        </w:rPr>
      </w:pPr>
    </w:p>
    <w:p>
      <w:pPr>
        <w:ind w:left="660" w:right="279" w:hanging="154"/>
        <w:spacing w:after="0" w:line="305" w:lineRule="auto"/>
        <w:tabs>
          <w:tab w:leader="none" w:pos="660" w:val="left"/>
        </w:tabs>
        <w:numPr>
          <w:ilvl w:val="0"/>
          <w:numId w:val="4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reports from clinical testing of other similar therapies may raise safety, tolerability or efficacy concerns about our product candidates; and</w:t>
      </w:r>
    </w:p>
    <w:p>
      <w:pPr>
        <w:spacing w:after="0" w:line="32" w:lineRule="exact"/>
        <w:rPr>
          <w:rFonts w:ascii="Times New Roman" w:cs="Times New Roman" w:eastAsia="Times New Roman" w:hAnsi="Times New Roman"/>
          <w:sz w:val="16"/>
          <w:szCs w:val="16"/>
          <w:color w:val="231F20"/>
        </w:rPr>
      </w:pPr>
    </w:p>
    <w:p>
      <w:pPr>
        <w:jc w:val="both"/>
        <w:ind w:left="660" w:right="279" w:hanging="154"/>
        <w:spacing w:after="0" w:line="277" w:lineRule="auto"/>
        <w:tabs>
          <w:tab w:leader="none" w:pos="660" w:val="left"/>
        </w:tabs>
        <w:numPr>
          <w:ilvl w:val="0"/>
          <w:numId w:val="4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preclinical studies or we may decide to abandon product candidate development.</w:t>
      </w:r>
    </w:p>
    <w:p>
      <w:pPr>
        <w:spacing w:after="0" w:line="103" w:lineRule="exact"/>
        <w:rPr>
          <w:sz w:val="20"/>
          <w:szCs w:val="20"/>
          <w:color w:val="auto"/>
        </w:rPr>
      </w:pPr>
    </w:p>
    <w:p>
      <w:pPr>
        <w:jc w:val="both"/>
        <w:ind w:left="40" w:right="259" w:firstLine="325"/>
        <w:spacing w:after="0" w:line="271" w:lineRule="auto"/>
        <w:rPr>
          <w:sz w:val="20"/>
          <w:szCs w:val="20"/>
          <w:color w:val="auto"/>
        </w:rPr>
      </w:pPr>
      <w:r>
        <w:rPr>
          <w:rFonts w:ascii="Times New Roman" w:cs="Times New Roman" w:eastAsia="Times New Roman" w:hAnsi="Times New Roman"/>
          <w:sz w:val="16"/>
          <w:szCs w:val="16"/>
          <w:color w:val="231F20"/>
        </w:rPr>
        <w:t>In addition, delays occur when a clinical trial is suspended, put on clinical hold or terminated by the trial sponsor, the FDA or comparable foreign regulatory authorities, or the IRBs of the institutions in which such trials are being conducted, or when a clinical trial is recommended for suspension or termination by a data safety monitoring board. Suspensions and terminations are imposed due to a number of factors, including failure to conduct a clinical trial in accordance with regulatory requirements or trial protocols, failure to conduct the trial in accordance with GCPs or applicable regulatory guidelines, failed inspections of clinical trial operations or trial sites by the FDA or comparable foreign regulatory authorities, unforeseen safety issues or adverse side effects, failure to establish or achieve clinically meaningful trial endpoints, changes in governmental regulations or administrative actions or lack of adequate funding to continue the clinical trial.</w:t>
      </w:r>
    </w:p>
    <w:p>
      <w:pPr>
        <w:spacing w:after="0" w:line="156" w:lineRule="exact"/>
        <w:rPr>
          <w:sz w:val="20"/>
          <w:szCs w:val="20"/>
          <w:color w:val="auto"/>
        </w:rPr>
      </w:pPr>
    </w:p>
    <w:p>
      <w:pPr>
        <w:jc w:val="both"/>
        <w:ind w:left="40" w:right="259" w:firstLine="325"/>
        <w:spacing w:after="0" w:line="271" w:lineRule="auto"/>
        <w:rPr>
          <w:sz w:val="20"/>
          <w:szCs w:val="20"/>
          <w:color w:val="auto"/>
        </w:rPr>
      </w:pPr>
      <w:r>
        <w:rPr>
          <w:rFonts w:ascii="Times New Roman" w:cs="Times New Roman" w:eastAsia="Times New Roman" w:hAnsi="Times New Roman"/>
          <w:sz w:val="16"/>
          <w:szCs w:val="16"/>
          <w:color w:val="231F20"/>
        </w:rPr>
        <w:t>Clinical trials frequently are delayed or terminated as a result of ambiguous or negative interim results or unanticipated adverse events. If trials or tests are not positive or are only modestly positive or if there are safety concerns, we may be required to repeat or conduct additional clinical trials or preclinical studies for our product candidates beyond those that we currently contemplate, we may be delayed in or prevented from obtaining marketing approval or may obtain marketing approval in some countries and not in others, we may obtain approval for indications or patient populations that are not as broad as intended or desired or obtain approval with significant use or distribution restrictions or safety warnings, be subject to post-marketing testing requirements, or be subject to increased pricing pressure.</w:t>
      </w:r>
    </w:p>
    <w:p>
      <w:pPr>
        <w:spacing w:after="0" w:line="169" w:lineRule="exact"/>
        <w:rPr>
          <w:sz w:val="20"/>
          <w:szCs w:val="20"/>
          <w:color w:val="auto"/>
        </w:rPr>
      </w:pPr>
    </w:p>
    <w:p>
      <w:pPr>
        <w:jc w:val="both"/>
        <w:ind w:left="40" w:right="259" w:firstLine="325"/>
        <w:spacing w:after="0" w:line="277" w:lineRule="auto"/>
        <w:rPr>
          <w:sz w:val="20"/>
          <w:szCs w:val="20"/>
          <w:color w:val="auto"/>
        </w:rPr>
      </w:pPr>
      <w:r>
        <w:rPr>
          <w:rFonts w:ascii="Times New Roman" w:cs="Times New Roman" w:eastAsia="Times New Roman" w:hAnsi="Times New Roman"/>
          <w:sz w:val="16"/>
          <w:szCs w:val="16"/>
          <w:color w:val="231F20"/>
        </w:rPr>
        <w:t>Many of the factors that cause, or lead to, a delay in the commencement or completion of clinical trials also ultimately may lead to the denial of regulatory approval of a product candidate.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51" w:lineRule="exact"/>
        <w:rPr>
          <w:sz w:val="20"/>
          <w:szCs w:val="20"/>
          <w:color w:val="auto"/>
        </w:rPr>
      </w:pPr>
    </w:p>
    <w:p>
      <w:pPr>
        <w:jc w:val="both"/>
        <w:ind w:left="40" w:right="259" w:firstLine="325"/>
        <w:spacing w:after="0" w:line="305" w:lineRule="auto"/>
        <w:rPr>
          <w:sz w:val="20"/>
          <w:szCs w:val="20"/>
          <w:color w:val="auto"/>
        </w:rPr>
      </w:pPr>
      <w:r>
        <w:rPr>
          <w:rFonts w:ascii="Times New Roman" w:cs="Times New Roman" w:eastAsia="Times New Roman" w:hAnsi="Times New Roman"/>
          <w:sz w:val="16"/>
          <w:szCs w:val="16"/>
          <w:color w:val="231F20"/>
        </w:rPr>
        <w:t>When we conduct preclinical and clinical research in collaboration with other academic, pharmaceutical and biotechnology entities, we risk additional delays due to the frequent need to align on decisions.</w:t>
      </w:r>
    </w:p>
    <w:p>
      <w:pPr>
        <w:spacing w:after="0" w:line="130" w:lineRule="exact"/>
        <w:rPr>
          <w:sz w:val="20"/>
          <w:szCs w:val="20"/>
          <w:color w:val="auto"/>
        </w:rPr>
      </w:pPr>
    </w:p>
    <w:p>
      <w:pPr>
        <w:jc w:val="both"/>
        <w:ind w:left="40" w:right="259" w:firstLine="325"/>
        <w:spacing w:after="0" w:line="261" w:lineRule="auto"/>
        <w:rPr>
          <w:sz w:val="20"/>
          <w:szCs w:val="20"/>
          <w:color w:val="auto"/>
        </w:rPr>
      </w:pPr>
      <w:r>
        <w:rPr>
          <w:rFonts w:ascii="Times New Roman" w:cs="Times New Roman" w:eastAsia="Times New Roman" w:hAnsi="Times New Roman"/>
          <w:sz w:val="16"/>
          <w:szCs w:val="16"/>
          <w:color w:val="231F20"/>
        </w:rPr>
        <w:t>Our product development costs have increased, and may continue to increase, when we experience delays in clinical testing. Our clinical trials may not begin when expected, may require restructuring or may not be completed on schedule, or at all. Significant clinical trial delays also shorten any periods during which we may have the exclusive right to commercialize our product candidates and may allow our competitors to bring products to market before we do, potentially impairing our ability to successfully manufacture and commercialize our product candidates, if approved. Delays and increased costs in our clinical development programs would harm our business, financial condition, results of operations and prospects.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right="59"/>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Delays or difficulties in the enrollment and dosing of patients in clinical trials, delay or prevent receipt of necessary regulatory approvals.</w:t>
      </w:r>
    </w:p>
    <w:p>
      <w:pPr>
        <w:spacing w:after="0" w:line="77" w:lineRule="exact"/>
        <w:rPr>
          <w:sz w:val="20"/>
          <w:szCs w:val="20"/>
          <w:color w:val="auto"/>
        </w:rPr>
      </w:pPr>
    </w:p>
    <w:p>
      <w:pPr>
        <w:jc w:val="both"/>
        <w:ind w:left="40" w:right="259" w:firstLine="325"/>
        <w:spacing w:after="0" w:line="261" w:lineRule="auto"/>
        <w:rPr>
          <w:sz w:val="20"/>
          <w:szCs w:val="20"/>
          <w:color w:val="auto"/>
        </w:rPr>
      </w:pPr>
      <w:r>
        <w:rPr>
          <w:rFonts w:ascii="Times New Roman" w:cs="Times New Roman" w:eastAsia="Times New Roman" w:hAnsi="Times New Roman"/>
          <w:sz w:val="16"/>
          <w:szCs w:val="16"/>
          <w:color w:val="231F20"/>
        </w:rPr>
        <w:t>The timing of our clinical trials depends on our ability to recruit patients to participate in our studies as well as the dosing of such patients and completion of required follow-up periods. Participant enrollment, a significant factor in the timing of clinical trials, is affected by many factors, including the size and nature of the patient population, the number and location of clinical sites, the proximity of participants to clinical sites, the eligibility and exclusion criteria for the trial, the design of the clinical trial, challenges in obtaining and maintaining participant consents, enrolled participants dropping out, competing clinical trials and clinicians’ and patients’ perceptions as to the potential advantages of the product candidate being studied in relation to other available therapies, including any new drugs or biologics that may be approved for the indications being investigated by us. Rare or orphan diseases like IgG4-RD pose additional risk due to the difficulty identifying study subjects and ensuring each participant’s disease state meets the study parameters. Further, because screening for many of these diseases is not widely adopted, and because it can be difficult to diagnose these diseases in the absence of screening, it can be difficult to find patients who are eligible to participate in our studies or trials.</w:t>
      </w:r>
    </w:p>
    <w:p>
      <w:pPr>
        <w:spacing w:after="0" w:line="367"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In addition, our clinical trials currently, and may in the future, compete with other clinical trials for product candidates that address the same disease as our product candidates, and this competition reduces the number and types of participants available to us, because some participants who might have opted to enroll in our trials instead opt to enroll in a trial conducted by a competitor or elect to use a marketed therapy. We also could encounter delays if doctors face ethical challenges associated with enrolling participants in a clinical trial rather than prescribing an existing treatment with an established safety and efficacy profile.</w:t>
      </w:r>
    </w:p>
    <w:p>
      <w:pPr>
        <w:spacing w:after="0" w:line="164" w:lineRule="exact"/>
        <w:rPr>
          <w:sz w:val="20"/>
          <w:szCs w:val="20"/>
          <w:color w:val="auto"/>
        </w:rPr>
      </w:pPr>
    </w:p>
    <w:p>
      <w:pPr>
        <w:jc w:val="both"/>
        <w:ind w:left="40" w:right="259" w:firstLine="325"/>
        <w:spacing w:after="0" w:line="271" w:lineRule="auto"/>
        <w:rPr>
          <w:sz w:val="20"/>
          <w:szCs w:val="20"/>
          <w:color w:val="auto"/>
        </w:rPr>
      </w:pPr>
      <w:r>
        <w:rPr>
          <w:rFonts w:ascii="Times New Roman" w:cs="Times New Roman" w:eastAsia="Times New Roman" w:hAnsi="Times New Roman"/>
          <w:sz w:val="16"/>
          <w:szCs w:val="16"/>
          <w:color w:val="231F20"/>
        </w:rPr>
        <w:t>If we or our collaborators are unable to enroll a sufficient number of eligible patients to participate in our clinical trials, we may not be able to initiate, continue or complete clinical trials for our product candidates. Even if we are able to enroll a sufficient number of participants in our clinical trials, delays in enrollment may result in increased costs, delay completion or adversely impact the outcome of the trial.</w:t>
      </w:r>
    </w:p>
    <w:p>
      <w:pPr>
        <w:spacing w:after="0" w:line="158" w:lineRule="exact"/>
        <w:rPr>
          <w:sz w:val="20"/>
          <w:szCs w:val="20"/>
          <w:color w:val="auto"/>
        </w:rPr>
      </w:pPr>
    </w:p>
    <w:p>
      <w:pPr>
        <w:jc w:val="both"/>
        <w:ind w:left="40" w:right="259" w:firstLine="325"/>
        <w:spacing w:after="0" w:line="268" w:lineRule="auto"/>
        <w:rPr>
          <w:sz w:val="20"/>
          <w:szCs w:val="20"/>
          <w:color w:val="auto"/>
        </w:rPr>
      </w:pPr>
      <w:r>
        <w:rPr>
          <w:rFonts w:ascii="Times New Roman" w:cs="Times New Roman" w:eastAsia="Times New Roman" w:hAnsi="Times New Roman"/>
          <w:sz w:val="16"/>
          <w:szCs w:val="16"/>
          <w:color w:val="231F20"/>
        </w:rPr>
        <w:t>Additionally, our ability to successfully initiate, enroll, and complete a clinical trial in any foreign country is subject to numerous risks unique to conducting business in foreign countries, including: difficulty in establishing or managing relationships with CROs and physicians; different standards for the conduct of clinical trials; different standard-of-care for patients with a particular disease; difficulty in locating qualified local consultants, physicians and partners; and potential burden of complying with a variety of foreign laws, medical standards and regulatory requirements, including the regulation of pharmaceutical and biotechnology products and treatment.</w:t>
      </w:r>
    </w:p>
    <w:p>
      <w:pPr>
        <w:spacing w:after="0" w:line="159" w:lineRule="exact"/>
        <w:rPr>
          <w:sz w:val="20"/>
          <w:szCs w:val="20"/>
          <w:color w:val="auto"/>
        </w:rPr>
      </w:pPr>
    </w:p>
    <w:p>
      <w:pPr>
        <w:jc w:val="both"/>
        <w:ind w:left="40" w:right="259" w:firstLine="325"/>
        <w:spacing w:after="0" w:line="271" w:lineRule="auto"/>
        <w:rPr>
          <w:sz w:val="20"/>
          <w:szCs w:val="20"/>
          <w:color w:val="auto"/>
        </w:rPr>
      </w:pPr>
      <w:r>
        <w:rPr>
          <w:rFonts w:ascii="Times New Roman" w:cs="Times New Roman" w:eastAsia="Times New Roman" w:hAnsi="Times New Roman"/>
          <w:sz w:val="16"/>
          <w:szCs w:val="16"/>
          <w:color w:val="231F20"/>
        </w:rPr>
        <w:t>We have experienced participant withdrawals or discontinuations from our trials. Participants, including in any control groups, frequently withdraw from a clinical trial if they are not experiencing improvement in their underlying disease or condition or if they experience adverse side effects or other issues. Withdrawal of participants from our clinical trials may compromise the quality of our data.</w:t>
      </w:r>
    </w:p>
    <w:p>
      <w:pPr>
        <w:spacing w:after="0" w:line="158" w:lineRule="exact"/>
        <w:rPr>
          <w:sz w:val="20"/>
          <w:szCs w:val="20"/>
          <w:color w:val="auto"/>
        </w:rPr>
      </w:pPr>
    </w:p>
    <w:p>
      <w:pPr>
        <w:jc w:val="both"/>
        <w:ind w:left="40" w:right="259" w:firstLine="325"/>
        <w:spacing w:after="0" w:line="271" w:lineRule="auto"/>
        <w:rPr>
          <w:sz w:val="20"/>
          <w:szCs w:val="20"/>
          <w:color w:val="auto"/>
        </w:rPr>
      </w:pPr>
      <w:r>
        <w:rPr>
          <w:rFonts w:ascii="Times New Roman" w:cs="Times New Roman" w:eastAsia="Times New Roman" w:hAnsi="Times New Roman"/>
          <w:sz w:val="16"/>
          <w:szCs w:val="16"/>
          <w:color w:val="231F20"/>
        </w:rPr>
        <w:t>Difficulties enrolling a sufficient number of patients to conduct our clinical trials as planned could require us to delay, limit or terminate clinical trials for our product candidates, or expand to additional jurisdictions, which could impose additional challenges on our company. Failure to successfully conduct our clinical trials as planned, would have an adverse effect on our business, financial condition, results of operations and prospects.</w:t>
      </w:r>
    </w:p>
    <w:p>
      <w:pPr>
        <w:spacing w:after="0" w:line="154" w:lineRule="exact"/>
        <w:rPr>
          <w:sz w:val="20"/>
          <w:szCs w:val="20"/>
          <w:color w:val="auto"/>
        </w:rPr>
      </w:pPr>
    </w:p>
    <w:p>
      <w:pPr>
        <w:jc w:val="both"/>
        <w:ind w:left="40" w:right="259"/>
        <w:spacing w:after="0" w:line="330" w:lineRule="auto"/>
        <w:rPr>
          <w:sz w:val="20"/>
          <w:szCs w:val="20"/>
          <w:color w:val="auto"/>
        </w:rPr>
      </w:pPr>
      <w:r>
        <w:rPr>
          <w:rFonts w:ascii="Times New Roman" w:cs="Times New Roman" w:eastAsia="Times New Roman" w:hAnsi="Times New Roman"/>
          <w:sz w:val="15"/>
          <w:szCs w:val="15"/>
          <w:b w:val="1"/>
          <w:bCs w:val="1"/>
          <w:i w:val="1"/>
          <w:iCs w:val="1"/>
          <w:color w:val="231F20"/>
        </w:rPr>
        <w:t>Any significant adverse events or undesirable side effects caused by our product candidates may delay or prevent regulatory approval or market acceptance of our product candidates, or result in significant negative consequences following marketing approval, if any.</w:t>
      </w:r>
    </w:p>
    <w:p>
      <w:pPr>
        <w:spacing w:after="0" w:line="115" w:lineRule="exact"/>
        <w:rPr>
          <w:sz w:val="20"/>
          <w:szCs w:val="20"/>
          <w:color w:val="auto"/>
        </w:rPr>
      </w:pPr>
    </w:p>
    <w:p>
      <w:pPr>
        <w:jc w:val="both"/>
        <w:ind w:left="40" w:right="259" w:firstLine="325"/>
        <w:spacing w:after="0" w:line="266" w:lineRule="auto"/>
        <w:rPr>
          <w:sz w:val="20"/>
          <w:szCs w:val="20"/>
          <w:color w:val="auto"/>
        </w:rPr>
      </w:pPr>
      <w:r>
        <w:rPr>
          <w:rFonts w:ascii="Times New Roman" w:cs="Times New Roman" w:eastAsia="Times New Roman" w:hAnsi="Times New Roman"/>
          <w:sz w:val="16"/>
          <w:szCs w:val="16"/>
          <w:color w:val="231F20"/>
        </w:rPr>
        <w:t>Unacceptable, undesirable or clinically unmanageable side effects, caused by any of our product candidates could cause us or regulatory authorities to interrupt, delay or halt our clinical trials and could result in a more restrictive label or the delay or denial of marketing approval by the FDA or comparable foreign regulatory authorities. We have observed certain adverse events (“AEs”) and SAEs in our clinical trials of obexelimab administered through IV infusion.</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firstLine="325"/>
        <w:spacing w:after="0" w:line="266" w:lineRule="auto"/>
        <w:rPr>
          <w:sz w:val="20"/>
          <w:szCs w:val="20"/>
          <w:color w:val="auto"/>
        </w:rPr>
      </w:pPr>
      <w:r>
        <w:rPr>
          <w:rFonts w:ascii="Times New Roman" w:cs="Times New Roman" w:eastAsia="Times New Roman" w:hAnsi="Times New Roman"/>
          <w:sz w:val="16"/>
          <w:szCs w:val="16"/>
          <w:color w:val="231F20"/>
        </w:rPr>
        <w:t>Our clinical trials of obexelimab are administered through SC injection. In the Phase 1 pharmacokinetic (“PK”) and relative bioavailability study of obexelimab administered either intravenously or subcutaneously, the most common related treatment emergent adverse events (“TEAEs”) across all SC dose regimens were headache and injection site reactions. GI-related events seen with IV infusions were not observed in subjects who received SC formulation, but future studies may reveal similar issues.</w:t>
      </w:r>
    </w:p>
    <w:p>
      <w:pPr>
        <w:spacing w:after="0" w:line="161"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AEs, SAEs or other side effects in clinical trials often make it difficult to recruit participants to clinical trials and results in participants dropping out of trials. While certain side effects may be reversible following discontinuation of the product candidate with sufficient recovery periods, we will need to monitor the severity and duration of side effects in our clinical trials. If such effects are more severe, less reversible than we expect or not reversible at all, we may decide, or be required, to perform additional studies or to halt or delay further clinical development of our product candidates.</w:t>
      </w:r>
    </w:p>
    <w:p>
      <w:pPr>
        <w:spacing w:after="0" w:line="164"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While we believe that obexelimab has the potential to offer benefits, including in regard to its side-effect profile, over B cell depleting agents, if obexelimab is shown to have adverse events, side effects or other safety or tolerability concerns, then our opportunity to disrupt the current standard of care will be limited. AEs and SAEs may be deemed to be related to our product candidates. Such a determination may require longer and more extensive clinical development, or regulatory authorities may increase the amount of data and information required to approve, market or maintain approval of our product candidates.</w:t>
      </w:r>
    </w:p>
    <w:p>
      <w:pPr>
        <w:spacing w:after="0" w:line="164" w:lineRule="exact"/>
        <w:rPr>
          <w:sz w:val="20"/>
          <w:szCs w:val="20"/>
          <w:color w:val="auto"/>
        </w:rPr>
      </w:pPr>
    </w:p>
    <w:p>
      <w:pPr>
        <w:jc w:val="both"/>
        <w:ind w:left="40" w:right="259" w:firstLine="325"/>
        <w:spacing w:after="0" w:line="267" w:lineRule="auto"/>
        <w:rPr>
          <w:sz w:val="20"/>
          <w:szCs w:val="20"/>
          <w:color w:val="auto"/>
        </w:rPr>
      </w:pPr>
      <w:r>
        <w:rPr>
          <w:rFonts w:ascii="Times New Roman" w:cs="Times New Roman" w:eastAsia="Times New Roman" w:hAnsi="Times New Roman"/>
          <w:sz w:val="16"/>
          <w:szCs w:val="16"/>
          <w:color w:val="231F20"/>
        </w:rPr>
        <w:t>We, the FDA or other applicable regulatory authorities, or an IRB, may suspend clinical trials of a product candidate at any time for various reasons, including a belief that participants in such trials are being exposed to unacceptable health risks or adverse side effects. Many potential product candidates developed in the biotechnology industry that initially showed promise in early-stage trials have later been found to cause side effects that prevented their further development and approval. Even if side effects do not preclude the product candidate from obtaining or maintaining marketing approval, undesirable side effects may inhibit market acceptance.</w:t>
      </w:r>
    </w:p>
    <w:p>
      <w:pPr>
        <w:spacing w:after="0" w:line="160"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Even if we successfully develop a product candidate and it receives marketing approval, the FDA could require us to adopt a Risk Evaluation and Mitigation Strategy (“REMS”) to ensure that the benefits of treatment outweigh the risks for each potential patient, which may include, among other things, a medication guide outlining the risks of the product for distribution to patients, a communication plan to healthcare practitioners, extensive patient monitoring or distribution systems and processes that are highly controlled, restrictive, and more costly than what is typical for the industry. Furthermore, if we or others later identify undesirable side effects caused by any product candidate that we obtain marketing approval for, several potentially significant negative consequences could result, including:</w:t>
      </w:r>
    </w:p>
    <w:p>
      <w:pPr>
        <w:spacing w:after="0" w:line="163" w:lineRule="exact"/>
        <w:rPr>
          <w:sz w:val="20"/>
          <w:szCs w:val="20"/>
          <w:color w:val="auto"/>
        </w:rPr>
      </w:pPr>
    </w:p>
    <w:p>
      <w:pPr>
        <w:ind w:left="660" w:right="459" w:hanging="154"/>
        <w:spacing w:after="0" w:line="289" w:lineRule="auto"/>
        <w:tabs>
          <w:tab w:leader="none" w:pos="660" w:val="left"/>
        </w:tabs>
        <w:numPr>
          <w:ilvl w:val="1"/>
          <w:numId w:val="4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regulatory authorities may limit, suspend or withdraw approvals of such product, or may refuse to approve supplemental applications for such product;</w:t>
      </w:r>
    </w:p>
    <w:p>
      <w:pPr>
        <w:spacing w:after="0" w:line="45" w:lineRule="exact"/>
        <w:rPr>
          <w:rFonts w:ascii="Times New Roman" w:cs="Times New Roman" w:eastAsia="Times New Roman" w:hAnsi="Times New Roman"/>
          <w:sz w:val="16"/>
          <w:szCs w:val="16"/>
          <w:color w:val="231F20"/>
        </w:rPr>
      </w:pPr>
    </w:p>
    <w:p>
      <w:pPr>
        <w:ind w:left="660" w:right="479" w:hanging="173"/>
        <w:spacing w:after="0" w:line="289" w:lineRule="auto"/>
        <w:tabs>
          <w:tab w:leader="none" w:pos="659" w:val="left"/>
        </w:tabs>
        <w:numPr>
          <w:ilvl w:val="0"/>
          <w:numId w:val="4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regulatory authorities may require additional warnings on the label, such as a “Boxed Warning,” contraindications or precautions, or otherwise limit the approved use of such product;</w:t>
      </w:r>
    </w:p>
    <w:p>
      <w:pPr>
        <w:spacing w:after="0" w:line="45" w:lineRule="exact"/>
        <w:rPr>
          <w:rFonts w:ascii="Times New Roman" w:cs="Times New Roman" w:eastAsia="Times New Roman" w:hAnsi="Times New Roman"/>
          <w:sz w:val="16"/>
          <w:szCs w:val="16"/>
          <w:color w:val="231F20"/>
        </w:rPr>
      </w:pPr>
    </w:p>
    <w:p>
      <w:pPr>
        <w:ind w:left="660" w:right="739" w:hanging="154"/>
        <w:spacing w:after="0" w:line="289" w:lineRule="auto"/>
        <w:tabs>
          <w:tab w:leader="none" w:pos="660" w:val="left"/>
        </w:tabs>
        <w:numPr>
          <w:ilvl w:val="1"/>
          <w:numId w:val="4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regulatory authorities may impose additional restrictions on the marketing of, or the manufacturing processes for, the particular product, including requiring a REMS;</w:t>
      </w:r>
    </w:p>
    <w:p>
      <w:pPr>
        <w:spacing w:after="0" w:line="45"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1"/>
          <w:numId w:val="4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we may be required to recall the product or change the way it is administered in patients;</w:t>
      </w:r>
    </w:p>
    <w:p>
      <w:pPr>
        <w:spacing w:after="0" w:line="121"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1"/>
          <w:numId w:val="4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we may be required to conduct additional clinical trials;</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1"/>
          <w:numId w:val="4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we may decide to remove such product from the market;</w:t>
      </w:r>
    </w:p>
    <w:p>
      <w:pPr>
        <w:spacing w:after="0" w:line="84"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1"/>
          <w:numId w:val="4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we could be sued and held liable for harm caused to patients; and</w:t>
      </w:r>
    </w:p>
    <w:p>
      <w:pPr>
        <w:spacing w:after="0" w:line="121"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1"/>
          <w:numId w:val="4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reputation may suffer.</w:t>
      </w:r>
    </w:p>
    <w:p>
      <w:pPr>
        <w:spacing w:after="0" w:line="146" w:lineRule="exact"/>
        <w:rPr>
          <w:sz w:val="20"/>
          <w:szCs w:val="20"/>
          <w:color w:val="auto"/>
        </w:rPr>
      </w:pPr>
    </w:p>
    <w:p>
      <w:pPr>
        <w:jc w:val="both"/>
        <w:ind w:left="40" w:right="259" w:firstLine="325"/>
        <w:spacing w:after="0" w:line="277" w:lineRule="auto"/>
        <w:rPr>
          <w:sz w:val="20"/>
          <w:szCs w:val="20"/>
          <w:color w:val="auto"/>
        </w:rPr>
      </w:pPr>
      <w:r>
        <w:rPr>
          <w:rFonts w:ascii="Times New Roman" w:cs="Times New Roman" w:eastAsia="Times New Roman" w:hAnsi="Times New Roman"/>
          <w:sz w:val="16"/>
          <w:szCs w:val="16"/>
          <w:color w:val="231F20"/>
        </w:rPr>
        <w:t>Any of these events could prevent us from obtaining or maintaining regulatory approvals or achieving or maintaining market acceptance of our current and future product candidates or could substantially increase the costs and expenses of commercializing the affected product, which in turn could significantly impact our ability to successfully commercialize our product candidates and generate revenues.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7309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40" w:right="259"/>
        <w:spacing w:after="0" w:line="311" w:lineRule="auto"/>
        <w:rPr>
          <w:sz w:val="20"/>
          <w:szCs w:val="20"/>
          <w:color w:val="auto"/>
        </w:rPr>
      </w:pPr>
      <w:r>
        <w:rPr>
          <w:rFonts w:ascii="Times New Roman" w:cs="Times New Roman" w:eastAsia="Times New Roman" w:hAnsi="Times New Roman"/>
          <w:sz w:val="16"/>
          <w:szCs w:val="16"/>
          <w:b w:val="1"/>
          <w:bCs w:val="1"/>
          <w:i w:val="1"/>
          <w:iCs w:val="1"/>
          <w:color w:val="231F20"/>
        </w:rPr>
        <w:t>Risks associated with the in-licensing or acquisition of product candidates could cause substantial delays in the preclinical and clinical development of our product candidates.</w:t>
      </w:r>
    </w:p>
    <w:p>
      <w:pPr>
        <w:spacing w:after="0" w:line="125" w:lineRule="exact"/>
        <w:rPr>
          <w:sz w:val="20"/>
          <w:szCs w:val="20"/>
          <w:color w:val="auto"/>
        </w:rPr>
      </w:pPr>
    </w:p>
    <w:p>
      <w:pPr>
        <w:jc w:val="both"/>
        <w:ind w:left="40" w:right="259" w:firstLine="325"/>
        <w:spacing w:after="0" w:line="271" w:lineRule="auto"/>
        <w:rPr>
          <w:sz w:val="20"/>
          <w:szCs w:val="20"/>
          <w:color w:val="auto"/>
        </w:rPr>
      </w:pPr>
      <w:r>
        <w:rPr>
          <w:rFonts w:ascii="Times New Roman" w:cs="Times New Roman" w:eastAsia="Times New Roman" w:hAnsi="Times New Roman"/>
          <w:sz w:val="16"/>
          <w:szCs w:val="16"/>
          <w:color w:val="231F20"/>
        </w:rPr>
        <w:t>We have relied on, and continue to rely on, our licensing partners, such as Xencor, to have (i) conducted research and development in accordance with the applicable protocol, legal, regulatory and scientific standards, (ii) accurately reported the results of all clinical trials conducted prior to our acquisition of the relevant product candidates and (iii) correctly collected and interpreted the data from these trials. If the research and development processes or the results of the development programs prior to our acquisition of our product candidates prove to be unreliable, this could result in increased costs and delays in the development of our product candidates, which could adversely affect any future revenue from such product candidates, if approved.</w:t>
      </w:r>
    </w:p>
    <w:p>
      <w:pPr>
        <w:spacing w:after="0" w:line="169" w:lineRule="exact"/>
        <w:rPr>
          <w:sz w:val="20"/>
          <w:szCs w:val="20"/>
          <w:color w:val="auto"/>
        </w:rPr>
      </w:pPr>
    </w:p>
    <w:p>
      <w:pPr>
        <w:jc w:val="both"/>
        <w:ind w:left="40" w:right="259" w:firstLine="325"/>
        <w:spacing w:after="0" w:line="275" w:lineRule="auto"/>
        <w:rPr>
          <w:sz w:val="20"/>
          <w:szCs w:val="20"/>
          <w:color w:val="auto"/>
        </w:rPr>
      </w:pPr>
      <w:r>
        <w:rPr>
          <w:rFonts w:ascii="Times New Roman" w:cs="Times New Roman" w:eastAsia="Times New Roman" w:hAnsi="Times New Roman"/>
          <w:sz w:val="16"/>
          <w:szCs w:val="16"/>
          <w:color w:val="231F20"/>
        </w:rPr>
        <w:t>We may also acquire or in-license additional product candidates for preclinical or clinical development in the future as we continue to build our pipeline. The risks associated with acquiring or in-licensing product candidates could result in delays in the commencement or completion of our preclinical studies and clinical trials, if ever, and our ability to generate revenues from our product candidates may be delayed. Please see “—Risks Related to Our Intellectual Property—We may not obtain or maintain necessary rights to our product candidates through acquisitions and in-licenses” for additional information regarding such risks.</w:t>
      </w:r>
    </w:p>
    <w:p>
      <w:pPr>
        <w:spacing w:after="0" w:line="150" w:lineRule="exact"/>
        <w:rPr>
          <w:sz w:val="20"/>
          <w:szCs w:val="20"/>
          <w:color w:val="auto"/>
        </w:rPr>
      </w:pPr>
    </w:p>
    <w:p>
      <w:pPr>
        <w:jc w:val="both"/>
        <w:ind w:left="40" w:right="259"/>
        <w:spacing w:after="0" w:line="282" w:lineRule="auto"/>
        <w:rPr>
          <w:sz w:val="20"/>
          <w:szCs w:val="20"/>
          <w:color w:val="auto"/>
        </w:rPr>
      </w:pPr>
      <w:r>
        <w:rPr>
          <w:rFonts w:ascii="Times New Roman" w:cs="Times New Roman" w:eastAsia="Times New Roman" w:hAnsi="Times New Roman"/>
          <w:sz w:val="16"/>
          <w:szCs w:val="16"/>
          <w:b w:val="1"/>
          <w:bCs w:val="1"/>
          <w:i w:val="1"/>
          <w:iCs w:val="1"/>
          <w:color w:val="231F20"/>
        </w:rPr>
        <w:t>We face potential competition from different sources that have made substantial investments into the rapid development of novel treatments for immunological indications, including large and specialty pharmaceutical and biotechnology companies, many of which already have approved therapies in our current indications.</w:t>
      </w:r>
    </w:p>
    <w:p>
      <w:pPr>
        <w:spacing w:after="0" w:line="149" w:lineRule="exact"/>
        <w:rPr>
          <w:sz w:val="20"/>
          <w:szCs w:val="20"/>
          <w:color w:val="auto"/>
        </w:rPr>
      </w:pPr>
    </w:p>
    <w:p>
      <w:pPr>
        <w:jc w:val="both"/>
        <w:ind w:left="40" w:right="259" w:firstLine="325"/>
        <w:spacing w:after="0" w:line="271" w:lineRule="auto"/>
        <w:rPr>
          <w:sz w:val="20"/>
          <w:szCs w:val="20"/>
          <w:color w:val="auto"/>
        </w:rPr>
      </w:pPr>
      <w:r>
        <w:rPr>
          <w:rFonts w:ascii="Times New Roman" w:cs="Times New Roman" w:eastAsia="Times New Roman" w:hAnsi="Times New Roman"/>
          <w:sz w:val="16"/>
          <w:szCs w:val="16"/>
          <w:color w:val="231F20"/>
        </w:rPr>
        <w:t>The biotechnology and pharmaceutical industries are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large and specialty pharmaceutical and biotechnology companies, academic research institutions and governmental agencies, as well as public and private research institutions. Any product candidates that we successfully develop and commercialize, if approved, will compete with existing therapies and new therapies that may become available in the future.</w:t>
      </w:r>
    </w:p>
    <w:p>
      <w:pPr>
        <w:spacing w:after="0" w:line="169" w:lineRule="exact"/>
        <w:rPr>
          <w:sz w:val="20"/>
          <w:szCs w:val="20"/>
          <w:color w:val="auto"/>
        </w:rPr>
      </w:pPr>
    </w:p>
    <w:p>
      <w:pPr>
        <w:jc w:val="both"/>
        <w:ind w:left="40" w:right="259" w:firstLine="325"/>
        <w:spacing w:after="0" w:line="272" w:lineRule="auto"/>
        <w:rPr>
          <w:sz w:val="20"/>
          <w:szCs w:val="20"/>
          <w:color w:val="auto"/>
        </w:rPr>
      </w:pPr>
      <w:r>
        <w:rPr>
          <w:rFonts w:ascii="Times New Roman" w:cs="Times New Roman" w:eastAsia="Times New Roman" w:hAnsi="Times New Roman"/>
          <w:sz w:val="16"/>
          <w:szCs w:val="16"/>
          <w:color w:val="231F20"/>
        </w:rPr>
        <w:t>The key competitive factors affecting the success of all of our product candidates, if approved, are likely to be their safety, efficacy, convenience, price, the level of generic competition, the existence of therapeutic alternatives and the availability of coverage and reimbursement from government and other third-party payors.</w:t>
      </w:r>
    </w:p>
    <w:p>
      <w:pPr>
        <w:spacing w:after="0" w:line="168" w:lineRule="exact"/>
        <w:rPr>
          <w:sz w:val="20"/>
          <w:szCs w:val="20"/>
          <w:color w:val="auto"/>
        </w:rPr>
      </w:pPr>
    </w:p>
    <w:p>
      <w:pPr>
        <w:jc w:val="both"/>
        <w:ind w:left="40" w:right="259" w:firstLine="325"/>
        <w:spacing w:after="0" w:line="262" w:lineRule="auto"/>
        <w:rPr>
          <w:sz w:val="20"/>
          <w:szCs w:val="20"/>
          <w:color w:val="auto"/>
        </w:rPr>
      </w:pPr>
      <w:r>
        <w:rPr>
          <w:rFonts w:ascii="Times New Roman" w:cs="Times New Roman" w:eastAsia="Times New Roman" w:hAnsi="Times New Roman"/>
          <w:sz w:val="16"/>
          <w:szCs w:val="16"/>
          <w:color w:val="231F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5" w:lineRule="exact"/>
        <w:rPr>
          <w:sz w:val="20"/>
          <w:szCs w:val="20"/>
          <w:color w:val="auto"/>
        </w:rPr>
      </w:pPr>
    </w:p>
    <w:p>
      <w:pPr>
        <w:jc w:val="both"/>
        <w:ind w:left="40" w:right="259" w:firstLine="325"/>
        <w:spacing w:after="0" w:line="262" w:lineRule="auto"/>
        <w:rPr>
          <w:sz w:val="20"/>
          <w:szCs w:val="20"/>
          <w:color w:val="auto"/>
        </w:rPr>
      </w:pPr>
      <w:r>
        <w:rPr>
          <w:rFonts w:ascii="Times New Roman" w:cs="Times New Roman" w:eastAsia="Times New Roman" w:hAnsi="Times New Roman"/>
          <w:sz w:val="16"/>
          <w:szCs w:val="16"/>
          <w:color w:val="231F20"/>
        </w:rPr>
        <w:t>Our current product candidates, initially under development for treatment of various I&amp;I indications would, if approved, face competition from existing approved immunological treatments, many of which have achieved commercial success. For example, we are currently developing obexelimab for the treatment of IgG4-RD, MS, SLE and wAIHA. There are currently no approved therapies for IgG4-RD or wAIHA, but there are two products approved for SLE, and a number of products approved for MS. Moreover, there are a number of product candidates in clinical development by other companies for IgG4-RD, MS, SLE and wAIHA which may become available in the future, including UPLIZNA (inebilizumab-cdon), an anti-CD19 antibody being developed by Amgen Inc., for which Amgen has announced its intention to file a BLA based on the results of its Phase 3 clinical trial in patients with IgG4-RD.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7309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firstLine="325"/>
        <w:spacing w:after="0" w:line="255" w:lineRule="auto"/>
        <w:rPr>
          <w:sz w:val="20"/>
          <w:szCs w:val="20"/>
          <w:color w:val="auto"/>
        </w:rPr>
      </w:pPr>
      <w:r>
        <w:rPr>
          <w:rFonts w:ascii="Times New Roman" w:cs="Times New Roman" w:eastAsia="Times New Roman" w:hAnsi="Times New Roman"/>
          <w:sz w:val="16"/>
          <w:szCs w:val="16"/>
          <w:color w:val="231F20"/>
        </w:rPr>
        <w:t>To compete successfully, we need to disrupt currently marketed drugs, meaning we must demonstrate that the relative cost, method of administration, safety, tolerability and efficacy of our product candidates provides a better alternative to existing and new therapies. Our commercial opportunity and likelihood of success will be reduced or eliminated if our product candidates are not ultimately demonstrated to be safer, more effective, more conveniently administered or less expensive than the current standard of care or future competing products. Furthermore, even if our product candidates are able to achieve these attributes, acceptance of our products may be inhibited by the reluctance of physicians to switch from existing therapies to our products, or if physicians choose to reserve our products for use in limited circumstances.</w:t>
      </w:r>
    </w:p>
    <w:p>
      <w:pPr>
        <w:spacing w:after="0" w:line="169" w:lineRule="exact"/>
        <w:rPr>
          <w:sz w:val="20"/>
          <w:szCs w:val="20"/>
          <w:color w:val="auto"/>
        </w:rPr>
      </w:pPr>
    </w:p>
    <w:p>
      <w:pPr>
        <w:jc w:val="both"/>
        <w:ind w:left="40" w:right="259" w:firstLine="325"/>
        <w:spacing w:after="0" w:line="255" w:lineRule="auto"/>
        <w:rPr>
          <w:sz w:val="20"/>
          <w:szCs w:val="20"/>
          <w:color w:val="auto"/>
        </w:rPr>
      </w:pPr>
      <w:r>
        <w:rPr>
          <w:rFonts w:ascii="Times New Roman" w:cs="Times New Roman" w:eastAsia="Times New Roman" w:hAnsi="Times New Roman"/>
          <w:sz w:val="16"/>
          <w:szCs w:val="16"/>
          <w:color w:val="231F20"/>
        </w:rPr>
        <w:t>Competitive products may make any products we develop obsolete or noncompetitive before we recover the expense of development and commercialization. Such competitors could also recruit our employees, which could negatively impact our level of expertise and our ability to execute our business plan. If we are not able to effectively compete for any of the foregoing reasons, our business will be materially harmed.</w:t>
      </w:r>
    </w:p>
    <w:p>
      <w:pPr>
        <w:spacing w:after="0" w:line="166" w:lineRule="exact"/>
        <w:rPr>
          <w:sz w:val="20"/>
          <w:szCs w:val="20"/>
          <w:color w:val="auto"/>
        </w:rPr>
      </w:pPr>
    </w:p>
    <w:p>
      <w:pPr>
        <w:jc w:val="both"/>
        <w:ind w:left="40" w:right="259"/>
        <w:spacing w:after="0" w:line="295" w:lineRule="auto"/>
        <w:rPr>
          <w:sz w:val="20"/>
          <w:szCs w:val="20"/>
          <w:color w:val="auto"/>
        </w:rPr>
      </w:pPr>
      <w:r>
        <w:rPr>
          <w:rFonts w:ascii="Times New Roman" w:cs="Times New Roman" w:eastAsia="Times New Roman" w:hAnsi="Times New Roman"/>
          <w:sz w:val="16"/>
          <w:szCs w:val="16"/>
          <w:b w:val="1"/>
          <w:bCs w:val="1"/>
          <w:i w:val="1"/>
          <w:iCs w:val="1"/>
          <w:color w:val="231F20"/>
        </w:rPr>
        <w:t>Interim, initial, “top-line” and preliminary data from our clinical trials that we announce or publish from time to time are subject to audit and verification procedures and may differ materially from final data as more patient data become available.</w:t>
      </w:r>
    </w:p>
    <w:p>
      <w:pPr>
        <w:spacing w:after="0" w:line="138" w:lineRule="exact"/>
        <w:rPr>
          <w:sz w:val="20"/>
          <w:szCs w:val="20"/>
          <w:color w:val="auto"/>
        </w:rPr>
      </w:pPr>
    </w:p>
    <w:p>
      <w:pPr>
        <w:jc w:val="both"/>
        <w:ind w:left="40" w:right="259" w:firstLine="325"/>
        <w:spacing w:after="0" w:line="255" w:lineRule="auto"/>
        <w:rPr>
          <w:sz w:val="20"/>
          <w:szCs w:val="20"/>
          <w:color w:val="auto"/>
        </w:rPr>
      </w:pPr>
      <w:r>
        <w:rPr>
          <w:rFonts w:ascii="Times New Roman" w:cs="Times New Roman" w:eastAsia="Times New Roman" w:hAnsi="Times New Roman"/>
          <w:sz w:val="16"/>
          <w:szCs w:val="16"/>
          <w:color w:val="231F20"/>
        </w:rPr>
        <w:t>Preliminary or top-line data from our preclinical studies and clinical trials that we publish from time to time are based on preliminary analyses of then-available data, and the results,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fully and carefully evaluate all data. As a result, the top-line or preliminary results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As a result, top-line data should be viewed with caution until the final data are available.</w:t>
      </w:r>
    </w:p>
    <w:p>
      <w:pPr>
        <w:spacing w:after="0" w:line="157" w:lineRule="exact"/>
        <w:rPr>
          <w:sz w:val="20"/>
          <w:szCs w:val="20"/>
          <w:color w:val="auto"/>
        </w:rPr>
      </w:pPr>
    </w:p>
    <w:p>
      <w:pPr>
        <w:jc w:val="both"/>
        <w:ind w:left="40" w:right="259" w:firstLine="325"/>
        <w:spacing w:after="0" w:line="272" w:lineRule="auto"/>
        <w:rPr>
          <w:sz w:val="20"/>
          <w:szCs w:val="20"/>
          <w:color w:val="auto"/>
        </w:rPr>
      </w:pPr>
      <w:r>
        <w:rPr>
          <w:rFonts w:ascii="Times New Roman" w:cs="Times New Roman" w:eastAsia="Times New Roman" w:hAnsi="Times New Roman"/>
          <w:sz w:val="16"/>
          <w:szCs w:val="16"/>
          <w:color w:val="231F20"/>
        </w:rPr>
        <w:t>From time to time, we also may disclose interim data from our preclinical studies and clinical trials. Interim data from clinical trials are subject to the risk that one or more of the clinical outcomes may materially change as participant enrollment continues and more participant data become available or as participants from our clinical trials continue other treatments for their disease.</w:t>
      </w:r>
    </w:p>
    <w:p>
      <w:pPr>
        <w:spacing w:after="0" w:line="156"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Furthermore, third parties, including regulatory authorities, may not accept or agree with our assumptions, estimates, calculations, conclusions or analyses or may interpret or weigh the importance of data differently, which could delay or prevent regulatory approval of, or limit commercial prospects for, the particular product candidate. In addition, the information we choose to publicly disclose regarding a particular study or clinical trial is based on what is typically extensive information, and you or others may not agree with what we determine to disclose.</w:t>
      </w:r>
    </w:p>
    <w:p>
      <w:pPr>
        <w:spacing w:after="0" w:line="164" w:lineRule="exact"/>
        <w:rPr>
          <w:sz w:val="20"/>
          <w:szCs w:val="20"/>
          <w:color w:val="auto"/>
        </w:rPr>
      </w:pPr>
    </w:p>
    <w:p>
      <w:pPr>
        <w:jc w:val="both"/>
        <w:ind w:left="40" w:right="259" w:firstLine="325"/>
        <w:spacing w:after="0" w:line="266" w:lineRule="auto"/>
        <w:rPr>
          <w:sz w:val="20"/>
          <w:szCs w:val="20"/>
          <w:color w:val="auto"/>
        </w:rPr>
      </w:pPr>
      <w:r>
        <w:rPr>
          <w:rFonts w:ascii="Times New Roman" w:cs="Times New Roman" w:eastAsia="Times New Roman" w:hAnsi="Times New Roman"/>
          <w:sz w:val="16"/>
          <w:szCs w:val="16"/>
          <w:color w:val="231F20"/>
        </w:rPr>
        <w:t>If the interim, top-line or preliminary data that we report differ from final results, or if others, including regulatory authorities, disagree with the conclusions reached, our ability to obtain approval for, and commercialize, our product candidates may be harmed, which could harm our business, financial condition, results of operations and prospects. Further, disclosure of interim, top-line or preliminary data by us or by our competitors could result in volatility in the price of our common stock.</w:t>
      </w:r>
    </w:p>
    <w:p>
      <w:pPr>
        <w:spacing w:after="0" w:line="157" w:lineRule="exact"/>
        <w:rPr>
          <w:sz w:val="20"/>
          <w:szCs w:val="20"/>
          <w:color w:val="auto"/>
        </w:rPr>
      </w:pPr>
    </w:p>
    <w:p>
      <w:pPr>
        <w:jc w:val="both"/>
        <w:ind w:left="40" w:right="259"/>
        <w:spacing w:after="0" w:line="295" w:lineRule="auto"/>
        <w:rPr>
          <w:sz w:val="20"/>
          <w:szCs w:val="20"/>
          <w:color w:val="auto"/>
        </w:rPr>
      </w:pPr>
      <w:r>
        <w:rPr>
          <w:rFonts w:ascii="Times New Roman" w:cs="Times New Roman" w:eastAsia="Times New Roman" w:hAnsi="Times New Roman"/>
          <w:sz w:val="16"/>
          <w:szCs w:val="16"/>
          <w:b w:val="1"/>
          <w:bCs w:val="1"/>
          <w:i w:val="1"/>
          <w:iCs w:val="1"/>
          <w:color w:val="231F20"/>
        </w:rPr>
        <w:t>Our ongoing Phase 3 clinical trial of obexelimab for IgG4-RD and other clinical trials of obexelimab, even if successfully completed, may not be sufficient for approval of obexelimab for the applicable indication.</w:t>
      </w:r>
    </w:p>
    <w:p>
      <w:pPr>
        <w:spacing w:after="0" w:line="150" w:lineRule="exact"/>
        <w:rPr>
          <w:sz w:val="20"/>
          <w:szCs w:val="20"/>
          <w:color w:val="auto"/>
        </w:rPr>
      </w:pPr>
    </w:p>
    <w:p>
      <w:pPr>
        <w:jc w:val="both"/>
        <w:ind w:left="40" w:right="259" w:firstLine="325"/>
        <w:spacing w:after="0" w:line="261" w:lineRule="auto"/>
        <w:rPr>
          <w:sz w:val="20"/>
          <w:szCs w:val="20"/>
          <w:color w:val="auto"/>
        </w:rPr>
      </w:pPr>
      <w:r>
        <w:rPr>
          <w:rFonts w:ascii="Times New Roman" w:cs="Times New Roman" w:eastAsia="Times New Roman" w:hAnsi="Times New Roman"/>
          <w:sz w:val="16"/>
          <w:szCs w:val="16"/>
          <w:color w:val="231F20"/>
        </w:rPr>
        <w:t>FDA approval of a new biologic generally requires data from two well-controlled Phase 3 clinical trials of the relevant biologic in the relevant patient population; however, in some cases the FDA may accept data from a single Phase 3 clinical trial to support marketing approval. We are conducting a Phase 3 trial of obexelimab for IgG4-RD, and we believe the results of this trial may be sufficient to support submission of a BLA for this indication. Although we have discussed our plans with the FDA, we do not have any agreement from the FDA that our regulatory development plans will provide adequate safety and efficacy data for the proposed dosing regimen or otherwise be sufficient for submission of a BLA.</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7309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spacing w:after="0" w:line="266" w:lineRule="auto"/>
        <w:rPr>
          <w:sz w:val="20"/>
          <w:szCs w:val="20"/>
          <w:color w:val="auto"/>
        </w:rPr>
      </w:pPr>
      <w:r>
        <w:rPr>
          <w:rFonts w:ascii="Times New Roman" w:cs="Times New Roman" w:eastAsia="Times New Roman" w:hAnsi="Times New Roman"/>
          <w:sz w:val="16"/>
          <w:szCs w:val="16"/>
          <w:color w:val="231F20"/>
        </w:rPr>
        <w:t>The FDA may require that we conduct additional clinical trials, including a comparative trial against an approved therapy, which would significantly delay our development timelines and require substantially more resources. If we are required to conduct two Phase 3 clinical trials for IgG4-RD, then our development timeline would be extended, and the related expenses would be significantly increased.</w:t>
      </w:r>
    </w:p>
    <w:p>
      <w:pPr>
        <w:spacing w:after="0" w:line="161" w:lineRule="exact"/>
        <w:rPr>
          <w:sz w:val="20"/>
          <w:szCs w:val="20"/>
          <w:color w:val="auto"/>
        </w:rPr>
      </w:pPr>
    </w:p>
    <w:p>
      <w:pPr>
        <w:jc w:val="both"/>
        <w:ind w:left="40" w:right="259" w:firstLine="325"/>
        <w:spacing w:after="0" w:line="305" w:lineRule="auto"/>
        <w:rPr>
          <w:sz w:val="20"/>
          <w:szCs w:val="20"/>
          <w:color w:val="auto"/>
        </w:rPr>
      </w:pPr>
      <w:r>
        <w:rPr>
          <w:rFonts w:ascii="Times New Roman" w:cs="Times New Roman" w:eastAsia="Times New Roman" w:hAnsi="Times New Roman"/>
          <w:sz w:val="16"/>
          <w:szCs w:val="16"/>
          <w:color w:val="231F20"/>
        </w:rPr>
        <w:t>Although obexelimab has been granted orphan drug designation by the FDA for IgG4-RD, such designation does not guarantee that any regulatory authority will accept fewer trials, accelerate regulatory review of, or ultimately approve obexelimab for IgG4-RD.</w:t>
      </w:r>
    </w:p>
    <w:p>
      <w:pPr>
        <w:spacing w:after="0" w:line="143" w:lineRule="exact"/>
        <w:rPr>
          <w:sz w:val="20"/>
          <w:szCs w:val="20"/>
          <w:color w:val="auto"/>
        </w:rPr>
      </w:pPr>
    </w:p>
    <w:p>
      <w:pPr>
        <w:jc w:val="both"/>
        <w:ind w:left="40" w:right="259" w:firstLine="325"/>
        <w:spacing w:after="0" w:line="277" w:lineRule="auto"/>
        <w:rPr>
          <w:sz w:val="20"/>
          <w:szCs w:val="20"/>
          <w:color w:val="auto"/>
        </w:rPr>
      </w:pPr>
      <w:r>
        <w:rPr>
          <w:rFonts w:ascii="Times New Roman" w:cs="Times New Roman" w:eastAsia="Times New Roman" w:hAnsi="Times New Roman"/>
          <w:sz w:val="16"/>
          <w:szCs w:val="16"/>
          <w:color w:val="231F20"/>
        </w:rPr>
        <w:t>If the FDA does not agree with our planned strategy, the FDA may ultimately require us to conduct additional Phase 3 clinical trials prior to approval of an indication. In addition, the standard of care may change with the approval of new products in the same indications that we are studying. This may result in the FDA or other regulatory authorities requesting additional studies to show that our product candidate is superior to the new products.</w:t>
      </w:r>
    </w:p>
    <w:p>
      <w:pPr>
        <w:spacing w:after="0" w:line="147" w:lineRule="exact"/>
        <w:rPr>
          <w:sz w:val="20"/>
          <w:szCs w:val="20"/>
          <w:color w:val="auto"/>
        </w:rPr>
      </w:pPr>
    </w:p>
    <w:p>
      <w:pPr>
        <w:jc w:val="both"/>
        <w:ind w:left="40" w:right="259"/>
        <w:spacing w:after="0" w:line="311" w:lineRule="auto"/>
        <w:rPr>
          <w:sz w:val="20"/>
          <w:szCs w:val="20"/>
          <w:color w:val="auto"/>
        </w:rPr>
      </w:pPr>
      <w:r>
        <w:rPr>
          <w:rFonts w:ascii="Times New Roman" w:cs="Times New Roman" w:eastAsia="Times New Roman" w:hAnsi="Times New Roman"/>
          <w:sz w:val="16"/>
          <w:szCs w:val="16"/>
          <w:b w:val="1"/>
          <w:bCs w:val="1"/>
          <w:i w:val="1"/>
          <w:iCs w:val="1"/>
          <w:color w:val="231F20"/>
        </w:rPr>
        <w:t>We may not realize the benefits of our current or future collaborations or licensing arrangements and may be unsuccessful in consummating future partnerships.</w:t>
      </w:r>
    </w:p>
    <w:p>
      <w:pPr>
        <w:spacing w:after="0" w:line="125" w:lineRule="exact"/>
        <w:rPr>
          <w:sz w:val="20"/>
          <w:szCs w:val="20"/>
          <w:color w:val="auto"/>
        </w:rPr>
      </w:pPr>
    </w:p>
    <w:p>
      <w:pPr>
        <w:jc w:val="both"/>
        <w:ind w:left="40" w:right="259" w:firstLine="325"/>
        <w:spacing w:after="0" w:line="275" w:lineRule="auto"/>
        <w:rPr>
          <w:sz w:val="20"/>
          <w:szCs w:val="20"/>
          <w:color w:val="auto"/>
        </w:rPr>
      </w:pPr>
      <w:r>
        <w:rPr>
          <w:rFonts w:ascii="Times New Roman" w:cs="Times New Roman" w:eastAsia="Times New Roman" w:hAnsi="Times New Roman"/>
          <w:sz w:val="16"/>
          <w:szCs w:val="16"/>
          <w:color w:val="231F20"/>
        </w:rPr>
        <w:t>Our current or future collaborations or licensing arrangements may not be successful. Additionally, we have partnered, and intend to further partner, with third parties with respect to the clinical development and commercialization, if approved, of certain of our programs in certain regions outside the United States and Europe, and we may not be successful in identifying, negotiating and executing partnerships. The success of our collaboration arrangements will depend heavily on the efforts and activities of our collaborators. Collaborations are subject to numerous risks, which may include that:</w:t>
      </w:r>
    </w:p>
    <w:p>
      <w:pPr>
        <w:spacing w:after="0" w:line="154" w:lineRule="exact"/>
        <w:rPr>
          <w:sz w:val="20"/>
          <w:szCs w:val="20"/>
          <w:color w:val="auto"/>
        </w:rPr>
      </w:pPr>
    </w:p>
    <w:p>
      <w:pPr>
        <w:ind w:left="660" w:hanging="154"/>
        <w:spacing w:after="0"/>
        <w:tabs>
          <w:tab w:leader="none" w:pos="660"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collaborators have significant discretion in determining the efforts and resources that they will apply to collaborations;</w:t>
      </w:r>
    </w:p>
    <w:p>
      <w:pPr>
        <w:spacing w:after="0" w:line="121" w:lineRule="exact"/>
        <w:rPr>
          <w:rFonts w:ascii="Times New Roman" w:cs="Times New Roman" w:eastAsia="Times New Roman" w:hAnsi="Times New Roman"/>
          <w:sz w:val="16"/>
          <w:szCs w:val="16"/>
          <w:color w:val="231F20"/>
        </w:rPr>
      </w:pPr>
    </w:p>
    <w:p>
      <w:pPr>
        <w:jc w:val="both"/>
        <w:ind w:left="660" w:right="279" w:hanging="154"/>
        <w:spacing w:after="0" w:line="277" w:lineRule="auto"/>
        <w:tabs>
          <w:tab w:leader="none" w:pos="660"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65" w:lineRule="exact"/>
        <w:rPr>
          <w:rFonts w:ascii="Times New Roman" w:cs="Times New Roman" w:eastAsia="Times New Roman" w:hAnsi="Times New Roman"/>
          <w:sz w:val="16"/>
          <w:szCs w:val="16"/>
          <w:color w:val="231F20"/>
        </w:rPr>
      </w:pPr>
    </w:p>
    <w:p>
      <w:pPr>
        <w:jc w:val="both"/>
        <w:ind w:left="660" w:right="279" w:hanging="154"/>
        <w:spacing w:after="0" w:line="280" w:lineRule="auto"/>
        <w:tabs>
          <w:tab w:leader="none" w:pos="660"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agreements with collaborators may not provide exclusive rights to use their intellectual property and technology in all relevant fields of use and in all territories in which we may wish to develop or commercialize our technology and product candidates in the future;</w:t>
      </w:r>
    </w:p>
    <w:p>
      <w:pPr>
        <w:spacing w:after="0" w:line="63" w:lineRule="exact"/>
        <w:rPr>
          <w:rFonts w:ascii="Times New Roman" w:cs="Times New Roman" w:eastAsia="Times New Roman" w:hAnsi="Times New Roman"/>
          <w:sz w:val="16"/>
          <w:szCs w:val="16"/>
          <w:color w:val="231F20"/>
        </w:rPr>
      </w:pPr>
    </w:p>
    <w:p>
      <w:pPr>
        <w:ind w:left="660" w:right="279" w:hanging="154"/>
        <w:spacing w:after="0" w:line="305" w:lineRule="auto"/>
        <w:tabs>
          <w:tab w:leader="none" w:pos="660"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collaborators could independently develop, or develop with third parties, products that compete directly or indirectly with our product candidates;</w:t>
      </w:r>
    </w:p>
    <w:p>
      <w:pPr>
        <w:spacing w:after="0" w:line="32" w:lineRule="exact"/>
        <w:rPr>
          <w:rFonts w:ascii="Times New Roman" w:cs="Times New Roman" w:eastAsia="Times New Roman" w:hAnsi="Times New Roman"/>
          <w:sz w:val="16"/>
          <w:szCs w:val="16"/>
          <w:color w:val="231F20"/>
        </w:rPr>
      </w:pPr>
    </w:p>
    <w:p>
      <w:pPr>
        <w:ind w:left="660" w:right="279" w:hanging="154"/>
        <w:spacing w:after="0" w:line="305" w:lineRule="auto"/>
        <w:tabs>
          <w:tab w:leader="none" w:pos="660"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 collaborator with marketing, manufacturing and distribution rights to one or more products may not commit sufficient resources to or otherwise not perform satisfactorily in carrying out these activities;</w:t>
      </w:r>
    </w:p>
    <w:p>
      <w:pPr>
        <w:spacing w:after="0" w:line="32"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grant of exclusive rights to our collaborators would prevent us from collaborating with others;</w:t>
      </w:r>
    </w:p>
    <w:p>
      <w:pPr>
        <w:spacing w:after="0" w:line="121" w:lineRule="exact"/>
        <w:rPr>
          <w:rFonts w:ascii="Times New Roman" w:cs="Times New Roman" w:eastAsia="Times New Roman" w:hAnsi="Times New Roman"/>
          <w:sz w:val="16"/>
          <w:szCs w:val="16"/>
          <w:color w:val="231F20"/>
        </w:rPr>
      </w:pPr>
    </w:p>
    <w:p>
      <w:pPr>
        <w:jc w:val="both"/>
        <w:ind w:left="660" w:right="279" w:hanging="154"/>
        <w:spacing w:after="0" w:line="280" w:lineRule="auto"/>
        <w:tabs>
          <w:tab w:leader="none" w:pos="660"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3" w:lineRule="exact"/>
        <w:rPr>
          <w:rFonts w:ascii="Times New Roman" w:cs="Times New Roman" w:eastAsia="Times New Roman" w:hAnsi="Times New Roman"/>
          <w:sz w:val="16"/>
          <w:szCs w:val="16"/>
          <w:color w:val="231F20"/>
        </w:rPr>
      </w:pPr>
    </w:p>
    <w:p>
      <w:pPr>
        <w:jc w:val="both"/>
        <w:ind w:left="660" w:right="279" w:hanging="154"/>
        <w:spacing w:after="0" w:line="280" w:lineRule="auto"/>
        <w:tabs>
          <w:tab w:leader="none" w:pos="660"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disputes may arise between us and a collaborator that cause the delay or termination of the research, development or commercialization of our future product candidates or that result in costly litigation or arbitration that diverts management attention and resources;</w:t>
      </w:r>
    </w:p>
    <w:p>
      <w:pPr>
        <w:spacing w:after="0" w:line="39"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collaborations may be terminated, and, if terminated, may result in a need for additional capital to pursue further development or commercialization of the applicable future product candidates;</w:t>
      </w:r>
    </w:p>
    <w:p>
      <w:pPr>
        <w:spacing w:after="0" w:line="57"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collaborators may own or co-own intellectual property covering our product candidates that results from our collaborating with them, and in such cases, we would not have the exclusive right to develop or commercialize</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7309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231F20"/>
        </w:rPr>
        <w:t>such intellectual property; and</w:t>
      </w:r>
    </w:p>
    <w:p>
      <w:pPr>
        <w:spacing w:after="0" w:line="121" w:lineRule="exact"/>
        <w:rPr>
          <w:sz w:val="20"/>
          <w:szCs w:val="20"/>
          <w:color w:val="auto"/>
        </w:rPr>
      </w:pPr>
    </w:p>
    <w:p>
      <w:pPr>
        <w:ind w:left="660" w:right="279" w:hanging="154"/>
        <w:spacing w:after="0" w:line="305" w:lineRule="auto"/>
        <w:tabs>
          <w:tab w:leader="none" w:pos="660" w:val="left"/>
        </w:tabs>
        <w:numPr>
          <w:ilvl w:val="0"/>
          <w:numId w:val="4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 collaborator’s sales and marketing activities or other operations may not be in compliance with applicable laws resulting in civil or criminal proceedings.</w:t>
      </w:r>
    </w:p>
    <w:p>
      <w:pPr>
        <w:spacing w:after="0" w:line="65" w:lineRule="exact"/>
        <w:rPr>
          <w:sz w:val="20"/>
          <w:szCs w:val="20"/>
          <w:color w:val="auto"/>
        </w:rPr>
      </w:pPr>
    </w:p>
    <w:p>
      <w:pPr>
        <w:jc w:val="both"/>
        <w:ind w:left="40" w:right="259"/>
        <w:spacing w:after="0" w:line="274" w:lineRule="auto"/>
        <w:rPr>
          <w:sz w:val="20"/>
          <w:szCs w:val="20"/>
          <w:color w:val="auto"/>
        </w:rPr>
      </w:pPr>
      <w:r>
        <w:rPr>
          <w:rFonts w:ascii="Times New Roman" w:cs="Times New Roman" w:eastAsia="Times New Roman" w:hAnsi="Times New Roman"/>
          <w:sz w:val="16"/>
          <w:szCs w:val="16"/>
          <w:b w:val="1"/>
          <w:bCs w:val="1"/>
          <w:i w:val="1"/>
          <w:iCs w:val="1"/>
          <w:color w:val="231F20"/>
        </w:rPr>
        <w:t>Even if we complete the necessary clinical trials, we cannot predict when, or if, we will obtain regulatory approval to commercialize any product candidate in the United States or any other jurisdiction, and any such approval may be for a more narrow indication than we seek.</w:t>
      </w:r>
    </w:p>
    <w:p>
      <w:pPr>
        <w:spacing w:after="0" w:line="167" w:lineRule="exact"/>
        <w:rPr>
          <w:sz w:val="20"/>
          <w:szCs w:val="20"/>
          <w:color w:val="auto"/>
        </w:rPr>
      </w:pPr>
    </w:p>
    <w:p>
      <w:pPr>
        <w:jc w:val="both"/>
        <w:ind w:left="40" w:right="259" w:firstLine="325"/>
        <w:spacing w:after="0" w:line="271" w:lineRule="auto"/>
        <w:rPr>
          <w:sz w:val="20"/>
          <w:szCs w:val="20"/>
          <w:color w:val="auto"/>
        </w:rPr>
      </w:pPr>
      <w:r>
        <w:rPr>
          <w:rFonts w:ascii="Times New Roman" w:cs="Times New Roman" w:eastAsia="Times New Roman" w:hAnsi="Times New Roman"/>
          <w:sz w:val="16"/>
          <w:szCs w:val="16"/>
          <w:color w:val="231F20"/>
        </w:rPr>
        <w:t>We cannot commercialize a product candidate unless and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57" w:lineRule="exact"/>
        <w:rPr>
          <w:sz w:val="20"/>
          <w:szCs w:val="20"/>
          <w:color w:val="auto"/>
        </w:rPr>
      </w:pPr>
    </w:p>
    <w:p>
      <w:pPr>
        <w:jc w:val="both"/>
        <w:ind w:left="40" w:right="259" w:firstLine="325"/>
        <w:spacing w:after="0" w:line="271" w:lineRule="auto"/>
        <w:rPr>
          <w:sz w:val="20"/>
          <w:szCs w:val="20"/>
          <w:color w:val="auto"/>
        </w:rPr>
      </w:pPr>
      <w:r>
        <w:rPr>
          <w:rFonts w:ascii="Times New Roman" w:cs="Times New Roman" w:eastAsia="Times New Roman" w:hAnsi="Times New Roman"/>
          <w:sz w:val="16"/>
          <w:szCs w:val="16"/>
          <w:color w:val="231F20"/>
        </w:rPr>
        <w:t>Regulatory authorities may approve a product candidate for more limited indications than requested or they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 marketing clinical trials. In addition, regulatory authorities may not approve the labeling claims that we believe are necessary or desirable for the successful commercialization of any product candidates we may develop. Any of the foregoing scenarios could materially harm the commercial prospects for our product candidates and adversely affect our business, financial condition, results of operations, and prospects.</w:t>
      </w:r>
    </w:p>
    <w:p>
      <w:pPr>
        <w:spacing w:after="0" w:line="169" w:lineRule="exact"/>
        <w:rPr>
          <w:sz w:val="20"/>
          <w:szCs w:val="20"/>
          <w:color w:val="auto"/>
        </w:rPr>
      </w:pPr>
    </w:p>
    <w:p>
      <w:pPr>
        <w:jc w:val="both"/>
        <w:ind w:left="40" w:right="259" w:firstLine="328"/>
        <w:spacing w:after="0" w:line="305" w:lineRule="auto"/>
        <w:rPr>
          <w:sz w:val="20"/>
          <w:szCs w:val="20"/>
          <w:color w:val="auto"/>
        </w:rPr>
      </w:pPr>
      <w:r>
        <w:rPr>
          <w:rFonts w:ascii="Times New Roman" w:cs="Times New Roman" w:eastAsia="Times New Roman" w:hAnsi="Times New Roman"/>
          <w:sz w:val="16"/>
          <w:szCs w:val="16"/>
          <w:color w:val="231F20"/>
        </w:rPr>
        <w:t>Our clinical trial results may not support approval and our product candidates could fail to receive regulatory approval for many reasons, including the following:</w:t>
      </w:r>
    </w:p>
    <w:p>
      <w:pPr>
        <w:spacing w:after="0" w:line="130" w:lineRule="exact"/>
        <w:rPr>
          <w:sz w:val="20"/>
          <w:szCs w:val="20"/>
          <w:color w:val="auto"/>
        </w:rPr>
      </w:pPr>
    </w:p>
    <w:p>
      <w:pPr>
        <w:ind w:left="660" w:hanging="154"/>
        <w:spacing w:after="0"/>
        <w:tabs>
          <w:tab w:leader="none" w:pos="660" w:val="left"/>
        </w:tabs>
        <w:numPr>
          <w:ilvl w:val="0"/>
          <w:numId w:val="4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FDA or comparable foreign regulatory authorities may disagree with the design or implementation of our clinical trials;</w:t>
      </w:r>
    </w:p>
    <w:p>
      <w:pPr>
        <w:spacing w:after="0" w:line="121" w:lineRule="exact"/>
        <w:rPr>
          <w:rFonts w:ascii="Times New Roman" w:cs="Times New Roman" w:eastAsia="Times New Roman" w:hAnsi="Times New Roman"/>
          <w:sz w:val="16"/>
          <w:szCs w:val="16"/>
          <w:color w:val="231F20"/>
        </w:rPr>
      </w:pPr>
    </w:p>
    <w:p>
      <w:pPr>
        <w:ind w:left="660" w:right="279" w:hanging="154"/>
        <w:spacing w:after="0" w:line="305" w:lineRule="auto"/>
        <w:tabs>
          <w:tab w:leader="none" w:pos="660" w:val="left"/>
        </w:tabs>
        <w:numPr>
          <w:ilvl w:val="0"/>
          <w:numId w:val="4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we may be unable to demonstrate to the satisfaction of the FDA or comparable foreign regulatory authorities that our product candidates are safe and effective for any of their proposed indications;</w:t>
      </w:r>
    </w:p>
    <w:p>
      <w:pPr>
        <w:spacing w:after="0" w:line="32" w:lineRule="exact"/>
        <w:rPr>
          <w:rFonts w:ascii="Times New Roman" w:cs="Times New Roman" w:eastAsia="Times New Roman" w:hAnsi="Times New Roman"/>
          <w:sz w:val="16"/>
          <w:szCs w:val="16"/>
          <w:color w:val="231F20"/>
        </w:rPr>
      </w:pPr>
    </w:p>
    <w:p>
      <w:pPr>
        <w:jc w:val="both"/>
        <w:ind w:left="660" w:right="279" w:hanging="154"/>
        <w:spacing w:after="0" w:line="280" w:lineRule="auto"/>
        <w:tabs>
          <w:tab w:leader="none" w:pos="660" w:val="left"/>
        </w:tabs>
        <w:numPr>
          <w:ilvl w:val="0"/>
          <w:numId w:val="4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results of clinical trials may not meet the level of statistical significance required by the FDA or comparable foreign regulatory authorities for approval, including due to the heterogeneity of patient populations, or apparent improvement in trial participants receiving placebo;</w:t>
      </w:r>
    </w:p>
    <w:p>
      <w:pPr>
        <w:spacing w:after="0" w:line="63"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4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we may be unable to demonstrate that our product candidates’ clinical and other benefits outweigh their safety risks;</w:t>
      </w:r>
    </w:p>
    <w:p>
      <w:pPr>
        <w:spacing w:after="0" w:line="121" w:lineRule="exact"/>
        <w:rPr>
          <w:rFonts w:ascii="Times New Roman" w:cs="Times New Roman" w:eastAsia="Times New Roman" w:hAnsi="Times New Roman"/>
          <w:sz w:val="16"/>
          <w:szCs w:val="16"/>
          <w:color w:val="231F20"/>
        </w:rPr>
      </w:pPr>
    </w:p>
    <w:p>
      <w:pPr>
        <w:ind w:left="660" w:right="279" w:hanging="154"/>
        <w:spacing w:after="0" w:line="305" w:lineRule="auto"/>
        <w:tabs>
          <w:tab w:leader="none" w:pos="660" w:val="left"/>
        </w:tabs>
        <w:numPr>
          <w:ilvl w:val="0"/>
          <w:numId w:val="4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FDA or comparable foreign regulatory authorities may disagree with our interpretation of data from preclinical studies or clinical trials;</w:t>
      </w:r>
    </w:p>
    <w:p>
      <w:pPr>
        <w:spacing w:after="0" w:line="32" w:lineRule="exact"/>
        <w:rPr>
          <w:rFonts w:ascii="Times New Roman" w:cs="Times New Roman" w:eastAsia="Times New Roman" w:hAnsi="Times New Roman"/>
          <w:sz w:val="16"/>
          <w:szCs w:val="16"/>
          <w:color w:val="231F20"/>
        </w:rPr>
      </w:pPr>
    </w:p>
    <w:p>
      <w:pPr>
        <w:jc w:val="both"/>
        <w:ind w:left="660" w:right="279" w:hanging="154"/>
        <w:spacing w:after="0" w:line="280" w:lineRule="auto"/>
        <w:tabs>
          <w:tab w:leader="none" w:pos="660" w:val="left"/>
        </w:tabs>
        <w:numPr>
          <w:ilvl w:val="0"/>
          <w:numId w:val="4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U.S. or elsewhere;</w:t>
      </w:r>
    </w:p>
    <w:p>
      <w:pPr>
        <w:spacing w:after="0" w:line="63"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4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FDA or comparable foreign regulatory authorities may not approve our CMOs’ manufacturing process or facilities;</w:t>
      </w:r>
    </w:p>
    <w:p>
      <w:pPr>
        <w:spacing w:after="0" w:line="121" w:lineRule="exact"/>
        <w:rPr>
          <w:rFonts w:ascii="Times New Roman" w:cs="Times New Roman" w:eastAsia="Times New Roman" w:hAnsi="Times New Roman"/>
          <w:sz w:val="16"/>
          <w:szCs w:val="16"/>
          <w:color w:val="231F20"/>
        </w:rPr>
      </w:pPr>
    </w:p>
    <w:p>
      <w:pPr>
        <w:ind w:left="660" w:right="279" w:hanging="154"/>
        <w:spacing w:after="0" w:line="305" w:lineRule="auto"/>
        <w:tabs>
          <w:tab w:leader="none" w:pos="660" w:val="left"/>
        </w:tabs>
        <w:numPr>
          <w:ilvl w:val="0"/>
          <w:numId w:val="4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FDA may not accept clinical data from trials conducted by individual investigators or in countries where the standard of care is potentially different from the U.S.; and</w:t>
      </w:r>
    </w:p>
    <w:p>
      <w:pPr>
        <w:spacing w:after="0" w:line="8" w:lineRule="exact"/>
        <w:rPr>
          <w:rFonts w:ascii="Times New Roman" w:cs="Times New Roman" w:eastAsia="Times New Roman" w:hAnsi="Times New Roman"/>
          <w:sz w:val="16"/>
          <w:szCs w:val="16"/>
          <w:color w:val="231F20"/>
        </w:rPr>
      </w:pPr>
    </w:p>
    <w:p>
      <w:pPr>
        <w:ind w:left="660" w:right="439" w:hanging="154"/>
        <w:spacing w:after="0" w:line="289" w:lineRule="auto"/>
        <w:tabs>
          <w:tab w:leader="none" w:pos="660" w:val="left"/>
        </w:tabs>
        <w:numPr>
          <w:ilvl w:val="0"/>
          <w:numId w:val="4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approval policies or regulations of the FDA or comparable foreign regulatory authorities may significantly change in a manner rendering our clinical data insufficient for approval.</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7309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firstLine="325"/>
        <w:spacing w:after="0" w:line="305" w:lineRule="auto"/>
        <w:rPr>
          <w:sz w:val="20"/>
          <w:szCs w:val="20"/>
          <w:color w:val="auto"/>
        </w:rPr>
      </w:pPr>
      <w:r>
        <w:rPr>
          <w:rFonts w:ascii="Times New Roman" w:cs="Times New Roman" w:eastAsia="Times New Roman" w:hAnsi="Times New Roman"/>
          <w:sz w:val="16"/>
          <w:szCs w:val="16"/>
          <w:color w:val="231F20"/>
        </w:rPr>
        <w:t>Regulatory approval for our product candidates may not be obtained without lengthy delays, if at all. Any delay in obtaining, or inability to obtain, applicable regulatory approvals would prevent us from commercializing our product candidates.</w:t>
      </w:r>
    </w:p>
    <w:p>
      <w:pPr>
        <w:spacing w:after="0" w:line="126" w:lineRule="exact"/>
        <w:rPr>
          <w:sz w:val="20"/>
          <w:szCs w:val="20"/>
          <w:color w:val="auto"/>
        </w:rPr>
      </w:pPr>
    </w:p>
    <w:p>
      <w:pPr>
        <w:jc w:val="both"/>
        <w:ind w:left="40" w:right="259"/>
        <w:spacing w:after="0" w:line="295" w:lineRule="auto"/>
        <w:rPr>
          <w:sz w:val="20"/>
          <w:szCs w:val="20"/>
          <w:color w:val="auto"/>
        </w:rPr>
      </w:pPr>
      <w:r>
        <w:rPr>
          <w:rFonts w:ascii="Times New Roman" w:cs="Times New Roman" w:eastAsia="Times New Roman" w:hAnsi="Times New Roman"/>
          <w:sz w:val="16"/>
          <w:szCs w:val="16"/>
          <w:b w:val="1"/>
          <w:bCs w:val="1"/>
          <w:i w:val="1"/>
          <w:iCs w:val="1"/>
          <w:color w:val="231F20"/>
        </w:rPr>
        <w:t>We may expend our limited resources to pursue a particular product candidate in specific indications and fail to capitalize on product candidates or indications that may be more profitable or for which there is a greater likelihood of success.</w:t>
      </w:r>
    </w:p>
    <w:p>
      <w:pPr>
        <w:spacing w:after="0" w:line="138" w:lineRule="exact"/>
        <w:rPr>
          <w:sz w:val="20"/>
          <w:szCs w:val="20"/>
          <w:color w:val="auto"/>
        </w:rPr>
      </w:pPr>
    </w:p>
    <w:p>
      <w:pPr>
        <w:jc w:val="both"/>
        <w:ind w:left="40" w:right="259" w:firstLine="325"/>
        <w:spacing w:after="0" w:line="259" w:lineRule="auto"/>
        <w:rPr>
          <w:sz w:val="20"/>
          <w:szCs w:val="20"/>
          <w:color w:val="auto"/>
        </w:rPr>
      </w:pPr>
      <w:r>
        <w:rPr>
          <w:rFonts w:ascii="Times New Roman" w:cs="Times New Roman" w:eastAsia="Times New Roman" w:hAnsi="Times New Roman"/>
          <w:sz w:val="16"/>
          <w:szCs w:val="16"/>
          <w:color w:val="231F20"/>
        </w:rPr>
        <w:t>Because we have limited financial and managerial resources, we focus our development efforts on certain selected product candidates in certain selected indications. For example, we are initially focused on our lead product candidate, obexelimab, for the treatment of IgG4-RD, MS, SLE and wAIHA. As a result, we may forgo or delay pursuit of opportunities with other product candidates or other indications for our existing product candidates that later prove to have greater commercial potential. Additionally, negative clinical trial results with respect to one indication of a product candidate may impact the potential or perception of other indications of the product candidate. Our resource allocation decisions may result in our failure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0" w:lineRule="exact"/>
        <w:rPr>
          <w:sz w:val="20"/>
          <w:szCs w:val="20"/>
          <w:color w:val="auto"/>
        </w:rPr>
      </w:pPr>
    </w:p>
    <w:p>
      <w:pPr>
        <w:jc w:val="both"/>
        <w:ind w:left="40" w:right="259"/>
        <w:spacing w:after="0" w:line="295" w:lineRule="auto"/>
        <w:rPr>
          <w:sz w:val="20"/>
          <w:szCs w:val="20"/>
          <w:color w:val="auto"/>
        </w:rPr>
      </w:pPr>
      <w:r>
        <w:rPr>
          <w:rFonts w:ascii="Times New Roman" w:cs="Times New Roman" w:eastAsia="Times New Roman" w:hAnsi="Times New Roman"/>
          <w:sz w:val="16"/>
          <w:szCs w:val="16"/>
          <w:b w:val="1"/>
          <w:bCs w:val="1"/>
          <w:i w:val="1"/>
          <w:iCs w:val="1"/>
          <w:color w:val="231F20"/>
        </w:rPr>
        <w:t>We are currently conducting, and may in the future conduct, clinical trials for current or future product candidates outside the United States, and the FDA and comparable foreign regulatory authorities may not accept data from such trials.</w:t>
      </w:r>
    </w:p>
    <w:p>
      <w:pPr>
        <w:spacing w:after="0" w:line="138" w:lineRule="exact"/>
        <w:rPr>
          <w:sz w:val="20"/>
          <w:szCs w:val="20"/>
          <w:color w:val="auto"/>
        </w:rPr>
      </w:pPr>
    </w:p>
    <w:p>
      <w:pPr>
        <w:jc w:val="both"/>
        <w:ind w:left="40" w:right="259" w:firstLine="325"/>
        <w:spacing w:after="0" w:line="262" w:lineRule="auto"/>
        <w:rPr>
          <w:sz w:val="20"/>
          <w:szCs w:val="20"/>
          <w:color w:val="auto"/>
        </w:rPr>
      </w:pPr>
      <w:r>
        <w:rPr>
          <w:rFonts w:ascii="Times New Roman" w:cs="Times New Roman" w:eastAsia="Times New Roman" w:hAnsi="Times New Roman"/>
          <w:sz w:val="16"/>
          <w:szCs w:val="16"/>
          <w:color w:val="231F20"/>
        </w:rPr>
        <w:t>We are currently conducting clinical trials outside the United States, including in Europe and Asia, and we expect to continue to conduct trials internationally in the future. The acceptance of data from clinical trials conducted outside the United States by the FDA or comparable foreign regulatory authorities may be subject to certain conditions or may not be accepted at all. In cases where data from foreign clinical trials are intended to serve as the basis for marketing approval in the United States, the FDA will generally not approve the application unless the data are applicable to the United States population and United States medical practice, the trials were performed by clinical investigators of recognized competence and pursuant to GCP regulations and the FDA is able to validate the data through an on-site inspection or other appropriate means. Additionally, the FDA’s clinical trial requirements, including sufficient size of patient populations and statistical powering, must be met. Many comparable foreign regulatory authorities have similar approval requirements. In addition, foreign trials are subject to local laws of the foreign jurisdictions where the trials are conducted. The FDA or any comparable foreign regulatory authority may not accept data from trials conducted outside of the United States or the applicable jurisdiction, which would result in the need for additional trials that could be costly and time consuming and could result in the product candidate not receiving approval for commercialization in the applicable jurisdiction.</w:t>
      </w:r>
    </w:p>
    <w:p>
      <w:pPr>
        <w:spacing w:after="0" w:line="161" w:lineRule="exact"/>
        <w:rPr>
          <w:sz w:val="20"/>
          <w:szCs w:val="20"/>
          <w:color w:val="auto"/>
        </w:rPr>
      </w:pPr>
    </w:p>
    <w:p>
      <w:pPr>
        <w:jc w:val="both"/>
        <w:ind w:left="40" w:right="259"/>
        <w:spacing w:after="0" w:line="295" w:lineRule="auto"/>
        <w:rPr>
          <w:sz w:val="20"/>
          <w:szCs w:val="20"/>
          <w:color w:val="auto"/>
        </w:rPr>
      </w:pPr>
      <w:r>
        <w:rPr>
          <w:rFonts w:ascii="Times New Roman" w:cs="Times New Roman" w:eastAsia="Times New Roman" w:hAnsi="Times New Roman"/>
          <w:sz w:val="16"/>
          <w:szCs w:val="16"/>
          <w:b w:val="1"/>
          <w:bCs w:val="1"/>
          <w:i w:val="1"/>
          <w:iCs w:val="1"/>
          <w:color w:val="231F20"/>
        </w:rPr>
        <w:t>Even if we receive marketing approval for our current or future product candidates in the United States, we may never receive regulatory approval to market outside of the United States.</w:t>
      </w:r>
    </w:p>
    <w:p>
      <w:pPr>
        <w:spacing w:after="0" w:line="150" w:lineRule="exact"/>
        <w:rPr>
          <w:sz w:val="20"/>
          <w:szCs w:val="20"/>
          <w:color w:val="auto"/>
        </w:rPr>
      </w:pPr>
    </w:p>
    <w:p>
      <w:pPr>
        <w:jc w:val="both"/>
        <w:ind w:left="40" w:right="259" w:firstLine="325"/>
        <w:spacing w:after="0" w:line="262" w:lineRule="auto"/>
        <w:rPr>
          <w:sz w:val="20"/>
          <w:szCs w:val="20"/>
          <w:color w:val="auto"/>
        </w:rPr>
      </w:pPr>
      <w:r>
        <w:rPr>
          <w:rFonts w:ascii="Times New Roman" w:cs="Times New Roman" w:eastAsia="Times New Roman" w:hAnsi="Times New Roman"/>
          <w:sz w:val="16"/>
          <w:szCs w:val="16"/>
          <w:color w:val="231F20"/>
        </w:rPr>
        <w:t>We plan to seek regulatory approval of our current or future product candidates outside of the United States. In order to market any product outside of the United States we must establish and comply with the numerous and varying safety, efficacy and other regulatory requirements of other applicable jurisdictions. Marketing approval processes vary among countries but generally implicate all of the risks detailed above regarding FDA approval in the United States as well as other risks. The time required to obtain approvals in other countries might differ substantially from that required to obtain FDA approval and can require additional product candidate testing and additional administrative review periods.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and would impair our ability to market our current or future product candidates in such foreign markets. Any</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spacing w:after="0" w:line="305" w:lineRule="auto"/>
        <w:rPr>
          <w:sz w:val="20"/>
          <w:szCs w:val="20"/>
          <w:color w:val="auto"/>
        </w:rPr>
      </w:pPr>
      <w:r>
        <w:rPr>
          <w:rFonts w:ascii="Times New Roman" w:cs="Times New Roman" w:eastAsia="Times New Roman" w:hAnsi="Times New Roman"/>
          <w:sz w:val="16"/>
          <w:szCs w:val="16"/>
          <w:color w:val="231F20"/>
        </w:rPr>
        <w:t>such impairment would limit the commercial potential of the product candidate, which could adversely affect our business, financial condition, results of operations and prospects.</w:t>
      </w:r>
    </w:p>
    <w:p>
      <w:pPr>
        <w:spacing w:after="0" w:line="126" w:lineRule="exact"/>
        <w:rPr>
          <w:sz w:val="20"/>
          <w:szCs w:val="20"/>
          <w:color w:val="auto"/>
        </w:rPr>
      </w:pPr>
    </w:p>
    <w:p>
      <w:pPr>
        <w:jc w:val="both"/>
        <w:ind w:left="40" w:right="259"/>
        <w:spacing w:after="0" w:line="273" w:lineRule="auto"/>
        <w:rPr>
          <w:sz w:val="20"/>
          <w:szCs w:val="20"/>
          <w:color w:val="auto"/>
        </w:rPr>
      </w:pPr>
      <w:r>
        <w:rPr>
          <w:rFonts w:ascii="Times New Roman" w:cs="Times New Roman" w:eastAsia="Times New Roman" w:hAnsi="Times New Roman"/>
          <w:sz w:val="16"/>
          <w:szCs w:val="16"/>
          <w:b w:val="1"/>
          <w:bCs w:val="1"/>
          <w:i w:val="1"/>
          <w:iCs w:val="1"/>
          <w:color w:val="231F20"/>
        </w:rPr>
        <w:t>The successful commercialization of our product candidates, if approved, will depend in part on the extent to which governmental authorities and other third party payors establish broad coverage, adequate reimbursement levels and favorable pricing for our products. Failure to obtain or maintain such coverage, reimbursement and pricing for any approved products could limit our ability to market those products and would decrease our ability to generate revenue.</w:t>
      </w:r>
    </w:p>
    <w:p>
      <w:pPr>
        <w:spacing w:after="0" w:line="155" w:lineRule="exact"/>
        <w:rPr>
          <w:sz w:val="20"/>
          <w:szCs w:val="20"/>
          <w:color w:val="auto"/>
        </w:rPr>
      </w:pPr>
    </w:p>
    <w:p>
      <w:pPr>
        <w:jc w:val="both"/>
        <w:ind w:left="40" w:right="259" w:firstLine="325"/>
        <w:spacing w:after="0" w:line="261" w:lineRule="auto"/>
        <w:rPr>
          <w:sz w:val="20"/>
          <w:szCs w:val="20"/>
          <w:color w:val="auto"/>
        </w:rPr>
      </w:pPr>
      <w:r>
        <w:rPr>
          <w:rFonts w:ascii="Times New Roman" w:cs="Times New Roman" w:eastAsia="Times New Roman" w:hAnsi="Times New Roman"/>
          <w:sz w:val="16"/>
          <w:szCs w:val="16"/>
          <w:color w:val="231F20"/>
        </w:rPr>
        <w:t>The availability of coverage and the adequacy of reimbursement by governmental healthcare authorities or programs such as Medicare and Medicaid, private health insurers and other third-party payors are essential for most patients to be able to afford prescription medications such as our product candidates, if approved. Our ability to achieve coverage and acceptable levels of reimbursement for our approved products by third-party payors will affect our ability to successfully commercialize those products. No uniform policy for coverage and reimbursement for products exists among third-party payors in the United States. Coverage and reimbursement for products can therefore differ significantly from payor to payor. Even if we obtain coverage for a given product by a third-party payor, the reimbursement payment rates may not be adequate or may require co-payments that patients find unacceptably high. Coverage and adequate reimbursement in the United States or elsewhere may not be available for any product that we may develop, and any coverage or reimbursement that may be obtained could be reduced or eliminated in the future.</w:t>
      </w:r>
    </w:p>
    <w:p>
      <w:pPr>
        <w:spacing w:after="0" w:line="164" w:lineRule="exact"/>
        <w:rPr>
          <w:sz w:val="20"/>
          <w:szCs w:val="20"/>
          <w:color w:val="auto"/>
        </w:rPr>
      </w:pPr>
    </w:p>
    <w:p>
      <w:pPr>
        <w:jc w:val="both"/>
        <w:ind w:left="40" w:right="259" w:firstLine="325"/>
        <w:spacing w:after="0" w:line="261" w:lineRule="auto"/>
        <w:rPr>
          <w:sz w:val="20"/>
          <w:szCs w:val="20"/>
          <w:color w:val="auto"/>
        </w:rPr>
      </w:pPr>
      <w:r>
        <w:rPr>
          <w:rFonts w:ascii="Times New Roman" w:cs="Times New Roman" w:eastAsia="Times New Roman" w:hAnsi="Times New Roman"/>
          <w:sz w:val="16"/>
          <w:szCs w:val="16"/>
          <w:color w:val="231F20"/>
        </w:rPr>
        <w:t>There is significant uncertainty related to third-party payor coverage and reimbursement of newly approved products. The coverage determination process is often time consuming and costly and may require us to provide scientific and clinical support for the use of our products to each payor separately, with no assurance that coverage will be obtained. Third party payors may not provide or may limit coverage, including to a subset of the patient population for which the treatment is approved by the FDA, or may control utilization including by requiring that patients try other therapies first or that prescribers obtain specific approval of coverage on a patient by patient basis. Many third-party payors refuse to provide coverage and reimbursement for particular drugs when equivalent generic drugs, biosimilars or less expensive therapies are available. A third-party payor may consider our product candidates, if approved, as substitutes for alternative products on the market now or in the future and only be willing to cover the cost of the alternative product.</w:t>
      </w:r>
    </w:p>
    <w:p>
      <w:pPr>
        <w:spacing w:after="0" w:line="164" w:lineRule="exact"/>
        <w:rPr>
          <w:sz w:val="20"/>
          <w:szCs w:val="20"/>
          <w:color w:val="auto"/>
        </w:rPr>
      </w:pPr>
    </w:p>
    <w:p>
      <w:pPr>
        <w:jc w:val="both"/>
        <w:ind w:left="40" w:right="239" w:firstLine="325"/>
        <w:spacing w:after="0" w:line="261" w:lineRule="auto"/>
        <w:rPr>
          <w:sz w:val="20"/>
          <w:szCs w:val="20"/>
          <w:color w:val="auto"/>
        </w:rPr>
      </w:pPr>
      <w:r>
        <w:rPr>
          <w:rFonts w:ascii="Times New Roman" w:cs="Times New Roman" w:eastAsia="Times New Roman" w:hAnsi="Times New Roman"/>
          <w:sz w:val="16"/>
          <w:szCs w:val="16"/>
          <w:color w:val="231F20"/>
        </w:rPr>
        <w:t>Third-party payors increasingly are challenging prices charged for biopharmaceutical products and services. Even if we show improved efficacy, safety or convenience of administration with obexelimab or any of our other product candidates, pricing of competitive products may limit the amount we will be able to charge for any of our product candidates, if approved. Third-party payors may deny or revoke the reimbursement status of a product or establish payment for new or existing marketed products at levels that are too low to enable us to realize an appropriate return on our investment in our product candidates. When new competitor generic and biosimilar products enter the market, pricing or reimbursement for the innovator compound may be reduced. More generally, the existence of generic and biosimilar products or other therapeutic alternatives within a “therapeutic category” may result in reduced reimbursement from payors. Additionally, new competitor brand drugs can trigger therapeutic category reviews in the interest of modifying coverage and/or reimbursement levels. We may be required to provide discounts or rebates under government healthcare programs or to certain government and private purchasers in order to obtain coverage under federal healthcare programs such as Medicaid. More generally, we may need to offer price concessions to third party payors to obtain favorable coverage or to purchasers to achieve sales. Such actions could have a negative impact on our ability to successfully commercialize any of our product candidates, if approved. Additionally, if a companion diagnostic test is developed for use with a drug product, any coverage and reimbursement for that test would be separate and apart from the coverage and reimbursement sought for such drug product. A lack of coverage or adequate reimbursement for such a test could adversely affect access to a drug product.</w:t>
      </w:r>
    </w:p>
    <w:p>
      <w:pPr>
        <w:spacing w:after="0" w:line="172" w:lineRule="exact"/>
        <w:rPr>
          <w:sz w:val="20"/>
          <w:szCs w:val="20"/>
          <w:color w:val="auto"/>
        </w:rPr>
      </w:pPr>
    </w:p>
    <w:p>
      <w:pPr>
        <w:jc w:val="both"/>
        <w:ind w:left="40" w:right="259" w:firstLine="325"/>
        <w:spacing w:after="0" w:line="271" w:lineRule="auto"/>
        <w:rPr>
          <w:sz w:val="20"/>
          <w:szCs w:val="20"/>
          <w:color w:val="auto"/>
        </w:rPr>
      </w:pPr>
      <w:r>
        <w:rPr>
          <w:rFonts w:ascii="Times New Roman" w:cs="Times New Roman" w:eastAsia="Times New Roman" w:hAnsi="Times New Roman"/>
          <w:sz w:val="16"/>
          <w:szCs w:val="16"/>
          <w:color w:val="231F20"/>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products like our product candidates. In many countries, the prices of medical products are subject to varying price control mechanisms as part of national health</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57" w:name="page58"/>
    <w:bookmarkEnd w:id="5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spacing w:after="0" w:line="271" w:lineRule="auto"/>
        <w:rPr>
          <w:sz w:val="20"/>
          <w:szCs w:val="20"/>
          <w:color w:val="auto"/>
        </w:rPr>
      </w:pPr>
      <w:r>
        <w:rPr>
          <w:rFonts w:ascii="Times New Roman" w:cs="Times New Roman" w:eastAsia="Times New Roman" w:hAnsi="Times New Roman"/>
          <w:sz w:val="16"/>
          <w:szCs w:val="16"/>
          <w:color w:val="231F20"/>
        </w:rPr>
        <w:t>systems. Other countries allow companies to fix their own prices for medical products but monitor and control company profits. Additional foreign price controls or other changes in pricing regulation could restrict the amount that we are able to charge for our product candidates, if approved. Accordingly, in markets outside the United States, the reimbursement for our product candidates may be lower than in the United States and may be insufficient to generate meaningful revenue and profits.</w:t>
      </w:r>
    </w:p>
    <w:p>
      <w:pPr>
        <w:spacing w:after="0" w:line="158" w:lineRule="exact"/>
        <w:rPr>
          <w:sz w:val="20"/>
          <w:szCs w:val="20"/>
          <w:color w:val="auto"/>
        </w:rPr>
      </w:pPr>
    </w:p>
    <w:p>
      <w:pPr>
        <w:jc w:val="both"/>
        <w:ind w:left="40" w:right="259" w:firstLine="325"/>
        <w:spacing w:after="0" w:line="261" w:lineRule="auto"/>
        <w:rPr>
          <w:sz w:val="20"/>
          <w:szCs w:val="20"/>
          <w:color w:val="auto"/>
        </w:rPr>
      </w:pPr>
      <w:r>
        <w:rPr>
          <w:rFonts w:ascii="Times New Roman" w:cs="Times New Roman" w:eastAsia="Times New Roman" w:hAnsi="Times New Roman"/>
          <w:sz w:val="16"/>
          <w:szCs w:val="16"/>
          <w:color w:val="231F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if approved. We expect to experience pricing pressures for any of our product candidates that may be approved due to the continuing trend toward managed healthcare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40" w:right="259"/>
        <w:spacing w:after="0" w:line="311" w:lineRule="auto"/>
        <w:rPr>
          <w:sz w:val="20"/>
          <w:szCs w:val="20"/>
          <w:color w:val="auto"/>
        </w:rPr>
      </w:pPr>
      <w:r>
        <w:rPr>
          <w:rFonts w:ascii="Times New Roman" w:cs="Times New Roman" w:eastAsia="Times New Roman" w:hAnsi="Times New Roman"/>
          <w:sz w:val="16"/>
          <w:szCs w:val="16"/>
          <w:b w:val="1"/>
          <w:bCs w:val="1"/>
          <w:i w:val="1"/>
          <w:iCs w:val="1"/>
          <w:color w:val="231F20"/>
        </w:rPr>
        <w:t>We may not be able to obtain or maintain orphan drug designations for certain of our product candidates, and we may be unable to maintain the benefits associated with orphan drug designation, including the potential for market exclusivity.</w:t>
      </w:r>
    </w:p>
    <w:p>
      <w:pPr>
        <w:spacing w:after="0" w:line="125" w:lineRule="exact"/>
        <w:rPr>
          <w:sz w:val="20"/>
          <w:szCs w:val="20"/>
          <w:color w:val="auto"/>
        </w:rPr>
      </w:pPr>
    </w:p>
    <w:p>
      <w:pPr>
        <w:jc w:val="both"/>
        <w:ind w:left="40" w:right="259" w:firstLine="325"/>
        <w:spacing w:after="0" w:line="259" w:lineRule="auto"/>
        <w:rPr>
          <w:sz w:val="20"/>
          <w:szCs w:val="20"/>
          <w:color w:val="auto"/>
        </w:rPr>
      </w:pPr>
      <w:r>
        <w:rPr>
          <w:rFonts w:ascii="Times New Roman" w:cs="Times New Roman" w:eastAsia="Times New Roman" w:hAnsi="Times New Roman"/>
          <w:sz w:val="16"/>
          <w:szCs w:val="16"/>
          <w:color w:val="231F20"/>
        </w:rPr>
        <w:t>Regulatory authorities in some jurisdictions, including the United States and Europe, may designate drugs for relatively small patient populations as orphan drugs. For example, the FDA may designate a product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The FDA has granted orphan drug designation to obexelimab for IgG4-RD and we plan to seek orphan drug designation for obexelimab for AIHA, which will include wAIHA. We may not be able to obtain orphan drug designation for any additional indications for our product candidates, and we may not be able to maintain such designations if granted.</w:t>
      </w:r>
    </w:p>
    <w:p>
      <w:pPr>
        <w:spacing w:after="0" w:line="169" w:lineRule="exact"/>
        <w:rPr>
          <w:sz w:val="20"/>
          <w:szCs w:val="20"/>
          <w:color w:val="auto"/>
        </w:rPr>
      </w:pPr>
    </w:p>
    <w:p>
      <w:pPr>
        <w:jc w:val="both"/>
        <w:ind w:left="40" w:right="259" w:firstLine="325"/>
        <w:spacing w:after="0" w:line="258" w:lineRule="auto"/>
        <w:rPr>
          <w:sz w:val="20"/>
          <w:szCs w:val="20"/>
          <w:color w:val="auto"/>
        </w:rPr>
      </w:pPr>
      <w:r>
        <w:rPr>
          <w:rFonts w:ascii="Times New Roman" w:cs="Times New Roman" w:eastAsia="Times New Roman" w:hAnsi="Times New Roman"/>
          <w:sz w:val="16"/>
          <w:szCs w:val="16"/>
          <w:color w:val="231F20"/>
        </w:rPr>
        <w:t>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biologic for the same indications for seven years. Even if we are able to maintain orphan drug designation for IgG4-RD or obtain orphan drug exclusivity for obexelimab in wAIHA or any other product candidate, that exclusivity may not effectively protect the product from competition because different drugs can be approved for the same condition. Even after an orphan drug is approved, the FDA can subsequently approve the same drug for the same condition if, among other things, the FDA concludes that the later drug is clinically superior, if it is shown to be safer, more effective or makes a major contribution to patient care. Orphan drug designation does not convey any advantage in or shorten the duration of the regulatory review and approval process. Even if we receive orphan drug designation or orphan drug exclusivity for any of our product candidates, there is no guarantee that we will enjoy the benefits of such designations or exclusivity periods.</w:t>
      </w:r>
    </w:p>
    <w:p>
      <w:pPr>
        <w:spacing w:after="0" w:line="162" w:lineRule="exact"/>
        <w:rPr>
          <w:sz w:val="20"/>
          <w:szCs w:val="20"/>
          <w:color w:val="auto"/>
        </w:rPr>
      </w:pPr>
    </w:p>
    <w:p>
      <w:pPr>
        <w:jc w:val="both"/>
        <w:ind w:left="40" w:right="259" w:firstLine="325"/>
        <w:spacing w:after="0" w:line="237" w:lineRule="auto"/>
        <w:rPr>
          <w:sz w:val="20"/>
          <w:szCs w:val="20"/>
          <w:color w:val="auto"/>
        </w:rPr>
      </w:pPr>
      <w:r>
        <w:rPr>
          <w:rFonts w:ascii="Times New Roman" w:cs="Times New Roman" w:eastAsia="Times New Roman" w:hAnsi="Times New Roman"/>
          <w:sz w:val="16"/>
          <w:szCs w:val="16"/>
          <w:color w:val="231F20"/>
        </w:rPr>
        <w:t xml:space="preserve">The decision of the U.S. Court of Appeals for the 11th Circuit in </w:t>
      </w:r>
      <w:r>
        <w:rPr>
          <w:rFonts w:ascii="Times New Roman" w:cs="Times New Roman" w:eastAsia="Times New Roman" w:hAnsi="Times New Roman"/>
          <w:sz w:val="16"/>
          <w:szCs w:val="16"/>
          <w:i w:val="1"/>
          <w:iCs w:val="1"/>
          <w:color w:val="231F20"/>
        </w:rPr>
        <w:t>Catalyst Pharms., Inc. v. Becerra</w:t>
      </w:r>
      <w:r>
        <w:rPr>
          <w:rFonts w:ascii="Times New Roman" w:cs="Times New Roman" w:eastAsia="Times New Roman" w:hAnsi="Times New Roman"/>
          <w:sz w:val="16"/>
          <w:szCs w:val="16"/>
          <w:color w:val="231F20"/>
        </w:rPr>
        <w:t>, 14 F.4</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6"/>
          <w:szCs w:val="16"/>
          <w:color w:val="231F20"/>
        </w:rPr>
        <w:t xml:space="preserve"> 1299 (11</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6"/>
          <w:szCs w:val="16"/>
          <w:color w:val="231F20"/>
        </w:rPr>
        <w:t xml:space="preserve"> Cir. 2021) has created uncertainty regarding the scope of orphan drug exclusivity. Although the FDA subsequently announced that it intends to continue to apply its longstanding interpretation of the regulations to matters outside of the scope of the </w:t>
      </w:r>
      <w:r>
        <w:rPr>
          <w:rFonts w:ascii="Times New Roman" w:cs="Times New Roman" w:eastAsia="Times New Roman" w:hAnsi="Times New Roman"/>
          <w:sz w:val="16"/>
          <w:szCs w:val="16"/>
          <w:i w:val="1"/>
          <w:iCs w:val="1"/>
          <w:color w:val="231F20"/>
        </w:rPr>
        <w:t>Catalyst</w:t>
      </w:r>
      <w:r>
        <w:rPr>
          <w:rFonts w:ascii="Times New Roman" w:cs="Times New Roman" w:eastAsia="Times New Roman" w:hAnsi="Times New Roman"/>
          <w:sz w:val="16"/>
          <w:szCs w:val="16"/>
          <w:color w:val="231F20"/>
        </w:rPr>
        <w:t xml:space="preserve"> order and continue tying the scope of orphan-drug exclusivity to the uses or indications for which a drug is approved, it is unclear how future litigation, legislation, agency decisions, and administrative actions will impact the scope of the orphan drug exclusivity.</w:t>
      </w:r>
    </w:p>
    <w:p>
      <w:pPr>
        <w:spacing w:after="0" w:line="177" w:lineRule="exact"/>
        <w:rPr>
          <w:sz w:val="20"/>
          <w:szCs w:val="20"/>
          <w:color w:val="auto"/>
        </w:rPr>
      </w:pPr>
    </w:p>
    <w:p>
      <w:pPr>
        <w:jc w:val="both"/>
        <w:ind w:left="40" w:right="259"/>
        <w:spacing w:after="0" w:line="301" w:lineRule="auto"/>
        <w:rPr>
          <w:sz w:val="20"/>
          <w:szCs w:val="20"/>
          <w:color w:val="auto"/>
        </w:rPr>
      </w:pPr>
      <w:r>
        <w:rPr>
          <w:rFonts w:ascii="Times New Roman" w:cs="Times New Roman" w:eastAsia="Times New Roman" w:hAnsi="Times New Roman"/>
          <w:sz w:val="15"/>
          <w:szCs w:val="15"/>
          <w:b w:val="1"/>
          <w:bCs w:val="1"/>
          <w:i w:val="1"/>
          <w:iCs w:val="1"/>
          <w:color w:val="231F20"/>
        </w:rPr>
        <w:t>We may seek fast track designation, breakthrough therapy designation and/or priority review designation from the FDA or similar designations from comparable foreign regulatory authorities for one or more of our product candidates. Even if one or more of our product candidates receive these designations, we may be unable to obtain or maintain the benefits associated with such designation.</w:t>
      </w:r>
    </w:p>
    <w:p>
      <w:pPr>
        <w:spacing w:after="0" w:line="136" w:lineRule="exact"/>
        <w:rPr>
          <w:sz w:val="20"/>
          <w:szCs w:val="20"/>
          <w:color w:val="auto"/>
        </w:rPr>
      </w:pPr>
    </w:p>
    <w:p>
      <w:pPr>
        <w:jc w:val="both"/>
        <w:ind w:left="40" w:right="259"/>
        <w:spacing w:after="0" w:line="263" w:lineRule="auto"/>
        <w:rPr>
          <w:sz w:val="20"/>
          <w:szCs w:val="20"/>
          <w:color w:val="auto"/>
        </w:rPr>
      </w:pPr>
      <w:r>
        <w:rPr>
          <w:rFonts w:ascii="Times New Roman" w:cs="Times New Roman" w:eastAsia="Times New Roman" w:hAnsi="Times New Roman"/>
          <w:sz w:val="16"/>
          <w:szCs w:val="16"/>
          <w:color w:val="231F20"/>
        </w:rPr>
        <w:t>The FDA has established various designations to facilitate more rapid and efficient development and approval of certain types of drugs intended to treat serious conditions that fill an unmet medical need. Such designations include fast track designation, breakthrough therapy designation, and priority review designation. We intend to seek priority review designation for obexelimab for IgG4-RD. The FDA has broad discretion whether or not to grant this designation, so even if we believe a particular product candidate is eligible for this designation, we cannot assure you that the FDA would decide to grant it. If any of our programs or product candidates receive any of these designations by the FDA or similar designations by comparable foreign regulatory authorities, there is no assurance that we will receive any benefits from such programs or that we will continue to meet the criteria to maintain such designation. Even if we obtain such designations, we may not experience a faster development process, review or approval compared to conventional procedures. A grant of these designations does not ensure that a product candidate will receive marketing approval or that approval will be granted within any particular timeframe. In addition, the FDA may withdraw any such designation if it believes that the designation is no longer supported by data from our clinical development program.</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59" w:name="page60"/>
    <w:bookmarkEnd w:id="5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40" w:right="259"/>
        <w:spacing w:after="0" w:line="311" w:lineRule="auto"/>
        <w:rPr>
          <w:sz w:val="20"/>
          <w:szCs w:val="20"/>
          <w:color w:val="auto"/>
        </w:rPr>
      </w:pPr>
      <w:r>
        <w:rPr>
          <w:rFonts w:ascii="Times New Roman" w:cs="Times New Roman" w:eastAsia="Times New Roman" w:hAnsi="Times New Roman"/>
          <w:sz w:val="16"/>
          <w:szCs w:val="16"/>
          <w:b w:val="1"/>
          <w:bCs w:val="1"/>
          <w:i w:val="1"/>
          <w:iCs w:val="1"/>
          <w:color w:val="231F20"/>
        </w:rPr>
        <w:t>We may seek accelerated approval for some of our product candidates but may not be able to obtain it as the sufficiency of our clinical trial results for accelerated approval are subject to the FDA’s discretion.</w:t>
      </w:r>
    </w:p>
    <w:p>
      <w:pPr>
        <w:spacing w:after="0" w:line="125" w:lineRule="exact"/>
        <w:rPr>
          <w:sz w:val="20"/>
          <w:szCs w:val="20"/>
          <w:color w:val="auto"/>
        </w:rPr>
      </w:pPr>
    </w:p>
    <w:p>
      <w:pPr>
        <w:jc w:val="both"/>
        <w:ind w:left="40" w:right="259" w:firstLine="325"/>
        <w:spacing w:after="0" w:line="259" w:lineRule="auto"/>
        <w:rPr>
          <w:sz w:val="20"/>
          <w:szCs w:val="20"/>
          <w:color w:val="auto"/>
        </w:rPr>
      </w:pPr>
      <w:r>
        <w:rPr>
          <w:rFonts w:ascii="Times New Roman" w:cs="Times New Roman" w:eastAsia="Times New Roman" w:hAnsi="Times New Roman"/>
          <w:sz w:val="16"/>
          <w:szCs w:val="16"/>
          <w:color w:val="231F20"/>
        </w:rPr>
        <w:t>We may explore strategies for our product candidates that involve use of the FDA’s accelerated approval pathway. Obtaining accelerated approval requires demonstration of meaningful benefit over available therapies for a serious condition. The determination of what constitutes available therapy is wholly up to the FDA and is subject to change. No assurance can be given that other therapeutics will not receive full approval prior to our potential receipt of accelerated approval. If that were to occur, no assurance can be given that we would be successful in proving meaningful benefit over those later approved products. If we were unable to prove meaningful benefit over any such agents, we would be effectively blocked from receiving accelerated approval. If any of our drugs were ever to receive accelerated approval, we would be required to conduct a post-market confirmatory study, which we may not complete, or if completed, may prove unsuccessful. In such instance, the FDA can remove the product from the market.</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231F20"/>
        </w:rPr>
        <w:t>Risks Related to Our Business and Operations</w:t>
      </w:r>
    </w:p>
    <w:p>
      <w:pPr>
        <w:spacing w:after="0" w:line="144" w:lineRule="exact"/>
        <w:rPr>
          <w:sz w:val="20"/>
          <w:szCs w:val="20"/>
          <w:color w:val="auto"/>
        </w:rPr>
      </w:pPr>
    </w:p>
    <w:p>
      <w:pPr>
        <w:jc w:val="both"/>
        <w:ind w:left="40" w:right="259"/>
        <w:spacing w:after="0" w:line="295" w:lineRule="auto"/>
        <w:rPr>
          <w:sz w:val="20"/>
          <w:szCs w:val="20"/>
          <w:color w:val="auto"/>
        </w:rPr>
      </w:pPr>
      <w:r>
        <w:rPr>
          <w:rFonts w:ascii="Times New Roman" w:cs="Times New Roman" w:eastAsia="Times New Roman" w:hAnsi="Times New Roman"/>
          <w:sz w:val="16"/>
          <w:szCs w:val="16"/>
          <w:b w:val="1"/>
          <w:bCs w:val="1"/>
          <w:i w:val="1"/>
          <w:iCs w:val="1"/>
          <w:color w:val="231F20"/>
        </w:rPr>
        <w:t>Our business depends entirely on the success of our product candidates, and we may fail to successfully develop, receive regulatory approval for, or successfully commercialize any or all of our product candidates.</w:t>
      </w:r>
    </w:p>
    <w:p>
      <w:pPr>
        <w:spacing w:after="0" w:line="138"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We do not have any products approved for commercial sale. We have invested substantially all of our efforts and financial resources in the development of our product candidates, each of which is still in clinical development, and we expect that we will continue to invest heavily in these product candidates and any future product candidates we may develop. Our business and our ability to generate revenue, which we do not expect will occur for many years, if ever, are substantially dependent on our ability to acquire, develop, obtain regulatory approval for and successfully commercialize our product candidates, which may never occur.</w:t>
      </w:r>
    </w:p>
    <w:p>
      <w:pPr>
        <w:spacing w:after="0" w:line="164" w:lineRule="exact"/>
        <w:rPr>
          <w:sz w:val="20"/>
          <w:szCs w:val="20"/>
          <w:color w:val="auto"/>
        </w:rPr>
      </w:pPr>
    </w:p>
    <w:p>
      <w:pPr>
        <w:jc w:val="both"/>
        <w:ind w:left="40" w:right="259" w:firstLine="325"/>
        <w:spacing w:after="0" w:line="259" w:lineRule="auto"/>
        <w:rPr>
          <w:sz w:val="20"/>
          <w:szCs w:val="20"/>
          <w:color w:val="auto"/>
        </w:rPr>
      </w:pPr>
      <w:r>
        <w:rPr>
          <w:rFonts w:ascii="Times New Roman" w:cs="Times New Roman" w:eastAsia="Times New Roman" w:hAnsi="Times New Roman"/>
          <w:sz w:val="16"/>
          <w:szCs w:val="16"/>
          <w:color w:val="231F20"/>
        </w:rPr>
        <w:t>Our product candidates will require substantial additional clinical development time, regulatory approval, commercial manufacturing arrangements, establishment of a commercial organization, significant marketing efforts and further investment before we can generate any revenue from product sales. We may not meet our timelines for our current or future clinical trials, which may be delayed or not completed for a number of reasons (see “—Risks Related to Product Candidate Development and Commercialization —Clinical development is lengthy and expensive, characterized by uncertain outcomes, with results of earlier studies and trials often failing to predict future trial results. We may incur additional costs or experience delays in completing, or fail to complete, the development and commercialization of our current product candidates or any future product candidates.”). Our product candidates are susceptible to the risks of failure inherent at any stage of product development, including the appearance of unexpected AEs or failure to achieve primary endpoints in clinical trials.</w:t>
      </w:r>
    </w:p>
    <w:p>
      <w:pPr>
        <w:spacing w:after="0" w:line="166" w:lineRule="exact"/>
        <w:rPr>
          <w:sz w:val="20"/>
          <w:szCs w:val="20"/>
          <w:color w:val="auto"/>
        </w:rPr>
      </w:pPr>
    </w:p>
    <w:p>
      <w:pPr>
        <w:jc w:val="both"/>
        <w:ind w:left="40" w:right="259" w:firstLine="325"/>
        <w:spacing w:after="0" w:line="266" w:lineRule="auto"/>
        <w:rPr>
          <w:sz w:val="20"/>
          <w:szCs w:val="20"/>
          <w:color w:val="auto"/>
        </w:rPr>
      </w:pPr>
      <w:r>
        <w:rPr>
          <w:rFonts w:ascii="Times New Roman" w:cs="Times New Roman" w:eastAsia="Times New Roman" w:hAnsi="Times New Roman"/>
          <w:sz w:val="16"/>
          <w:szCs w:val="16"/>
          <w:color w:val="231F20"/>
        </w:rPr>
        <w:t>Even if our product candidates are successful in clinical trials, we are not permitted to market or promote any product candidate before we receive regulatory approval from the FDA or comparable foreign regulatory authorities. If we do not receive FDA or comparable foreign regulatory approval with the necessary conditions to allow commercialization, we will not be able to generate revenue from those product candidates in the United States or elsewhere in the foreseeable future, or at all.</w:t>
      </w:r>
    </w:p>
    <w:p>
      <w:pPr>
        <w:spacing w:after="0" w:line="161" w:lineRule="exact"/>
        <w:rPr>
          <w:sz w:val="20"/>
          <w:szCs w:val="20"/>
          <w:color w:val="auto"/>
        </w:rPr>
      </w:pPr>
    </w:p>
    <w:p>
      <w:pPr>
        <w:jc w:val="both"/>
        <w:ind w:left="40" w:right="259" w:firstLine="325"/>
        <w:spacing w:after="0" w:line="272" w:lineRule="auto"/>
        <w:rPr>
          <w:sz w:val="20"/>
          <w:szCs w:val="20"/>
          <w:color w:val="auto"/>
        </w:rPr>
      </w:pPr>
      <w:r>
        <w:rPr>
          <w:rFonts w:ascii="Times New Roman" w:cs="Times New Roman" w:eastAsia="Times New Roman" w:hAnsi="Times New Roman"/>
          <w:sz w:val="16"/>
          <w:szCs w:val="16"/>
          <w:color w:val="231F20"/>
        </w:rPr>
        <w:t>We have never submitted a BLA for our product candidates to the FDA, or a similar marketing application to a comparable foreign regulatory authority, and our current or any future product candidates may not be successful in clinical trials or receive regulatory approval.</w:t>
      </w:r>
    </w:p>
    <w:p>
      <w:pPr>
        <w:spacing w:after="0" w:line="156" w:lineRule="exact"/>
        <w:rPr>
          <w:sz w:val="20"/>
          <w:szCs w:val="20"/>
          <w:color w:val="auto"/>
        </w:rPr>
      </w:pPr>
    </w:p>
    <w:p>
      <w:pPr>
        <w:jc w:val="both"/>
        <w:ind w:left="40" w:right="259" w:firstLine="325"/>
        <w:spacing w:after="0" w:line="289" w:lineRule="auto"/>
        <w:rPr>
          <w:sz w:val="20"/>
          <w:szCs w:val="20"/>
          <w:color w:val="auto"/>
        </w:rPr>
      </w:pPr>
      <w:r>
        <w:rPr>
          <w:rFonts w:ascii="Times New Roman" w:cs="Times New Roman" w:eastAsia="Times New Roman" w:hAnsi="Times New Roman"/>
          <w:sz w:val="16"/>
          <w:szCs w:val="16"/>
          <w:color w:val="231F20"/>
        </w:rPr>
        <w:t>If approved for marketing by applicable regulatory authorities, our ability to generate revenue from our product candidates will depend on our ability to:</w:t>
      </w:r>
    </w:p>
    <w:p>
      <w:pPr>
        <w:spacing w:after="0" w:line="143" w:lineRule="exact"/>
        <w:rPr>
          <w:sz w:val="20"/>
          <w:szCs w:val="20"/>
          <w:color w:val="auto"/>
        </w:rPr>
      </w:pPr>
    </w:p>
    <w:p>
      <w:pPr>
        <w:ind w:left="660" w:right="279" w:hanging="154"/>
        <w:spacing w:after="0" w:line="289" w:lineRule="auto"/>
        <w:tabs>
          <w:tab w:leader="none" w:pos="660" w:val="left"/>
        </w:tabs>
        <w:numPr>
          <w:ilvl w:val="0"/>
          <w:numId w:val="4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receive regulatory approval for the targeted patient populations and claims that are necessary or desirable for successful marketing and maintain an acceptable safety profile for the products following approval;</w:t>
      </w:r>
    </w:p>
    <w:p>
      <w:pPr>
        <w:spacing w:after="0" w:line="45"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4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price our products competitively such that third-party and government reimbursement permits broad product adoption;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60" w:name="page61"/>
    <w:bookmarkEnd w:id="6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hanging="154"/>
        <w:spacing w:after="0"/>
        <w:tabs>
          <w:tab w:leader="none" w:pos="660" w:val="left"/>
        </w:tabs>
        <w:numPr>
          <w:ilvl w:val="0"/>
          <w:numId w:val="4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obtain and maintain healthcare coverage and adequate reimbursement;</w:t>
      </w:r>
    </w:p>
    <w:p>
      <w:pPr>
        <w:spacing w:after="0" w:line="121"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4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achieve market acceptance of our products by patients, the medical community and third-party payors;</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4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demonstrate the superiority of our products compared to the standard of care, as well as other therapies in development;</w:t>
      </w:r>
    </w:p>
    <w:p>
      <w:pPr>
        <w:spacing w:after="0" w:line="108"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4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create market demand for our product candidates through our own marketing and sales activities or any co-promotion or other arrangements that we may otherwise establish;</w:t>
      </w:r>
    </w:p>
    <w:p>
      <w:pPr>
        <w:spacing w:after="0" w:line="45"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4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manufacture product candidates through CMOs in sufficient quantities and at acceptable quality and cost to meet commercial demand at launch and thereafter;</w:t>
      </w:r>
    </w:p>
    <w:p>
      <w:pPr>
        <w:spacing w:after="0" w:line="32"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4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establish sales and marketing capabilities, whether alone or through a collaboration, to support commercialization of our product candidates;</w:t>
      </w:r>
    </w:p>
    <w:p>
      <w:pPr>
        <w:spacing w:after="0" w:line="45"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4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establish and maintain agreements with wholesalers, distributors, pharmacies and group purchasing organizations on commercially reasonable terms;</w:t>
      </w:r>
    </w:p>
    <w:p>
      <w:pPr>
        <w:spacing w:after="0" w:line="45"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4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obtain, maintain, protect and enforce patent and other intellectual property protection and regulatory exclusivity for our products;</w:t>
      </w:r>
    </w:p>
    <w:p>
      <w:pPr>
        <w:spacing w:after="0" w:line="45"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4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maintain compliance with applicable laws, regulations and guidance including interactions with healthcare professionals, patient advocacy groups and communication of healthcare economic information to payors and formularies;</w:t>
      </w:r>
    </w:p>
    <w:p>
      <w:pPr>
        <w:spacing w:after="0" w:line="45"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4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maintain a distribution and logistics network capable of product storage within our specifications and regulatory guidelines, and capable of timely product delivery; and</w:t>
      </w:r>
    </w:p>
    <w:p>
      <w:pPr>
        <w:spacing w:after="0" w:line="32"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4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assure that our product will be used as directed and that additional unexpected safety risks will not arise.</w:t>
      </w:r>
    </w:p>
    <w:p>
      <w:pPr>
        <w:spacing w:after="0" w:line="146" w:lineRule="exact"/>
        <w:rPr>
          <w:sz w:val="20"/>
          <w:szCs w:val="20"/>
          <w:color w:val="auto"/>
        </w:rPr>
      </w:pPr>
    </w:p>
    <w:p>
      <w:pPr>
        <w:jc w:val="both"/>
        <w:ind w:left="40" w:right="259" w:firstLine="325"/>
        <w:spacing w:after="0" w:line="289" w:lineRule="auto"/>
        <w:rPr>
          <w:sz w:val="20"/>
          <w:szCs w:val="20"/>
          <w:color w:val="auto"/>
        </w:rPr>
      </w:pPr>
      <w:r>
        <w:rPr>
          <w:rFonts w:ascii="Times New Roman" w:cs="Times New Roman" w:eastAsia="Times New Roman" w:hAnsi="Times New Roman"/>
          <w:sz w:val="16"/>
          <w:szCs w:val="16"/>
          <w:color w:val="231F20"/>
        </w:rPr>
        <w:t>Any significant delays in obtaining approval for or inability to successfully commercialize our product candidates would adversely affect our business, financial condition, results of operations and prospects.</w:t>
      </w:r>
    </w:p>
    <w:p>
      <w:pPr>
        <w:spacing w:after="0" w:line="139" w:lineRule="exact"/>
        <w:rPr>
          <w:sz w:val="20"/>
          <w:szCs w:val="20"/>
          <w:color w:val="auto"/>
        </w:rPr>
      </w:pPr>
    </w:p>
    <w:p>
      <w:pPr>
        <w:jc w:val="both"/>
        <w:ind w:left="40" w:right="259"/>
        <w:spacing w:after="0" w:line="295" w:lineRule="auto"/>
        <w:rPr>
          <w:sz w:val="20"/>
          <w:szCs w:val="20"/>
          <w:color w:val="auto"/>
        </w:rPr>
      </w:pPr>
      <w:r>
        <w:rPr>
          <w:rFonts w:ascii="Times New Roman" w:cs="Times New Roman" w:eastAsia="Times New Roman" w:hAnsi="Times New Roman"/>
          <w:sz w:val="16"/>
          <w:szCs w:val="16"/>
          <w:b w:val="1"/>
          <w:bCs w:val="1"/>
          <w:i w:val="1"/>
          <w:iCs w:val="1"/>
          <w:color w:val="231F20"/>
        </w:rPr>
        <w:t>We are dependent on the services of our senior management and other clinical and scientific personnel, and if we are not able to retain these individuals or recruit additional management or clinical and scientific personnel, our business will suffer.</w:t>
      </w:r>
    </w:p>
    <w:p>
      <w:pPr>
        <w:spacing w:after="0" w:line="138" w:lineRule="exact"/>
        <w:rPr>
          <w:sz w:val="20"/>
          <w:szCs w:val="20"/>
          <w:color w:val="auto"/>
        </w:rPr>
      </w:pPr>
    </w:p>
    <w:p>
      <w:pPr>
        <w:jc w:val="both"/>
        <w:ind w:left="40" w:right="259" w:firstLine="325"/>
        <w:spacing w:after="0" w:line="258" w:lineRule="auto"/>
        <w:rPr>
          <w:sz w:val="20"/>
          <w:szCs w:val="20"/>
          <w:color w:val="auto"/>
        </w:rPr>
      </w:pPr>
      <w:r>
        <w:rPr>
          <w:rFonts w:ascii="Times New Roman" w:cs="Times New Roman" w:eastAsia="Times New Roman" w:hAnsi="Times New Roman"/>
          <w:sz w:val="16"/>
          <w:szCs w:val="16"/>
          <w:color w:val="231F20"/>
        </w:rPr>
        <w:t>Our success depends in part on our continued ability to attract, retain and motivate highly qualified management, clinical and scientific personnel. We are highly dependent upon our Founder and Chief Executive Officer, Leon O. Moulder, Jr. We are also dependent on our President and Chief Operating Officer, Joseph Farmer, Chief Business Officer and Chief Financial Officer, Jennifer Fox, and Chief Commercial Officer, Orlando Oliveira and other members of our senior management and clinical development teams. The loss of services of any of these individuals could delay or prevent the successful development of our product pipeline, initiation or completion of our preclinical studies and clinical trials or the commercialization of our product candidates, if approved. Although we have executed employment agreements or offer letters with each member of our senior management team, these agreements are terminable at will with or without notice and, therefore, we may not be able to retain their services. We do not currently maintain “key person” life insurance on the lives of our executives or any of our employees. This lack of insurance means that we may not have adequate compensation for the loss of the services of these individuals.</w:t>
      </w:r>
    </w:p>
    <w:p>
      <w:pPr>
        <w:spacing w:after="0" w:line="170" w:lineRule="exact"/>
        <w:rPr>
          <w:sz w:val="20"/>
          <w:szCs w:val="20"/>
          <w:color w:val="auto"/>
        </w:rPr>
      </w:pPr>
    </w:p>
    <w:p>
      <w:pPr>
        <w:jc w:val="both"/>
        <w:ind w:left="40" w:right="259" w:firstLine="325"/>
        <w:spacing w:after="0" w:line="260" w:lineRule="auto"/>
        <w:rPr>
          <w:sz w:val="20"/>
          <w:szCs w:val="20"/>
          <w:color w:val="auto"/>
        </w:rPr>
      </w:pPr>
      <w:r>
        <w:rPr>
          <w:rFonts w:ascii="Times New Roman" w:cs="Times New Roman" w:eastAsia="Times New Roman" w:hAnsi="Times New Roman"/>
          <w:sz w:val="16"/>
          <w:szCs w:val="16"/>
          <w:color w:val="231F20"/>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biopharmaceutical, biotechnology and other businesses, particularly in the greater Boston area. If we are not able to attract, integrate, retain and motivate personnel necessary to accomplish our business objectives, we may experience constraints that significantly impede the achievement of our development objectives, our ability to raise additional capital and our ability to implement our business strategy.</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61" w:name="page62"/>
    <w:bookmarkEnd w:id="6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40" w:right="259"/>
        <w:spacing w:after="0" w:line="311" w:lineRule="auto"/>
        <w:rPr>
          <w:sz w:val="20"/>
          <w:szCs w:val="20"/>
          <w:color w:val="auto"/>
        </w:rPr>
      </w:pPr>
      <w:r>
        <w:rPr>
          <w:rFonts w:ascii="Times New Roman" w:cs="Times New Roman" w:eastAsia="Times New Roman" w:hAnsi="Times New Roman"/>
          <w:sz w:val="16"/>
          <w:szCs w:val="16"/>
          <w:b w:val="1"/>
          <w:bCs w:val="1"/>
          <w:i w:val="1"/>
          <w:iCs w:val="1"/>
          <w:color w:val="231F20"/>
        </w:rPr>
        <w:t>We will need to grow our organization, and we may experience difficulties in managing our growth and expanding our operations, which could adversely affect our business.</w:t>
      </w:r>
    </w:p>
    <w:p>
      <w:pPr>
        <w:spacing w:after="0" w:line="125" w:lineRule="exact"/>
        <w:rPr>
          <w:sz w:val="20"/>
          <w:szCs w:val="20"/>
          <w:color w:val="auto"/>
        </w:rPr>
      </w:pPr>
    </w:p>
    <w:p>
      <w:pPr>
        <w:jc w:val="both"/>
        <w:ind w:left="40" w:right="259" w:firstLine="325"/>
        <w:spacing w:after="0" w:line="261" w:lineRule="auto"/>
        <w:rPr>
          <w:sz w:val="20"/>
          <w:szCs w:val="20"/>
          <w:color w:val="auto"/>
        </w:rPr>
      </w:pPr>
      <w:r>
        <w:rPr>
          <w:rFonts w:ascii="Times New Roman" w:cs="Times New Roman" w:eastAsia="Times New Roman" w:hAnsi="Times New Roman"/>
          <w:sz w:val="16"/>
          <w:szCs w:val="16"/>
          <w:color w:val="231F20"/>
        </w:rPr>
        <w:t>As of September 30, 2024, we had 115 full-time employees. As our development and commercialization plans and strategies develop, and as we transition into operating as a public company, we expect to expand our employee base for managerial, operational, financial and other resources. As our product candidates enter and advance through preclinical studies and clinical trials, we will need to expand our development and regulatory capabilities and contract with third parties to provide manufacturing and other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and we may not be able to implement improvements in an efficient or timely manner or may discover deficiencies in existing systems and controls. Our inability to successfully manage our growth and expand our operations could adversely affect our business, financial condition, results of operations and prospects.</w:t>
      </w:r>
    </w:p>
    <w:p>
      <w:pPr>
        <w:spacing w:after="0" w:line="160" w:lineRule="exact"/>
        <w:rPr>
          <w:sz w:val="20"/>
          <w:szCs w:val="20"/>
          <w:color w:val="auto"/>
        </w:rPr>
      </w:pPr>
    </w:p>
    <w:p>
      <w:pPr>
        <w:jc w:val="both"/>
        <w:ind w:left="40" w:right="259"/>
        <w:spacing w:after="0" w:line="273" w:lineRule="auto"/>
        <w:rPr>
          <w:sz w:val="20"/>
          <w:szCs w:val="20"/>
          <w:color w:val="auto"/>
        </w:rPr>
      </w:pPr>
      <w:r>
        <w:rPr>
          <w:rFonts w:ascii="Times New Roman" w:cs="Times New Roman" w:eastAsia="Times New Roman" w:hAnsi="Times New Roman"/>
          <w:sz w:val="16"/>
          <w:szCs w:val="16"/>
          <w:b w:val="1"/>
          <w:bCs w:val="1"/>
          <w:i w:val="1"/>
          <w:iCs w:val="1"/>
          <w:color w:val="231F20"/>
        </w:rPr>
        <w:t>The manufacturing of our product candidates is complex, and our third-party manufacturers may encounter difficulties in production. If our third-party manufacturers encounter such difficulties, our ability to provide supply of our product candidates for clinical trials, our ability to obtain marketing approval, or provide commercial supply of our products, if approved, could be delayed or halted.</w:t>
      </w:r>
    </w:p>
    <w:p>
      <w:pPr>
        <w:spacing w:after="0" w:line="155" w:lineRule="exact"/>
        <w:rPr>
          <w:sz w:val="20"/>
          <w:szCs w:val="20"/>
          <w:color w:val="auto"/>
        </w:rPr>
      </w:pPr>
    </w:p>
    <w:p>
      <w:pPr>
        <w:jc w:val="both"/>
        <w:ind w:left="40" w:right="259" w:firstLine="325"/>
        <w:spacing w:after="0" w:line="266" w:lineRule="auto"/>
        <w:rPr>
          <w:sz w:val="20"/>
          <w:szCs w:val="20"/>
          <w:color w:val="auto"/>
        </w:rPr>
      </w:pPr>
      <w:r>
        <w:rPr>
          <w:rFonts w:ascii="Times New Roman" w:cs="Times New Roman" w:eastAsia="Times New Roman" w:hAnsi="Times New Roman"/>
          <w:sz w:val="16"/>
          <w:szCs w:val="16"/>
          <w:color w:val="231F20"/>
        </w:rPr>
        <w:t>Our product candidates are biopharmaceuticals and the process of manufacturing biopharmaceuticals is complex, time consuming, highly regulated and subject to multiple risks. Our CMOs must comply with legal requirements, current Good Manufacturing Practices requirements (“cGMPs”) and guidelines for the manufacturing of biopharmaceuticals used in clinical trials and, if approved, marketed products. Our CMOs may have limited experience in the manufacturing of cGMP batches of our products.</w:t>
      </w:r>
    </w:p>
    <w:p>
      <w:pPr>
        <w:spacing w:after="0" w:line="173"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Manufacturing biopharmaceuticals is highly susceptible to drug product loss due to contamination, equipment failure, improper installation or operation of equipment, vendor or operator error, inconsistency in yields, variability in product characteristics and difficulties in scaling the production process. The impact of drug product loss is compounded by the long lead times needed to procure additional drug product due to plant capacity limitations or other restrictions at our CMOs. Even minor deviations from normal manufacturing processes could result in reduced production yields, lot failures, product defects, product liability claims, or other supply disruptions. If microbial, viral or other contaminations are discovered at our third-party manufacturers’ facilities, such facilities may need to be closed for an extended period of time to investigate and remedy the contamination, which could delay clinical trials and adversely affect our business. Problems in third-party manufacturing process or facilities could restrict our ability to ensure sufficient clinical material for our clinical trials or delay or prevent us from obtaining marketing approval.</w:t>
      </w:r>
    </w:p>
    <w:p>
      <w:pPr>
        <w:spacing w:after="0" w:line="163" w:lineRule="exact"/>
        <w:rPr>
          <w:sz w:val="20"/>
          <w:szCs w:val="20"/>
          <w:color w:val="auto"/>
        </w:rPr>
      </w:pPr>
    </w:p>
    <w:p>
      <w:pPr>
        <w:jc w:val="both"/>
        <w:ind w:left="40" w:right="259" w:firstLine="325"/>
        <w:spacing w:after="0" w:line="261" w:lineRule="auto"/>
        <w:rPr>
          <w:sz w:val="20"/>
          <w:szCs w:val="20"/>
          <w:color w:val="auto"/>
        </w:rPr>
      </w:pPr>
      <w:r>
        <w:rPr>
          <w:rFonts w:ascii="Times New Roman" w:cs="Times New Roman" w:eastAsia="Times New Roman" w:hAnsi="Times New Roman"/>
          <w:sz w:val="16"/>
          <w:szCs w:val="16"/>
          <w:color w:val="231F20"/>
        </w:rPr>
        <w:t>Scaling up a biopharmaceutical manufacturing process is a difficult and uncertain task and involves additional risks, including cost overruns, process scale-up, process reproducibility, stability issues, compliance with cGMPs, lot consistency and timely availability of sufficient quantity of raw materials. Even if we obtain regulatory approval for any of our product candidates, manufacturers may not be able to manufacture the approved product to specifications acceptable to the FDA or other comparable foreign regulatory authorities, to produce it in sufficient quantities to meet the requirements for the potential launch of the product or to meet potential future demand. If our third-party manufacturers are unable, or decide not, to adequately validate or scale-up the manufacturing process at our current manufacturers’ facilities, we will need to transfer to another manufacturer and complete the manufacturing validation process, which can be lengthy. If our manufacturers are unable to produce sufficient quantities of drug substance and/or drug product for clinical trials or for commercialization we will need to identify and negotiate with other CMOs an agreement for clinical and/or commercial supply and it is not certain we will be able to come to agreement timely or on terms acceptable to us, which would likely jeopardize our ability to provide any product candidates to study subjects in clinical trials and products to patients, if approved.</w:t>
      </w:r>
    </w:p>
    <w:p>
      <w:pPr>
        <w:spacing w:after="0" w:line="179" w:lineRule="exact"/>
        <w:rPr>
          <w:sz w:val="20"/>
          <w:szCs w:val="20"/>
          <w:color w:val="auto"/>
        </w:rPr>
      </w:pPr>
    </w:p>
    <w:p>
      <w:pPr>
        <w:jc w:val="both"/>
        <w:ind w:left="40" w:right="259" w:firstLine="325"/>
        <w:spacing w:after="0" w:line="272" w:lineRule="auto"/>
        <w:rPr>
          <w:sz w:val="20"/>
          <w:szCs w:val="20"/>
          <w:color w:val="auto"/>
        </w:rPr>
      </w:pPr>
      <w:r>
        <w:rPr>
          <w:rFonts w:ascii="Times New Roman" w:cs="Times New Roman" w:eastAsia="Times New Roman" w:hAnsi="Times New Roman"/>
          <w:sz w:val="16"/>
          <w:szCs w:val="16"/>
          <w:color w:val="231F20"/>
        </w:rPr>
        <w:t>Any delay or interruption in clinical trial supplies will likely delay the completion of planned clinical trials, increases the costs associated with maintaining clinical trial programs and, depending upon the period of delay, could require new clinical trials at additional expense or terminate clinical trials completely. Any adverse developments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7309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62" w:name="page63"/>
    <w:bookmarkEnd w:id="6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spacing w:after="0" w:line="260" w:lineRule="auto"/>
        <w:rPr>
          <w:sz w:val="20"/>
          <w:szCs w:val="20"/>
          <w:color w:val="auto"/>
        </w:rPr>
      </w:pPr>
      <w:r>
        <w:rPr>
          <w:rFonts w:ascii="Times New Roman" w:cs="Times New Roman" w:eastAsia="Times New Roman" w:hAnsi="Times New Roman"/>
          <w:sz w:val="16"/>
          <w:szCs w:val="16"/>
          <w:color w:val="231F20"/>
        </w:rPr>
        <w:t>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if approved, and could have an adverse effect on our business, financial condition, results of operations and prospects.</w:t>
      </w:r>
    </w:p>
    <w:p>
      <w:pPr>
        <w:spacing w:after="0" w:line="167" w:lineRule="exact"/>
        <w:rPr>
          <w:sz w:val="20"/>
          <w:szCs w:val="20"/>
          <w:color w:val="auto"/>
        </w:rPr>
      </w:pPr>
    </w:p>
    <w:p>
      <w:pPr>
        <w:jc w:val="both"/>
        <w:ind w:left="40" w:right="259" w:firstLine="325"/>
        <w:spacing w:after="0" w:line="258" w:lineRule="auto"/>
        <w:rPr>
          <w:sz w:val="20"/>
          <w:szCs w:val="20"/>
          <w:color w:val="auto"/>
        </w:rPr>
      </w:pPr>
      <w:r>
        <w:rPr>
          <w:rFonts w:ascii="Times New Roman" w:cs="Times New Roman" w:eastAsia="Times New Roman" w:hAnsi="Times New Roman"/>
          <w:sz w:val="16"/>
          <w:szCs w:val="16"/>
          <w:color w:val="231F20"/>
        </w:rPr>
        <w:t>As part of our process development efforts, we also may make changes to the manufacturing processes at various points during development, for various reasons, such as controlling costs, achieving scale, decreasing processing time, increasing manufacturing success rate, proximity to global regions we intend to target or other reasons. Such changes may not achieve their intended objectives, and any of these changes could cause our current or future product candidates to perform differently or affect the results of our future clinical trials. In some circumstances, changes in the manufacturing process require us to perform ex vivo comparability studies and to collect additional data from participants prior to undertaking more advanced clinical trials. For instance, changes in our process during the course of clinical development may require us to show the comparability of the product used in earlier clinical phases or at earlier portions of a clinical trial to the product used in later clinical phases or later portions of the clinical trial.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231F20"/>
        </w:rPr>
        <w:t>Revenue from our product candidates, if approved, will be limited if the product does not achieve broad market acceptance.</w:t>
      </w:r>
    </w:p>
    <w:p>
      <w:pPr>
        <w:spacing w:after="0" w:line="211" w:lineRule="exact"/>
        <w:rPr>
          <w:sz w:val="20"/>
          <w:szCs w:val="20"/>
          <w:color w:val="auto"/>
        </w:rPr>
      </w:pPr>
    </w:p>
    <w:p>
      <w:pPr>
        <w:jc w:val="both"/>
        <w:ind w:left="40" w:right="259" w:firstLine="325"/>
        <w:spacing w:after="0" w:line="266" w:lineRule="auto"/>
        <w:rPr>
          <w:sz w:val="20"/>
          <w:szCs w:val="20"/>
          <w:color w:val="auto"/>
        </w:rPr>
      </w:pPr>
      <w:r>
        <w:rPr>
          <w:rFonts w:ascii="Times New Roman" w:cs="Times New Roman" w:eastAsia="Times New Roman" w:hAnsi="Times New Roman"/>
          <w:sz w:val="16"/>
          <w:szCs w:val="16"/>
          <w:color w:val="231F20"/>
        </w:rPr>
        <w:t>As a company, we have never commercialized a product candidate for any indication. Even if a product candidate is approved by the appropriate regulatory authorities for marketing and sale, it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w:t>
      </w:r>
    </w:p>
    <w:p>
      <w:pPr>
        <w:spacing w:after="0" w:line="161" w:lineRule="exact"/>
        <w:rPr>
          <w:sz w:val="20"/>
          <w:szCs w:val="20"/>
          <w:color w:val="auto"/>
        </w:rPr>
      </w:pPr>
    </w:p>
    <w:p>
      <w:pPr>
        <w:jc w:val="both"/>
        <w:ind w:left="40" w:right="259" w:firstLine="325"/>
        <w:spacing w:after="0" w:line="289" w:lineRule="auto"/>
        <w:rPr>
          <w:sz w:val="20"/>
          <w:szCs w:val="20"/>
          <w:color w:val="auto"/>
        </w:rPr>
      </w:pPr>
      <w:r>
        <w:rPr>
          <w:rFonts w:ascii="Times New Roman" w:cs="Times New Roman" w:eastAsia="Times New Roman" w:hAnsi="Times New Roman"/>
          <w:sz w:val="16"/>
          <w:szCs w:val="16"/>
          <w:color w:val="231F20"/>
        </w:rPr>
        <w:t>The degree of market acceptance of any of our product candidates will depend on a number of factors, some of which are beyond our control, including:</w:t>
      </w:r>
    </w:p>
    <w:p>
      <w:pPr>
        <w:spacing w:after="0" w:line="143" w:lineRule="exact"/>
        <w:rPr>
          <w:sz w:val="20"/>
          <w:szCs w:val="20"/>
          <w:color w:val="auto"/>
        </w:rPr>
      </w:pPr>
    </w:p>
    <w:p>
      <w:pPr>
        <w:ind w:left="660" w:hanging="154"/>
        <w:spacing w:after="0"/>
        <w:tabs>
          <w:tab w:leader="none" w:pos="660" w:val="left"/>
        </w:tabs>
        <w:numPr>
          <w:ilvl w:val="0"/>
          <w:numId w:val="4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safety, efficacy, tolerability and ease of administration of our product candidates;</w:t>
      </w:r>
    </w:p>
    <w:p>
      <w:pPr>
        <w:spacing w:after="0" w:line="121"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4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prevalence and severity of side effects and AEs associated with our product candidates, and how the safety and tolerability profile of our product candidates compares to those of existing or emerging therapies;</w:t>
      </w:r>
    </w:p>
    <w:p>
      <w:pPr>
        <w:spacing w:after="0" w:line="45"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4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clinical indications for which the products are approved and the approved claims that we may make for the products;</w:t>
      </w:r>
    </w:p>
    <w:p>
      <w:pPr>
        <w:spacing w:after="0" w:line="108"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4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limitations or warnings contained in the product’s FDA-approved labeling, including potential limitations or warnings that may be more restrictive than competitive products;</w:t>
      </w:r>
    </w:p>
    <w:p>
      <w:pPr>
        <w:spacing w:after="0" w:line="45"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4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distribution and use restrictions imposed by the FDA with respect to such product candidates or to which we agree as part of a mandatory REMS or voluntary risk management plan;</w:t>
      </w:r>
    </w:p>
    <w:p>
      <w:pPr>
        <w:spacing w:after="0" w:line="45"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4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changes in the standard of care for the targeted indications for such product candidates;</w:t>
      </w:r>
    </w:p>
    <w:p>
      <w:pPr>
        <w:spacing w:after="0" w:line="121"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4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cost of treatment as compared to the clinical benefit in relation to alternative treatments or therapies;</w:t>
      </w:r>
    </w:p>
    <w:p>
      <w:pPr>
        <w:spacing w:after="0" w:line="72" w:lineRule="exact"/>
        <w:rPr>
          <w:rFonts w:ascii="Times New Roman" w:cs="Times New Roman" w:eastAsia="Times New Roman" w:hAnsi="Times New Roman"/>
          <w:sz w:val="16"/>
          <w:szCs w:val="16"/>
          <w:color w:val="231F20"/>
        </w:rPr>
      </w:pPr>
    </w:p>
    <w:p>
      <w:pPr>
        <w:ind w:left="660" w:right="279" w:hanging="154"/>
        <w:spacing w:after="0" w:line="305" w:lineRule="auto"/>
        <w:tabs>
          <w:tab w:leader="none" w:pos="660" w:val="left"/>
        </w:tabs>
        <w:numPr>
          <w:ilvl w:val="0"/>
          <w:numId w:val="4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availability of adequate coverage and reimbursement by third parties, such as insurance companies and other healthcare payors, and by government healthcare programs, including Medicare and Medicaid;</w:t>
      </w:r>
    </w:p>
    <w:p>
      <w:pPr>
        <w:spacing w:after="0" w:line="32"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4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extent and strength of our marketing and distribution of such product candidates;</w:t>
      </w:r>
    </w:p>
    <w:p>
      <w:pPr>
        <w:spacing w:after="0" w:line="121"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4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safety, efficacy and other potential advantages of, and availability of, alternative treatments already used or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63" w:name="page64"/>
    <w:bookmarkEnd w:id="6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231F20"/>
        </w:rPr>
        <w:t>that may later be approved for any of our intended indications;</w:t>
      </w:r>
    </w:p>
    <w:p>
      <w:pPr>
        <w:spacing w:after="0" w:line="121" w:lineRule="exact"/>
        <w:rPr>
          <w:sz w:val="20"/>
          <w:szCs w:val="20"/>
          <w:color w:val="auto"/>
        </w:rPr>
      </w:pPr>
    </w:p>
    <w:p>
      <w:pPr>
        <w:ind w:left="660" w:hanging="154"/>
        <w:spacing w:after="0"/>
        <w:tabs>
          <w:tab w:leader="none" w:pos="660" w:val="left"/>
        </w:tabs>
        <w:numPr>
          <w:ilvl w:val="0"/>
          <w:numId w:val="4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timing of market introduction of such product candidates, as well as competitive products;</w:t>
      </w:r>
    </w:p>
    <w:p>
      <w:pPr>
        <w:spacing w:after="0" w:line="121"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4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reluctance of physicians to switch their patients’ current standard of care;</w:t>
      </w:r>
    </w:p>
    <w:p>
      <w:pPr>
        <w:spacing w:after="0" w:line="121"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4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reluctance of patients to switch from their existing therapy regardless of the safety and efficacy of newer products;</w:t>
      </w:r>
    </w:p>
    <w:p>
      <w:pPr>
        <w:spacing w:after="0" w:line="121"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4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ability to offer such product candidates for sale at competitive prices;</w:t>
      </w:r>
    </w:p>
    <w:p>
      <w:pPr>
        <w:spacing w:after="0" w:line="121"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4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extent and strength of our third-party manufacturer and supplier support;</w:t>
      </w:r>
    </w:p>
    <w:p>
      <w:pPr>
        <w:spacing w:after="0" w:line="121"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4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adverse publicity about our product or favorable publicity about competitive products; and</w:t>
      </w:r>
    </w:p>
    <w:p>
      <w:pPr>
        <w:spacing w:after="0" w:line="121"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4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potential product liability claims.</w:t>
      </w:r>
    </w:p>
    <w:p>
      <w:pPr>
        <w:spacing w:after="0" w:line="146" w:lineRule="exact"/>
        <w:rPr>
          <w:sz w:val="20"/>
          <w:szCs w:val="20"/>
          <w:color w:val="auto"/>
        </w:rPr>
      </w:pPr>
    </w:p>
    <w:p>
      <w:pPr>
        <w:jc w:val="both"/>
        <w:ind w:left="40" w:right="259" w:firstLine="325"/>
        <w:spacing w:after="0" w:line="274" w:lineRule="auto"/>
        <w:rPr>
          <w:sz w:val="20"/>
          <w:szCs w:val="20"/>
          <w:color w:val="auto"/>
        </w:rPr>
      </w:pPr>
      <w:r>
        <w:rPr>
          <w:rFonts w:ascii="Times New Roman" w:cs="Times New Roman" w:eastAsia="Times New Roman" w:hAnsi="Times New Roman"/>
          <w:sz w:val="16"/>
          <w:szCs w:val="16"/>
          <w:color w:val="231F20"/>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be receptive to such product candidates and may be slow to adopt them as an accepted treatment. If our current or future product candidates are approved, but do not achieve an adequate level of acceptance among physicians, patients and third-party payors, we may not generate meaningful revenue from our product candidates and may never become profitable.</w:t>
      </w:r>
    </w:p>
    <w:p>
      <w:pPr>
        <w:spacing w:after="0" w:line="151" w:lineRule="exact"/>
        <w:rPr>
          <w:sz w:val="20"/>
          <w:szCs w:val="20"/>
          <w:color w:val="auto"/>
        </w:rPr>
      </w:pPr>
    </w:p>
    <w:p>
      <w:pPr>
        <w:jc w:val="both"/>
        <w:ind w:left="40" w:right="259"/>
        <w:spacing w:after="0" w:line="282" w:lineRule="auto"/>
        <w:rPr>
          <w:sz w:val="20"/>
          <w:szCs w:val="20"/>
          <w:color w:val="auto"/>
        </w:rPr>
      </w:pPr>
      <w:r>
        <w:rPr>
          <w:rFonts w:ascii="Times New Roman" w:cs="Times New Roman" w:eastAsia="Times New Roman" w:hAnsi="Times New Roman"/>
          <w:sz w:val="16"/>
          <w:szCs w:val="16"/>
          <w:b w:val="1"/>
          <w:bCs w:val="1"/>
          <w:i w:val="1"/>
          <w:iCs w:val="1"/>
          <w:color w:val="231F20"/>
        </w:rPr>
        <w:t>Misconduct or other improper actions, including noncompliance with regulatory standards and requirements, by our employees, independent contractors, consultants, commercial partners and vendors exposes us to potential noncompliance with regulatory standards and requirements.</w:t>
      </w:r>
    </w:p>
    <w:p>
      <w:pPr>
        <w:spacing w:after="0" w:line="149" w:lineRule="exact"/>
        <w:rPr>
          <w:sz w:val="20"/>
          <w:szCs w:val="20"/>
          <w:color w:val="auto"/>
        </w:rPr>
      </w:pPr>
    </w:p>
    <w:p>
      <w:pPr>
        <w:jc w:val="both"/>
        <w:ind w:left="40" w:right="259" w:firstLine="325"/>
        <w:spacing w:after="0" w:line="266" w:lineRule="auto"/>
        <w:rPr>
          <w:sz w:val="20"/>
          <w:szCs w:val="20"/>
          <w:color w:val="auto"/>
        </w:rPr>
      </w:pPr>
      <w:r>
        <w:rPr>
          <w:rFonts w:ascii="Times New Roman" w:cs="Times New Roman" w:eastAsia="Times New Roman" w:hAnsi="Times New Roman"/>
          <w:sz w:val="16"/>
          <w:szCs w:val="16"/>
          <w:color w:val="231F20"/>
        </w:rPr>
        <w:t>Employee fraud or other illegal activity by our employees, independent contractors, consultants, commercial partners, CROs, CMOs and vendors exposes us to liability. Misconduct by these parties could be intentional, reckless and/or negligent conduct, including failure to comply with FDA or other regulations, provide true, complete and accurate information to the FDA or comparable foreign regulatory authorities, comply with manufacturing standards we may establish, comply with healthcare fraud and abuse laws and regulations, report financial information or data accurately or disclose unauthorized activities to us. If we obtain FDA approval of any of our product candidates and begin commercializing those products in the United States, our potential exposure under these laws will increase significantly, as will our costs associated with compliance.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could also involve the improper use of information obtained in the course of clinical trials or creation of fraudulent data in preclinical studies or clinical trials, which could result in regulatory sanctions and serious harm to our reputation. Additionally, a person could allege fraud or other misconduct even if none occurred. It is not always possible to identify and deter employee misconduct, and the precautions we take to detect and prevent this activity may not be effective in controlling known or unknown risks or losses or in protecting us from governmental investigations or other actions or lawsuits stemming from a failure to comply with such laws or regulations. Any such actions instituted against us could have a material and adverse effect on our business, financial condition, results of operations and prospects, including the imposition of significant civil, criminal or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64" w:name="page65"/>
    <w:bookmarkEnd w:id="6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40" w:right="259"/>
        <w:spacing w:after="0" w:line="282" w:lineRule="auto"/>
        <w:rPr>
          <w:sz w:val="20"/>
          <w:szCs w:val="20"/>
          <w:color w:val="auto"/>
        </w:rPr>
      </w:pPr>
      <w:r>
        <w:rPr>
          <w:rFonts w:ascii="Times New Roman" w:cs="Times New Roman" w:eastAsia="Times New Roman" w:hAnsi="Times New Roman"/>
          <w:sz w:val="16"/>
          <w:szCs w:val="16"/>
          <w:b w:val="1"/>
          <w:bCs w:val="1"/>
          <w:i w:val="1"/>
          <w:iCs w:val="1"/>
          <w:color w:val="231F20"/>
        </w:rPr>
        <w:t>Our estimates of commercial opportunities for product candidates and forecasts of market growth may prove to be smaller than we believe, and even if the markets in which we compete achieve the forecasted growth, our business may not grow at similar rates, or at all.</w:t>
      </w:r>
    </w:p>
    <w:p>
      <w:pPr>
        <w:spacing w:after="0" w:line="149" w:lineRule="exact"/>
        <w:rPr>
          <w:sz w:val="20"/>
          <w:szCs w:val="20"/>
          <w:color w:val="auto"/>
        </w:rPr>
      </w:pPr>
    </w:p>
    <w:p>
      <w:pPr>
        <w:jc w:val="both"/>
        <w:ind w:left="40" w:right="259" w:firstLine="325"/>
        <w:spacing w:after="0" w:line="261" w:lineRule="auto"/>
        <w:rPr>
          <w:sz w:val="20"/>
          <w:szCs w:val="20"/>
          <w:color w:val="auto"/>
        </w:rPr>
      </w:pPr>
      <w:r>
        <w:rPr>
          <w:rFonts w:ascii="Times New Roman" w:cs="Times New Roman" w:eastAsia="Times New Roman" w:hAnsi="Times New Roman"/>
          <w:sz w:val="16"/>
          <w:szCs w:val="16"/>
          <w:color w:val="231F20"/>
        </w:rPr>
        <w:t>We intend to initially focus our product candidate development on treatments for various I&amp;I indications. Our projections of addressable patient populations within any particular disease state that may benefit from treatment with our product candidates are based on our estimates. Market opportunity estimates and growth forecasts are subject to significant uncertainty and are based on assumptions and estimates. Our estimates, which have been derived from a variety of sources, including scientific literature, surveys of clinics, patient foundations and market research, may prove to be incorrect in general or as to their applicability to our company. Further, new studies or trials may change the estimated incidence or prevalence of these diseases. For example, IgG4-RD is a relatively recently described disease that incorporates groups of manifestations that were diagnosed as separate disease entities prior to 2003. We estimate that the currently diagnosed population of IgG4-RD patients in the United States is approximately 20,000, with comparable prevalence rates globally.</w:t>
      </w:r>
    </w:p>
    <w:p>
      <w:pPr>
        <w:spacing w:after="0" w:line="164" w:lineRule="exact"/>
        <w:rPr>
          <w:sz w:val="20"/>
          <w:szCs w:val="20"/>
          <w:color w:val="auto"/>
        </w:rPr>
      </w:pPr>
    </w:p>
    <w:p>
      <w:pPr>
        <w:jc w:val="both"/>
        <w:ind w:left="40" w:right="259" w:firstLine="325"/>
        <w:spacing w:after="0" w:line="264" w:lineRule="auto"/>
        <w:rPr>
          <w:sz w:val="20"/>
          <w:szCs w:val="20"/>
          <w:color w:val="auto"/>
        </w:rPr>
      </w:pPr>
      <w:r>
        <w:rPr>
          <w:rFonts w:ascii="Times New Roman" w:cs="Times New Roman" w:eastAsia="Times New Roman" w:hAnsi="Times New Roman"/>
          <w:sz w:val="16"/>
          <w:szCs w:val="16"/>
          <w:color w:val="231F20"/>
        </w:rPr>
        <w:t>Additionally, the potentially addressable patient population for our product candidates may not ultimately be amenable to treatment with our product candidates. Our commercial opportunity may also be limited by future competitor treatments that enter the market with such patients. If any of our estimates prove to be inaccurate, the commercial opportunity for any product candidate that we or our strategic partners develop could be significantly diminished and have an adverse material impact on our business. Even if we obtain significant market share for our product candidates, because some of our potential target populations are very small, we may never achieve profitability despite obtaining such significant market share.</w:t>
      </w:r>
    </w:p>
    <w:p>
      <w:pPr>
        <w:spacing w:after="0" w:line="161" w:lineRule="exact"/>
        <w:rPr>
          <w:sz w:val="20"/>
          <w:szCs w:val="20"/>
          <w:color w:val="auto"/>
        </w:rPr>
      </w:pPr>
    </w:p>
    <w:p>
      <w:pPr>
        <w:jc w:val="both"/>
        <w:ind w:left="40" w:right="259"/>
        <w:spacing w:after="0" w:line="295" w:lineRule="auto"/>
        <w:rPr>
          <w:sz w:val="20"/>
          <w:szCs w:val="20"/>
          <w:color w:val="auto"/>
        </w:rPr>
      </w:pPr>
      <w:r>
        <w:rPr>
          <w:rFonts w:ascii="Times New Roman" w:cs="Times New Roman" w:eastAsia="Times New Roman" w:hAnsi="Times New Roman"/>
          <w:sz w:val="16"/>
          <w:szCs w:val="16"/>
          <w:b w:val="1"/>
          <w:bCs w:val="1"/>
          <w:i w:val="1"/>
          <w:iCs w:val="1"/>
          <w:color w:val="231F20"/>
        </w:rPr>
        <w:t>Our future growth may depend, in part, on our ability to operate in foreign markets, where we would be subject to additional regulatory burdens and other risks and uncertainties.</w:t>
      </w:r>
    </w:p>
    <w:p>
      <w:pPr>
        <w:spacing w:after="0" w:line="150" w:lineRule="exact"/>
        <w:rPr>
          <w:sz w:val="20"/>
          <w:szCs w:val="20"/>
          <w:color w:val="auto"/>
        </w:rPr>
      </w:pPr>
    </w:p>
    <w:p>
      <w:pPr>
        <w:jc w:val="both"/>
        <w:ind w:left="40" w:right="259" w:firstLine="325"/>
        <w:spacing w:after="0" w:line="261" w:lineRule="auto"/>
        <w:rPr>
          <w:sz w:val="20"/>
          <w:szCs w:val="20"/>
          <w:color w:val="auto"/>
        </w:rPr>
      </w:pPr>
      <w:r>
        <w:rPr>
          <w:rFonts w:ascii="Times New Roman" w:cs="Times New Roman" w:eastAsia="Times New Roman" w:hAnsi="Times New Roman"/>
          <w:sz w:val="16"/>
          <w:szCs w:val="16"/>
          <w:color w:val="231F20"/>
        </w:rPr>
        <w:t>Our future growth may depend, in part, on our ability to develop and commercialize our product candidates in foreign markets, including in the European Union (“EU”), United Kingdom (“UK”), Japan and China for which we may rely on collaboration with third parties. We are not permitted to market or promote any of our product candidates before we receive regulatory approval from the applicable regulatory authority in that foreign market, and we may not obtain foreign regulatory approvals on a timely basis, if at all. To obtain separate regulatory approval in other countries, we must comply with numerous and varying regulatory requirements of such countries regarding safety and efficacy and governing, among other things, clinical trials and commercial sales, pricing and distribution of our product candidates. If we fail to comply with the regulatory requirements in international markets or fail to receive applicable marketing approvals, our ability to realize the full commercial potential of our product candidates will be harmed. Failure to obtain approval of any of our product candidates by regulatory authorities in another country may significantly diminish the commercial prospects of that product candidate and our business, financial condition, results of operations and prospects could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231F20"/>
        </w:rPr>
        <w:t>Strategic transactions could impact our liquidity, increase our expenses and present significant distractions to our management.</w:t>
      </w:r>
    </w:p>
    <w:p>
      <w:pPr>
        <w:spacing w:after="0" w:line="211" w:lineRule="exact"/>
        <w:rPr>
          <w:sz w:val="20"/>
          <w:szCs w:val="20"/>
          <w:color w:val="auto"/>
        </w:rPr>
      </w:pPr>
    </w:p>
    <w:p>
      <w:pPr>
        <w:jc w:val="both"/>
        <w:ind w:left="40" w:right="259" w:firstLine="325"/>
        <w:spacing w:after="0" w:line="265" w:lineRule="auto"/>
        <w:rPr>
          <w:sz w:val="20"/>
          <w:szCs w:val="20"/>
          <w:color w:val="auto"/>
        </w:rPr>
      </w:pPr>
      <w:r>
        <w:rPr>
          <w:rFonts w:ascii="Times New Roman" w:cs="Times New Roman" w:eastAsia="Times New Roman" w:hAnsi="Times New Roman"/>
          <w:sz w:val="16"/>
          <w:szCs w:val="16"/>
          <w:color w:val="231F20"/>
        </w:rPr>
        <w:t>As a core part of our strategy, we intend to enter into strategic transactions, which could include acquisitions of companies, asset purchases and in-licensing and out-licensing of intellectual property. For example, we in-licensed the exclusive global rights to develop and commercialize obexelimab, ZB002 and ZB004 from Xencor, and, in August 2023, we entered into a strategic license and collaboration with BMS, pursuant to which we granted the exclusive rights to develop and, if approved, commercialize obexelimab in Japan, South Korea, Taiwan, Hong Kong, Singapore and Australia. The expected synergies in development programs, pipelines and other areas of focus between Zenas, Xencor and BMS may not be realized on a timely basis or at all, and there may be risks associated with the acquisition that we did not previously anticipate, such as unanticipated liabilities.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65" w:name="page66"/>
    <w:bookmarkEnd w:id="6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We also may enter into a variety of other business arrangements, including strategic collaborations,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business, financial condition, liquidity and results of operations.</w:t>
      </w:r>
    </w:p>
    <w:p>
      <w:pPr>
        <w:spacing w:after="0" w:line="164" w:lineRule="exact"/>
        <w:rPr>
          <w:sz w:val="20"/>
          <w:szCs w:val="20"/>
          <w:color w:val="auto"/>
        </w:rPr>
      </w:pPr>
    </w:p>
    <w:p>
      <w:pPr>
        <w:jc w:val="both"/>
        <w:ind w:left="40" w:right="259" w:firstLine="325"/>
        <w:spacing w:after="0" w:line="272" w:lineRule="auto"/>
        <w:rPr>
          <w:sz w:val="20"/>
          <w:szCs w:val="20"/>
          <w:color w:val="auto"/>
        </w:rPr>
      </w:pPr>
      <w:r>
        <w:rPr>
          <w:rFonts w:ascii="Times New Roman" w:cs="Times New Roman" w:eastAsia="Times New Roman" w:hAnsi="Times New Roman"/>
          <w:sz w:val="16"/>
          <w:szCs w:val="16"/>
          <w:color w:val="231F20"/>
        </w:rPr>
        <w:t>Future acquisitions may require us to obtain additional financing, which may not be available on favorable terms or at all. These transactions may never be successful and may require significant time and attention of our management. In addition, the integration of any business or assets may be disruptive, complex, risky and costly and we may never realize the full benefits of the acquisition.</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231F20"/>
        </w:rPr>
        <w:t>Recent and future changes to tax laws could adversely affect our company.</w:t>
      </w:r>
    </w:p>
    <w:p>
      <w:pPr>
        <w:spacing w:after="0" w:line="223" w:lineRule="exact"/>
        <w:rPr>
          <w:sz w:val="20"/>
          <w:szCs w:val="20"/>
          <w:color w:val="auto"/>
        </w:rPr>
      </w:pPr>
    </w:p>
    <w:p>
      <w:pPr>
        <w:jc w:val="both"/>
        <w:ind w:left="40" w:right="259" w:firstLine="325"/>
        <w:spacing w:after="0" w:line="257" w:lineRule="auto"/>
        <w:rPr>
          <w:sz w:val="20"/>
          <w:szCs w:val="20"/>
          <w:color w:val="auto"/>
        </w:rPr>
      </w:pPr>
      <w:r>
        <w:rPr>
          <w:rFonts w:ascii="Times New Roman" w:cs="Times New Roman" w:eastAsia="Times New Roman" w:hAnsi="Times New Roman"/>
          <w:sz w:val="16"/>
          <w:szCs w:val="16"/>
          <w:color w:val="231F20"/>
        </w:rPr>
        <w:t>The tax regimes we are subject to or operate under, including with respect to income and non-income taxes, are unsettled and may be subject to significant change. Changes in tax laws, regulations, or rulings, or changes in interpretations of existing laws and regulations, could adversely affect our company. For example, the Tax Cuts and Jobs Act, the Coronavirus Aid, Relief, and Economic Security Act, and the Inflation Reduction Act of 2022 (the “IRA”) enacted many significant changes to the U.S. tax laws. Future guidance from the Internal Revenue Service and other tax authorities with respect to such legislation may affect us, and certain aspects thereof could be repealed or modified in future legislation. For example, the IRA includes provisions that will impact the U.S. federal income taxation of certain corporations, including imposing a 15% minimum tax on the book income of certain large corporations and a 1% excise tax on certain corporate stock repurchases that would be imposed on the corporation repurchasing such stock.</w:t>
      </w:r>
    </w:p>
    <w:p>
      <w:pPr>
        <w:spacing w:after="0" w:line="360" w:lineRule="exact"/>
        <w:rPr>
          <w:sz w:val="20"/>
          <w:szCs w:val="20"/>
          <w:color w:val="auto"/>
        </w:rPr>
      </w:pPr>
    </w:p>
    <w:p>
      <w:pPr>
        <w:jc w:val="both"/>
        <w:ind w:left="40" w:right="259"/>
        <w:spacing w:after="0" w:line="273" w:lineRule="auto"/>
        <w:rPr>
          <w:sz w:val="20"/>
          <w:szCs w:val="20"/>
          <w:color w:val="auto"/>
        </w:rPr>
      </w:pPr>
      <w:r>
        <w:rPr>
          <w:rFonts w:ascii="Times New Roman" w:cs="Times New Roman" w:eastAsia="Times New Roman" w:hAnsi="Times New Roman"/>
          <w:sz w:val="16"/>
          <w:szCs w:val="16"/>
          <w:b w:val="1"/>
          <w:bCs w:val="1"/>
          <w:i w:val="1"/>
          <w:iCs w:val="1"/>
          <w:color w:val="231F20"/>
        </w:rPr>
        <w:t>If our internal information technology systems, or those used by our CROs, CMOs, clinical sites or other contractors or consultants, are or were compromised, become unavailable or suffer security incidents, loss or leakage of data or other disruptions, we could suffer material adverse consequences, including operational or service interruption, harm to our reputation, litigation, fines, penalties, compromise of sensitive information related our business and other adverse consequences.</w:t>
      </w:r>
    </w:p>
    <w:p>
      <w:pPr>
        <w:spacing w:after="0" w:line="155" w:lineRule="exact"/>
        <w:rPr>
          <w:sz w:val="20"/>
          <w:szCs w:val="20"/>
          <w:color w:val="auto"/>
        </w:rPr>
      </w:pPr>
    </w:p>
    <w:p>
      <w:pPr>
        <w:jc w:val="both"/>
        <w:ind w:left="40" w:right="259" w:firstLine="325"/>
        <w:spacing w:after="0" w:line="305" w:lineRule="auto"/>
        <w:rPr>
          <w:sz w:val="20"/>
          <w:szCs w:val="20"/>
          <w:color w:val="auto"/>
        </w:rPr>
      </w:pPr>
      <w:r>
        <w:rPr>
          <w:rFonts w:ascii="Times New Roman" w:cs="Times New Roman" w:eastAsia="Times New Roman" w:hAnsi="Times New Roman"/>
          <w:sz w:val="16"/>
          <w:szCs w:val="16"/>
          <w:color w:val="231F20"/>
        </w:rPr>
        <w:t>In the ordinary course of our business, we, and the third parties upon which we rely, process sensitive data and as a result, we and the third parties upon which we rely face a variety of evolving threats which could cause security incidents.</w:t>
      </w:r>
    </w:p>
    <w:p>
      <w:pPr>
        <w:spacing w:after="0" w:line="130" w:lineRule="exact"/>
        <w:rPr>
          <w:sz w:val="20"/>
          <w:szCs w:val="20"/>
          <w:color w:val="auto"/>
        </w:rPr>
      </w:pPr>
    </w:p>
    <w:p>
      <w:pPr>
        <w:jc w:val="both"/>
        <w:ind w:left="40" w:right="259" w:firstLine="325"/>
        <w:spacing w:after="0" w:line="260" w:lineRule="auto"/>
        <w:rPr>
          <w:sz w:val="20"/>
          <w:szCs w:val="20"/>
          <w:color w:val="auto"/>
        </w:rPr>
      </w:pPr>
      <w:r>
        <w:rPr>
          <w:rFonts w:ascii="Times New Roman" w:cs="Times New Roman" w:eastAsia="Times New Roman" w:hAnsi="Times New Roman"/>
          <w:sz w:val="16"/>
          <w:szCs w:val="16"/>
          <w:color w:val="231F20"/>
        </w:rPr>
        <w:t>Our internal information technology systems and those of our CROs, CMOs, clinical sites and other contractors and consultants are vulnerable to cyberattacks, computer viruses, bugs, worms, or other malicious codes, malware (including as a result of advanced persistent threat intrusions) and other attacks by computer hackers, cracking, application security attacks, social engineering (including through phishing attacks), supply chain attacks and vulnerabilities through our third-party service providers, denial-of-service attacks (such as credential stuffing), credential harvesting, personnel misconduct or error, supply-chain attacks, software bugs, server malfunctions, software or hardware failures, loss of data or other information technology assets, adware, telecommunications failures, earthquakes, fires, floods and other similar threats.</w:t>
      </w:r>
    </w:p>
    <w:p>
      <w:pPr>
        <w:spacing w:after="0" w:line="179" w:lineRule="exact"/>
        <w:rPr>
          <w:sz w:val="20"/>
          <w:szCs w:val="20"/>
          <w:color w:val="auto"/>
        </w:rPr>
      </w:pPr>
    </w:p>
    <w:p>
      <w:pPr>
        <w:jc w:val="both"/>
        <w:ind w:left="40" w:right="259" w:firstLine="325"/>
        <w:spacing w:after="0" w:line="259" w:lineRule="auto"/>
        <w:rPr>
          <w:sz w:val="20"/>
          <w:szCs w:val="20"/>
          <w:color w:val="auto"/>
        </w:rPr>
      </w:pPr>
      <w:r>
        <w:rPr>
          <w:rFonts w:ascii="Times New Roman" w:cs="Times New Roman" w:eastAsia="Times New Roman" w:hAnsi="Times New Roman"/>
          <w:sz w:val="16"/>
          <w:szCs w:val="16"/>
          <w:color w:val="231F20"/>
        </w:rPr>
        <w:t>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In particular, ransomware attacks, including those from organized criminal threat actors, nation-states and nation-state supported actors, are becoming increasingly prevalent and severe and can lead to significant interruptions, delays, or outages in our operations, loss of data (including sensitive customer information), loss of income, significant extra expenses to restore data or systems, reputational loss and the diversion of funds. To alleviate the negative impact of a ransomware attack, it may be preferable to make extortion payments, but we may be unwilling or unable to do so (including, for example, if applicable laws or regulations prohibit such payments, or our insurance carrier objects to payment).</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7309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66" w:name="page67"/>
    <w:bookmarkEnd w:id="6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firstLine="325"/>
        <w:spacing w:after="0" w:line="264" w:lineRule="auto"/>
        <w:rPr>
          <w:sz w:val="20"/>
          <w:szCs w:val="20"/>
          <w:color w:val="auto"/>
        </w:rPr>
      </w:pPr>
      <w:r>
        <w:rPr>
          <w:rFonts w:ascii="Times New Roman" w:cs="Times New Roman" w:eastAsia="Times New Roman" w:hAnsi="Times New Roman"/>
          <w:sz w:val="16"/>
          <w:szCs w:val="16"/>
          <w:color w:val="231F20"/>
        </w:rPr>
        <w:t>Some actors, including nation-state actors, also engage in cyber-attacks for geopolitical reasons and in conjunction with military conflicts and defense activities. During times of war and other major conflicts, we and the third parties upon which we rely are vulnerable to a heightened risk of these attacks, including retaliatory cyber-attacks, that could materially disrupt our systems and operations, supply chain and ability to conduct our development activities, including clinical trials. In addition to experiencing a security incident, third parties may gather, collect or infer sensitive information about us from public sources, data brokers or other means that reveals competitively sensitive details about our organization and could be used against us.</w:t>
      </w:r>
    </w:p>
    <w:p>
      <w:pPr>
        <w:spacing w:after="0" w:line="165" w:lineRule="exact"/>
        <w:rPr>
          <w:sz w:val="20"/>
          <w:szCs w:val="20"/>
          <w:color w:val="auto"/>
        </w:rPr>
      </w:pPr>
    </w:p>
    <w:p>
      <w:pPr>
        <w:jc w:val="both"/>
        <w:ind w:left="40" w:right="259" w:firstLine="325"/>
        <w:spacing w:after="0" w:line="282" w:lineRule="auto"/>
        <w:rPr>
          <w:sz w:val="20"/>
          <w:szCs w:val="20"/>
          <w:color w:val="auto"/>
        </w:rPr>
      </w:pPr>
      <w:r>
        <w:rPr>
          <w:rFonts w:ascii="Times New Roman" w:cs="Times New Roman" w:eastAsia="Times New Roman" w:hAnsi="Times New Roman"/>
          <w:sz w:val="16"/>
          <w:szCs w:val="16"/>
          <w:color w:val="231F20"/>
        </w:rPr>
        <w:t>Additionally, remote work increases risks to our information technology systems and data, as more of our employees utilize network connections, computers and devices outside our premises or network, including working at home, while in transit and in public locations. We may be vulnerable to attacks as a result of vulnerabilities introduced through our supply chain, including vendors we engage to provide us with security and other technologies.</w:t>
      </w:r>
    </w:p>
    <w:p>
      <w:pPr>
        <w:spacing w:after="0" w:line="148" w:lineRule="exact"/>
        <w:rPr>
          <w:sz w:val="20"/>
          <w:szCs w:val="20"/>
          <w:color w:val="auto"/>
        </w:rPr>
      </w:pPr>
    </w:p>
    <w:p>
      <w:pPr>
        <w:jc w:val="both"/>
        <w:ind w:left="40" w:right="259" w:firstLine="325"/>
        <w:spacing w:after="0" w:line="282" w:lineRule="auto"/>
        <w:rPr>
          <w:sz w:val="20"/>
          <w:szCs w:val="20"/>
          <w:color w:val="auto"/>
        </w:rPr>
      </w:pPr>
      <w:r>
        <w:rPr>
          <w:rFonts w:ascii="Times New Roman" w:cs="Times New Roman" w:eastAsia="Times New Roman" w:hAnsi="Times New Roman"/>
          <w:sz w:val="16"/>
          <w:szCs w:val="16"/>
          <w:color w:val="231F20"/>
        </w:rPr>
        <w:t>Furthermore, future or past business transactions (such as acquisitions or integrations) could expose us to additional cybersecurity risks and vulnerabilities present in acquired or integrated entities’ systems and technologies, including security issues that are not identified during due diligence. Additionally, it may be difficult to integrate companies into our information technology environment and security program.</w:t>
      </w:r>
    </w:p>
    <w:p>
      <w:pPr>
        <w:spacing w:after="0" w:line="148" w:lineRule="exact"/>
        <w:rPr>
          <w:sz w:val="20"/>
          <w:szCs w:val="20"/>
          <w:color w:val="auto"/>
        </w:rPr>
      </w:pPr>
    </w:p>
    <w:p>
      <w:pPr>
        <w:jc w:val="both"/>
        <w:ind w:left="40" w:right="259" w:firstLine="325"/>
        <w:spacing w:after="0" w:line="282" w:lineRule="auto"/>
        <w:rPr>
          <w:sz w:val="20"/>
          <w:szCs w:val="20"/>
          <w:color w:val="auto"/>
        </w:rPr>
      </w:pPr>
      <w:r>
        <w:rPr>
          <w:rFonts w:ascii="Times New Roman" w:cs="Times New Roman" w:eastAsia="Times New Roman" w:hAnsi="Times New Roman"/>
          <w:sz w:val="16"/>
          <w:szCs w:val="16"/>
          <w:color w:val="231F20"/>
        </w:rPr>
        <w:t>We may not be able to detect and remediate all vulnerabilities and the threats and techniques used to exploit such vulnerabilities change frequently and are often sophisticated in nature. Therefore, vulnerabilities could be exploited but may not be detected until after a security incident has occurred. Further, we may experience delays in developing and deploying remedial measures designed to address any such identified vulnerabilities.</w:t>
      </w:r>
    </w:p>
    <w:p>
      <w:pPr>
        <w:spacing w:after="0" w:line="160" w:lineRule="exact"/>
        <w:rPr>
          <w:sz w:val="20"/>
          <w:szCs w:val="20"/>
          <w:color w:val="auto"/>
        </w:rPr>
      </w:pPr>
    </w:p>
    <w:p>
      <w:pPr>
        <w:jc w:val="both"/>
        <w:ind w:left="40" w:right="259" w:firstLine="325"/>
        <w:spacing w:after="0" w:line="267" w:lineRule="auto"/>
        <w:rPr>
          <w:sz w:val="20"/>
          <w:szCs w:val="20"/>
          <w:color w:val="auto"/>
        </w:rPr>
      </w:pPr>
      <w:r>
        <w:rPr>
          <w:rFonts w:ascii="Times New Roman" w:cs="Times New Roman" w:eastAsia="Times New Roman" w:hAnsi="Times New Roman"/>
          <w:sz w:val="16"/>
          <w:szCs w:val="16"/>
          <w:color w:val="231F20"/>
        </w:rPr>
        <w:t>We rely on third-party service providers and technologies to operate critical business systems to process sensitive information in a variety of contexts, including cloud-based infrastructure, encryption and authentication technology, employee email and other functions. We also rely on third-party service providers to assist with our clinical trials, provide other products or services or otherwise to operate our business. Our ability to perform diligence on or monitor third parties’ information security practices is limited, and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If the information technology systems of our CROs, CMOs, clinical sites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w:t>
      </w:r>
    </w:p>
    <w:p>
      <w:pPr>
        <w:spacing w:after="0" w:line="369" w:lineRule="exact"/>
        <w:rPr>
          <w:sz w:val="20"/>
          <w:szCs w:val="20"/>
          <w:color w:val="auto"/>
        </w:rPr>
      </w:pPr>
    </w:p>
    <w:p>
      <w:pPr>
        <w:jc w:val="both"/>
        <w:ind w:left="40" w:right="259" w:firstLine="325"/>
        <w:spacing w:after="0" w:line="269" w:lineRule="auto"/>
        <w:rPr>
          <w:sz w:val="20"/>
          <w:szCs w:val="20"/>
          <w:color w:val="auto"/>
        </w:rPr>
      </w:pPr>
      <w:r>
        <w:rPr>
          <w:rFonts w:ascii="Times New Roman" w:cs="Times New Roman" w:eastAsia="Times New Roman" w:hAnsi="Times New Roman"/>
          <w:sz w:val="16"/>
          <w:szCs w:val="16"/>
          <w:color w:val="231F20"/>
        </w:rPr>
        <w:t>A security incident or other interruption could result in unauthorized, unlawful or accidental acquisition, modification, destruction, loss, alteration, encryption, disclosure of, or access to our sensitive data or our information technology systems, or those of the third parties upon whom we rely, any of which could disrupt our ability (and that of third parties upon whom we rely) to advance clinical development or commercial activities for any products, if approved. For example, the loss of clinical trial data from completed or ongoing clinical trials could result in delays in our regulatory approval efforts, significantly increase our costs to recover or reproduce the data or limit our ability to effectively execute a product recall, if required. In addition, we could incur liability if any disruption or security incident results in the loss of or damage to our data or applications, or inappropriate disclosure of personal, confidential or proprietary information. Applicable data privacy and security obligations also may require us to notify relevant stakeholders of security incidents. Such disclosures are costly, and the disclosure or the failure to comply with such requirements could lead to adverse consequences. Any disruption or security incident could result in legal claims or proceedings, liability under laws that protect the privacy of personal information and significant regulatory penalties,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7309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67" w:name="page68"/>
    <w:bookmarkEnd w:id="6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spacing w:after="0" w:line="277" w:lineRule="auto"/>
        <w:rPr>
          <w:sz w:val="20"/>
          <w:szCs w:val="20"/>
          <w:color w:val="auto"/>
        </w:rPr>
      </w:pPr>
      <w:r>
        <w:rPr>
          <w:rFonts w:ascii="Times New Roman" w:cs="Times New Roman" w:eastAsia="Times New Roman" w:hAnsi="Times New Roman"/>
          <w:sz w:val="16"/>
          <w:szCs w:val="16"/>
          <w:color w:val="231F20"/>
        </w:rPr>
        <w:t>damage to our reputation or a loss of confidence in us and our ability to conduct clinical trials, which could delay the clinical development of our product candidates. Although we have obtained cyber insurance, we cannot be sure that our insurance coverage will be adequate or sufficient to protect us from or to mitigate liabilities arising out of a cybersecurity incident or that such coverage will continue to be available on commercially reasonable terms in the future.</w:t>
      </w:r>
    </w:p>
    <w:p>
      <w:pPr>
        <w:spacing w:after="0" w:line="160" w:lineRule="exact"/>
        <w:rPr>
          <w:sz w:val="20"/>
          <w:szCs w:val="20"/>
          <w:color w:val="auto"/>
        </w:rPr>
      </w:pPr>
    </w:p>
    <w:p>
      <w:pPr>
        <w:jc w:val="both"/>
        <w:ind w:left="40" w:right="259"/>
        <w:spacing w:after="0" w:line="295" w:lineRule="auto"/>
        <w:rPr>
          <w:sz w:val="20"/>
          <w:szCs w:val="20"/>
          <w:color w:val="auto"/>
        </w:rPr>
      </w:pPr>
      <w:r>
        <w:rPr>
          <w:rFonts w:ascii="Times New Roman" w:cs="Times New Roman" w:eastAsia="Times New Roman" w:hAnsi="Times New Roman"/>
          <w:sz w:val="16"/>
          <w:szCs w:val="16"/>
          <w:b w:val="1"/>
          <w:bCs w:val="1"/>
          <w:i w:val="1"/>
          <w:iCs w:val="1"/>
          <w:color w:val="231F20"/>
        </w:rPr>
        <w:t>Our business entails a significant risk of product liability and our ability to obtain sufficient insurance coverage could adversely affect our business, financial condition, results of operations and prospects.</w:t>
      </w:r>
    </w:p>
    <w:p>
      <w:pPr>
        <w:spacing w:after="0" w:line="150" w:lineRule="exact"/>
        <w:rPr>
          <w:sz w:val="20"/>
          <w:szCs w:val="20"/>
          <w:color w:val="auto"/>
        </w:rPr>
      </w:pPr>
    </w:p>
    <w:p>
      <w:pPr>
        <w:jc w:val="both"/>
        <w:ind w:left="40" w:right="259" w:firstLine="325"/>
        <w:spacing w:after="0" w:line="257" w:lineRule="auto"/>
        <w:rPr>
          <w:sz w:val="20"/>
          <w:szCs w:val="20"/>
          <w:color w:val="auto"/>
        </w:rPr>
      </w:pPr>
      <w:r>
        <w:rPr>
          <w:rFonts w:ascii="Times New Roman" w:cs="Times New Roman" w:eastAsia="Times New Roman" w:hAnsi="Times New Roman"/>
          <w:sz w:val="16"/>
          <w:szCs w:val="16"/>
          <w:color w:val="231F20"/>
        </w:rPr>
        <w:t>As we conduct clinical trials of our current or future product candidates, we are exposed to significant product liability risks inherent in the development, testing, manufacturing and marketing of new therapies. Product liability claims could delay or prevent completion of our development programs. If we succeed in obtaining approval to market any product candidate, product liability claims could result in FDA or other investigation of the safety and effectiveness of our future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 candidates, termination of clinical trial sites or entire trial programs, withdrawal of clinical trial participants or inability to enroll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and products that we may develop, and a decline in our stock price. We may require higher levels of product liability insurance for later stages of clinical development or marketing any of our product candidates, and our insurance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 financial condition, results of operations and prospects.</w:t>
      </w:r>
    </w:p>
    <w:p>
      <w:pPr>
        <w:spacing w:after="0" w:line="165" w:lineRule="exact"/>
        <w:rPr>
          <w:sz w:val="20"/>
          <w:szCs w:val="20"/>
          <w:color w:val="auto"/>
        </w:rPr>
      </w:pPr>
    </w:p>
    <w:p>
      <w:pPr>
        <w:jc w:val="both"/>
        <w:ind w:left="40" w:right="259"/>
        <w:spacing w:after="0" w:line="295" w:lineRule="auto"/>
        <w:rPr>
          <w:sz w:val="20"/>
          <w:szCs w:val="20"/>
          <w:color w:val="auto"/>
        </w:rPr>
      </w:pPr>
      <w:r>
        <w:rPr>
          <w:rFonts w:ascii="Times New Roman" w:cs="Times New Roman" w:eastAsia="Times New Roman" w:hAnsi="Times New Roman"/>
          <w:sz w:val="16"/>
          <w:szCs w:val="16"/>
          <w:b w:val="1"/>
          <w:bCs w:val="1"/>
          <w:i w:val="1"/>
          <w:iCs w:val="1"/>
          <w:color w:val="231F20"/>
        </w:rPr>
        <w:t>Public opinion and scrutiny of I&amp;I treatments may impact public perception of our company and product candidates, or may adversely affect our ability to conduct our business and our business plans.</w:t>
      </w:r>
    </w:p>
    <w:p>
      <w:pPr>
        <w:spacing w:after="0" w:line="138" w:lineRule="exact"/>
        <w:rPr>
          <w:sz w:val="20"/>
          <w:szCs w:val="20"/>
          <w:color w:val="auto"/>
        </w:rPr>
      </w:pPr>
    </w:p>
    <w:p>
      <w:pPr>
        <w:jc w:val="both"/>
        <w:ind w:left="40" w:right="239" w:firstLine="325"/>
        <w:spacing w:after="0" w:line="257" w:lineRule="auto"/>
        <w:rPr>
          <w:sz w:val="20"/>
          <w:szCs w:val="20"/>
          <w:color w:val="auto"/>
        </w:rPr>
      </w:pPr>
      <w:r>
        <w:rPr>
          <w:rFonts w:ascii="Times New Roman" w:cs="Times New Roman" w:eastAsia="Times New Roman" w:hAnsi="Times New Roman"/>
          <w:sz w:val="16"/>
          <w:szCs w:val="16"/>
          <w:color w:val="231F20"/>
        </w:rPr>
        <w:t>Public perception may be influenced by claims, such as claims that our product candidates are unsafe, unethical or immoral and, consequently, our approach may not gain the acceptance of the public or the medical community. Negative public reaction to I&amp;I treatments in general could result in greater government regulation and stricter labeling requirements of products to treat immunological diseases, including any of our product candidates, if approved, and could cause a decrease in the demand for any product candidates we may develop. Moreover, our success will depend upon physicians specializing in the treatment of those diseases that our product candidates target prescribing, and their patients being willing to receive, treatments that involve the use of our product candidates in lieu of, or in addition to, existing treatments they are already familiar with and for which greater clinical data may be available. AEs in our clinical trials, even if not ultimately attributable to our product candidates, and the resulting publicity could result in withdrawal of clinical trial participants or impact our ability to enroll participants or lead to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More restrictive government regulations or negative public opinion could have an adverse effect on our business, financial condition, results of operations and prospects, and may delay or impair the development and, if approved, commercialization of our product candidates or demand for any products we may develop.</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68" w:name="page69"/>
    <w:bookmarkEnd w:id="6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i w:val="1"/>
          <w:iCs w:val="1"/>
          <w:color w:val="231F20"/>
        </w:rPr>
        <w:t>Risks Related to Our Intellectual Property</w:t>
      </w:r>
    </w:p>
    <w:p>
      <w:pPr>
        <w:spacing w:after="0" w:line="144" w:lineRule="exact"/>
        <w:rPr>
          <w:sz w:val="20"/>
          <w:szCs w:val="20"/>
          <w:color w:val="auto"/>
        </w:rPr>
      </w:pPr>
    </w:p>
    <w:p>
      <w:pPr>
        <w:jc w:val="both"/>
        <w:ind w:left="40" w:right="259"/>
        <w:spacing w:after="0" w:line="273" w:lineRule="auto"/>
        <w:rPr>
          <w:sz w:val="20"/>
          <w:szCs w:val="20"/>
          <w:color w:val="auto"/>
        </w:rPr>
      </w:pPr>
      <w:r>
        <w:rPr>
          <w:rFonts w:ascii="Times New Roman" w:cs="Times New Roman" w:eastAsia="Times New Roman" w:hAnsi="Times New Roman"/>
          <w:sz w:val="16"/>
          <w:szCs w:val="16"/>
          <w:b w:val="1"/>
          <w:bCs w:val="1"/>
          <w:i w:val="1"/>
          <w:iCs w:val="1"/>
          <w:color w:val="231F20"/>
        </w:rPr>
        <w:t>If we are unable to obtain and maintain sufficient intellectual property protection for our product candidates or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impacted.</w:t>
      </w:r>
    </w:p>
    <w:p>
      <w:pPr>
        <w:spacing w:after="0" w:line="155" w:lineRule="exact"/>
        <w:rPr>
          <w:sz w:val="20"/>
          <w:szCs w:val="20"/>
          <w:color w:val="auto"/>
        </w:rPr>
      </w:pPr>
    </w:p>
    <w:p>
      <w:pPr>
        <w:jc w:val="both"/>
        <w:ind w:left="40" w:right="259" w:firstLine="325"/>
        <w:spacing w:after="0" w:line="272" w:lineRule="auto"/>
        <w:rPr>
          <w:sz w:val="20"/>
          <w:szCs w:val="20"/>
          <w:color w:val="auto"/>
        </w:rPr>
      </w:pPr>
      <w:r>
        <w:rPr>
          <w:rFonts w:ascii="Times New Roman" w:cs="Times New Roman" w:eastAsia="Times New Roman" w:hAnsi="Times New Roman"/>
          <w:sz w:val="16"/>
          <w:szCs w:val="16"/>
          <w:color w:val="231F20"/>
        </w:rPr>
        <w:t>We rely upon a combination of patents, know-how and confidentiality agreements to protect the intellectual property related to our product candidates and to prevent third parties from copying and surpassing our achievements, thus eroding our competitive position in our market.</w:t>
      </w:r>
    </w:p>
    <w:p>
      <w:pPr>
        <w:spacing w:after="0" w:line="156" w:lineRule="exact"/>
        <w:rPr>
          <w:sz w:val="20"/>
          <w:szCs w:val="20"/>
          <w:color w:val="auto"/>
        </w:rPr>
      </w:pPr>
    </w:p>
    <w:p>
      <w:pPr>
        <w:jc w:val="both"/>
        <w:ind w:left="40" w:right="259" w:firstLine="325"/>
        <w:spacing w:after="0" w:line="262" w:lineRule="auto"/>
        <w:rPr>
          <w:sz w:val="20"/>
          <w:szCs w:val="20"/>
          <w:color w:val="auto"/>
        </w:rPr>
      </w:pPr>
      <w:r>
        <w:rPr>
          <w:rFonts w:ascii="Times New Roman" w:cs="Times New Roman" w:eastAsia="Times New Roman" w:hAnsi="Times New Roman"/>
          <w:sz w:val="16"/>
          <w:szCs w:val="16"/>
          <w:color w:val="231F20"/>
        </w:rPr>
        <w:t>Our success depends in large part on our ability to obtain and maintain patent protection in the United States and other countries for our product candidates and their uses, as well as our ability to operate without infringing, misappropriating or otherwise violating the proprietary rights of others. We seek to protect our proprietary position by filing and licensing patent applications in the United States and abroad related to our novel discoveries and technologies that are important to our business. Although we in-license issued patents, we do not own any issued patents and our pending and future patent applications may not result in patents being issued. Issued patents may not afford sufficient protection of our product candidates or their intended uses against competitors, and the patents issued may be infringed, designed around, invalidated by third parties, or may not effectively prevent others from commercializing competitive technologies, products or product candidates.</w:t>
      </w:r>
    </w:p>
    <w:p>
      <w:pPr>
        <w:spacing w:after="0" w:line="163" w:lineRule="exact"/>
        <w:rPr>
          <w:sz w:val="20"/>
          <w:szCs w:val="20"/>
          <w:color w:val="auto"/>
        </w:rPr>
      </w:pPr>
    </w:p>
    <w:p>
      <w:pPr>
        <w:jc w:val="both"/>
        <w:ind w:left="40" w:right="259" w:firstLine="325"/>
        <w:spacing w:after="0" w:line="260" w:lineRule="auto"/>
        <w:rPr>
          <w:sz w:val="20"/>
          <w:szCs w:val="20"/>
          <w:color w:val="auto"/>
        </w:rPr>
      </w:pPr>
      <w:r>
        <w:rPr>
          <w:rFonts w:ascii="Times New Roman" w:cs="Times New Roman" w:eastAsia="Times New Roman" w:hAnsi="Times New Roman"/>
          <w:sz w:val="16"/>
          <w:szCs w:val="16"/>
          <w:color w:val="231F20"/>
        </w:rPr>
        <w:t>Obtaining and enforcing patents is expensive and time consuming, and we may not be able to file, prosecute, maintain, enforce or license all necessary or desirable patent applications or maintain and/or enforce patents that may issue based on our patent applications, at a reasonable cost or in a timely manner.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 be able to prevent third parties from using our technology that is in the public domain.</w:t>
      </w:r>
    </w:p>
    <w:p>
      <w:pPr>
        <w:spacing w:after="0" w:line="167"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Composition of matter patents for biological and pharmaceutical product candidates often provide a strong form of intellectual property protection for those types of products, as such patents provide protection without regard to any method of use. However, the claims in our or our collaborators’ or licensors’ pending patent applications directed to composition of matter of our product candidates may not be considered patentable by the United States Patent and Trademark Office (“USPTO”) or by patent offices in foreign countries, or the claims in any of our or our licensors’ issued patents may not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candidates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w:t>
      </w:r>
    </w:p>
    <w:p>
      <w:pPr>
        <w:spacing w:after="0" w:line="168"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The patent position of biopharmaceutical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As a result, the issuance, scope, validity, enforceability and commercial value of any patent rights are highly uncertain. Our pending and future owned and in-licensed patent applications may not result in patents being issued which protect our product candidates, effectively prevent others from commercializing our product candidates or otherwise provide any competitive advantage. In fact, patent applications may not issue as patents at all. The coverage claimed in a patent</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7309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69" w:name="page70"/>
    <w:bookmarkEnd w:id="6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spacing w:after="0" w:line="305" w:lineRule="auto"/>
        <w:rPr>
          <w:sz w:val="20"/>
          <w:szCs w:val="20"/>
          <w:color w:val="auto"/>
        </w:rPr>
      </w:pPr>
      <w:r>
        <w:rPr>
          <w:rFonts w:ascii="Times New Roman" w:cs="Times New Roman" w:eastAsia="Times New Roman" w:hAnsi="Times New Roman"/>
          <w:sz w:val="16"/>
          <w:szCs w:val="16"/>
          <w:color w:val="231F20"/>
        </w:rPr>
        <w:t>application can also be significantly reduced before the patent is issued, and its scope can be reinterpreted after issuance. In addition, the laws of foreign countries may not protect our rights to the same extent as the laws of the United States, or vice versa.</w:t>
      </w:r>
    </w:p>
    <w:p>
      <w:pPr>
        <w:spacing w:after="0" w:line="130" w:lineRule="exact"/>
        <w:rPr>
          <w:sz w:val="20"/>
          <w:szCs w:val="20"/>
          <w:color w:val="auto"/>
        </w:rPr>
      </w:pPr>
    </w:p>
    <w:p>
      <w:pPr>
        <w:jc w:val="both"/>
        <w:ind w:left="40" w:right="259" w:firstLine="325"/>
        <w:spacing w:after="0" w:line="262" w:lineRule="auto"/>
        <w:rPr>
          <w:sz w:val="20"/>
          <w:szCs w:val="20"/>
          <w:color w:val="auto"/>
        </w:rPr>
      </w:pPr>
      <w:r>
        <w:rPr>
          <w:rFonts w:ascii="Times New Roman" w:cs="Times New Roman" w:eastAsia="Times New Roman" w:hAnsi="Times New Roman"/>
          <w:sz w:val="16"/>
          <w:szCs w:val="16"/>
          <w:color w:val="231F20"/>
        </w:rPr>
        <w:t>The patent application process is subject to numerous risks and uncertainties, and we may not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or our licensors’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As a result, the issuance, inventorship, scope, validity, enforceability and commercial value of our or our licensors’ patent rights are highly uncertain.</w:t>
      </w:r>
    </w:p>
    <w:p>
      <w:pPr>
        <w:spacing w:after="0" w:line="165" w:lineRule="exact"/>
        <w:rPr>
          <w:sz w:val="20"/>
          <w:szCs w:val="20"/>
          <w:color w:val="auto"/>
        </w:rPr>
      </w:pPr>
    </w:p>
    <w:p>
      <w:pPr>
        <w:jc w:val="both"/>
        <w:ind w:left="40" w:right="239" w:firstLine="325"/>
        <w:spacing w:after="0" w:line="257" w:lineRule="auto"/>
        <w:rPr>
          <w:sz w:val="20"/>
          <w:szCs w:val="20"/>
          <w:color w:val="auto"/>
        </w:rPr>
      </w:pPr>
      <w:r>
        <w:rPr>
          <w:rFonts w:ascii="Times New Roman" w:cs="Times New Roman" w:eastAsia="Times New Roman" w:hAnsi="Times New Roman"/>
          <w:sz w:val="16"/>
          <w:szCs w:val="16"/>
          <w:color w:val="231F20"/>
        </w:rPr>
        <w:t xml:space="preserve">The issuance of a patent is not conclusive as to its inventorship, scope, validity or enforceability and our or our licensors’ pending patent applications may be challenged in patent offices in the United States and abroad. Even issued patents may later be found invalid or unenforceable or may be modified or revoked in proceedings instituted by third parties before various patent offices or in courts. For example, our or our licensors’ pending patent applications may be subject to third-party pre-issuance submissions of prior art to the USPTO or our issued patents may be subject to post-grant review proceedings, oppositions, derivations, reexaminations, interferences, </w:t>
      </w:r>
      <w:r>
        <w:rPr>
          <w:rFonts w:ascii="Times New Roman" w:cs="Times New Roman" w:eastAsia="Times New Roman" w:hAnsi="Times New Roman"/>
          <w:sz w:val="16"/>
          <w:szCs w:val="16"/>
          <w:i w:val="1"/>
          <w:iCs w:val="1"/>
          <w:color w:val="231F20"/>
        </w:rPr>
        <w:t>inter partes</w:t>
      </w:r>
      <w:r>
        <w:rPr>
          <w:rFonts w:ascii="Times New Roman" w:cs="Times New Roman" w:eastAsia="Times New Roman" w:hAnsi="Times New Roman"/>
          <w:sz w:val="16"/>
          <w:szCs w:val="16"/>
          <w:color w:val="231F20"/>
        </w:rPr>
        <w:t xml:space="preserve"> review proceedings or other similar proceedings, in the United States or elsewhere, challenging our or our licensors’ patent rights or the patent rights of others. Such submissions may also be made prior to a patent’s issuance, precluding the granting of a patent based on one or more of our owned or licensed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w:t>
      </w:r>
    </w:p>
    <w:p>
      <w:pPr>
        <w:spacing w:after="0" w:line="173"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A third party may also claim that our owned or licensed patent rights are invalid or unenforceable in a litigation. The outcome following legal assertions of invalidity and unenforceability is unpredictable. An adverse result in any legal proceeding could put one or more of our owned or in-licensed patents at risk of being invalidated or interpreted narrowly and could allow third parties to commercialize our products and compete directly with us, without payment to us, or result in our inability to manufacture or commercialize our technology, products or product candidates without infringing third-party patent rights.</w:t>
      </w:r>
    </w:p>
    <w:p>
      <w:pPr>
        <w:spacing w:after="0" w:line="164"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231F20"/>
        </w:rPr>
        <w:t>We have in-licensed patent portfolios, but have no solely owned issued patents relating to our product candidates.</w:t>
      </w:r>
    </w:p>
    <w:p>
      <w:pPr>
        <w:spacing w:after="0" w:line="211" w:lineRule="exact"/>
        <w:rPr>
          <w:sz w:val="20"/>
          <w:szCs w:val="20"/>
          <w:color w:val="auto"/>
        </w:rPr>
      </w:pPr>
    </w:p>
    <w:p>
      <w:pPr>
        <w:jc w:val="both"/>
        <w:ind w:left="40" w:right="259" w:firstLine="325"/>
        <w:spacing w:after="0" w:line="272" w:lineRule="auto"/>
        <w:rPr>
          <w:sz w:val="20"/>
          <w:szCs w:val="20"/>
          <w:color w:val="auto"/>
        </w:rPr>
      </w:pPr>
      <w:r>
        <w:rPr>
          <w:rFonts w:ascii="Times New Roman" w:cs="Times New Roman" w:eastAsia="Times New Roman" w:hAnsi="Times New Roman"/>
          <w:sz w:val="16"/>
          <w:szCs w:val="16"/>
          <w:color w:val="231F20"/>
        </w:rPr>
        <w:t>Although we exclusively in-license patent portfolios from Xencor related to obexelimab, ZB002 and ZB004, we have no solely owned issued patents. Although the exclusively in-licensed patent portfolios contain pending patent applications, we may not obtain any issued patents from the pending applications directed to our product candidates.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7309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70" w:name="page71"/>
    <w:bookmarkEnd w:id="7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spacing w:after="0" w:line="260" w:lineRule="auto"/>
        <w:rPr>
          <w:sz w:val="20"/>
          <w:szCs w:val="20"/>
          <w:color w:val="auto"/>
        </w:rPr>
      </w:pPr>
      <w:r>
        <w:rPr>
          <w:rFonts w:ascii="Times New Roman" w:cs="Times New Roman" w:eastAsia="Times New Roman" w:hAnsi="Times New Roman"/>
          <w:sz w:val="16"/>
          <w:szCs w:val="16"/>
          <w:color w:val="231F20"/>
        </w:rPr>
        <w:t>Claims in our U.S. pending patent applications, corresponding international patent applications and patent applications in certain foreign jurisdictions, or those of our licensors, may not be considered patentable by the USPTO, courts in the United States or by the patent offices and courts in foreign countries, and any issued claims may be found invalid or unenforceable if challenged. Additionally, our provisional applications may never result in issued patents. Accordingly, we or our licensors may never obtain issued patents or that any issued patents we or our licensors obtain may not provide us with any competitive advantage. Failure to obtain adequate patent protection for our product candidates and technology could adversely affect our business, financial condition, results of operations and prospects.</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231F20"/>
        </w:rPr>
        <w:t>We may not obtain or maintain necessary rights to our product candidates through acquisitions and in-licenses.</w:t>
      </w:r>
    </w:p>
    <w:p>
      <w:pPr>
        <w:spacing w:after="0" w:line="223" w:lineRule="exact"/>
        <w:rPr>
          <w:sz w:val="20"/>
          <w:szCs w:val="20"/>
          <w:color w:val="auto"/>
        </w:rPr>
      </w:pPr>
    </w:p>
    <w:p>
      <w:pPr>
        <w:jc w:val="both"/>
        <w:ind w:left="40" w:right="259" w:firstLine="325"/>
        <w:spacing w:after="0" w:line="256" w:lineRule="auto"/>
        <w:rPr>
          <w:sz w:val="20"/>
          <w:szCs w:val="20"/>
          <w:color w:val="auto"/>
        </w:rPr>
      </w:pPr>
      <w:r>
        <w:rPr>
          <w:rFonts w:ascii="Times New Roman" w:cs="Times New Roman" w:eastAsia="Times New Roman" w:hAnsi="Times New Roman"/>
          <w:sz w:val="16"/>
          <w:szCs w:val="16"/>
          <w:color w:val="231F20"/>
        </w:rPr>
        <w:t>The growth of our business depends in part on our ability to acquire, in-license, or use third-party proprietary rights, and we may not be able to do so on commercially reasonable terms or at all. Licenses may be on nonexclusive terms, thereby giving our competitors and other third parties access to the same intellectual property licensed to us, or could require us to make substantial licensing and royalty payments.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obtained, we may have to abandon development of the relevant program or product candidate, which could adversely affect our business, financial condition, results of operations, and prospects.</w:t>
      </w:r>
    </w:p>
    <w:p>
      <w:pPr>
        <w:spacing w:after="0" w:line="171" w:lineRule="exact"/>
        <w:rPr>
          <w:sz w:val="20"/>
          <w:szCs w:val="20"/>
          <w:color w:val="auto"/>
        </w:rPr>
      </w:pPr>
    </w:p>
    <w:p>
      <w:pPr>
        <w:jc w:val="both"/>
        <w:ind w:left="40" w:right="259" w:firstLine="325"/>
        <w:spacing w:after="0" w:line="260" w:lineRule="auto"/>
        <w:rPr>
          <w:sz w:val="20"/>
          <w:szCs w:val="20"/>
          <w:color w:val="auto"/>
        </w:rPr>
      </w:pPr>
      <w:r>
        <w:rPr>
          <w:rFonts w:ascii="Times New Roman" w:cs="Times New Roman" w:eastAsia="Times New Roman" w:hAnsi="Times New Roman"/>
          <w:sz w:val="16"/>
          <w:szCs w:val="16"/>
          <w:color w:val="231F20"/>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licensors or collaboration partners. For example, under our license and collaboration agreements with Xencor, Xencor is responsible for patent prosecution of certain licensed intellectual property. If any of our current or future licensors or collaboration partners fails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future licensors and their counsel that took place prior to the date upon which we assumed control over patent prosecution.</w:t>
      </w:r>
    </w:p>
    <w:p>
      <w:pPr>
        <w:spacing w:after="0" w:line="167" w:lineRule="exact"/>
        <w:rPr>
          <w:sz w:val="20"/>
          <w:szCs w:val="20"/>
          <w:color w:val="auto"/>
        </w:rPr>
      </w:pPr>
    </w:p>
    <w:p>
      <w:pPr>
        <w:jc w:val="both"/>
        <w:ind w:left="40" w:right="259"/>
        <w:spacing w:after="0" w:line="295" w:lineRule="auto"/>
        <w:rPr>
          <w:sz w:val="20"/>
          <w:szCs w:val="20"/>
          <w:color w:val="auto"/>
        </w:rPr>
      </w:pPr>
      <w:r>
        <w:rPr>
          <w:rFonts w:ascii="Times New Roman" w:cs="Times New Roman" w:eastAsia="Times New Roman" w:hAnsi="Times New Roman"/>
          <w:sz w:val="16"/>
          <w:szCs w:val="16"/>
          <w:b w:val="1"/>
          <w:bCs w:val="1"/>
          <w:i w:val="1"/>
          <w:iCs w:val="1"/>
          <w:color w:val="231F20"/>
        </w:rPr>
        <w:t>Patent rights relating to inventions described and claimed in our or our licensors’ pending patent applications may not issue and patents based on our or our licensors’ patent applications could be challenged and rendered invalid and/or unenforceable.</w:t>
      </w:r>
    </w:p>
    <w:p>
      <w:pPr>
        <w:spacing w:after="0" w:line="138" w:lineRule="exact"/>
        <w:rPr>
          <w:sz w:val="20"/>
          <w:szCs w:val="20"/>
          <w:color w:val="auto"/>
        </w:rPr>
      </w:pPr>
    </w:p>
    <w:p>
      <w:pPr>
        <w:jc w:val="both"/>
        <w:ind w:left="40" w:right="259" w:firstLine="325"/>
        <w:spacing w:after="0" w:line="280" w:lineRule="auto"/>
        <w:rPr>
          <w:sz w:val="20"/>
          <w:szCs w:val="20"/>
          <w:color w:val="auto"/>
        </w:rPr>
      </w:pPr>
      <w:r>
        <w:rPr>
          <w:rFonts w:ascii="Times New Roman" w:cs="Times New Roman" w:eastAsia="Times New Roman" w:hAnsi="Times New Roman"/>
          <w:sz w:val="16"/>
          <w:szCs w:val="16"/>
          <w:color w:val="231F20"/>
        </w:rPr>
        <w:t>The patent application process is subject to numerous risks and uncertainties, and we, our licensors, or any of our potential future collaborators may not be successful in protecting our product candidates by obtaining and defending patents. We and our licensors have several pending U.S. and foreign patent applications in our portfolio. We cannot predict:</w:t>
      </w:r>
    </w:p>
    <w:p>
      <w:pPr>
        <w:spacing w:after="0" w:line="149" w:lineRule="exact"/>
        <w:rPr>
          <w:sz w:val="20"/>
          <w:szCs w:val="20"/>
          <w:color w:val="auto"/>
        </w:rPr>
      </w:pPr>
    </w:p>
    <w:p>
      <w:pPr>
        <w:ind w:left="660" w:hanging="154"/>
        <w:spacing w:after="0"/>
        <w:tabs>
          <w:tab w:leader="none" w:pos="660" w:val="left"/>
        </w:tabs>
        <w:numPr>
          <w:ilvl w:val="0"/>
          <w:numId w:val="5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if and when patents may issue based on our and our licensors’ patent applications;</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5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scope of protection of any patent issuing based on our and our licensors’ patent applications;</w:t>
      </w:r>
    </w:p>
    <w:p>
      <w:pPr>
        <w:spacing w:after="0" w:line="121" w:lineRule="exact"/>
        <w:rPr>
          <w:rFonts w:ascii="Times New Roman" w:cs="Times New Roman" w:eastAsia="Times New Roman" w:hAnsi="Times New Roman"/>
          <w:sz w:val="16"/>
          <w:szCs w:val="16"/>
          <w:color w:val="231F20"/>
        </w:rPr>
      </w:pPr>
    </w:p>
    <w:p>
      <w:pPr>
        <w:ind w:left="660" w:right="599" w:hanging="154"/>
        <w:spacing w:after="0" w:line="289" w:lineRule="auto"/>
        <w:tabs>
          <w:tab w:leader="none" w:pos="660" w:val="left"/>
        </w:tabs>
        <w:numPr>
          <w:ilvl w:val="0"/>
          <w:numId w:val="5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whether the claims of any patent issuing based on our and our licensors’ patent applications will provide protection against competitors;</w:t>
      </w:r>
    </w:p>
    <w:p>
      <w:pPr>
        <w:spacing w:after="0" w:line="45"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5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whether or not third parties will find ways to invalidate or circumvent our and our licensors’ patent rights;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7309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71" w:name="page72"/>
    <w:bookmarkEnd w:id="7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339" w:hanging="154"/>
        <w:spacing w:after="0" w:line="305" w:lineRule="auto"/>
        <w:tabs>
          <w:tab w:leader="none" w:pos="660" w:val="left"/>
        </w:tabs>
        <w:numPr>
          <w:ilvl w:val="0"/>
          <w:numId w:val="5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whether or not others will obtain patents claiming aspects similar to those covered by our and our licensors’ patents and patent applications;</w:t>
      </w:r>
    </w:p>
    <w:p>
      <w:pPr>
        <w:spacing w:after="0" w:line="32" w:lineRule="exact"/>
        <w:rPr>
          <w:rFonts w:ascii="Times New Roman" w:cs="Times New Roman" w:eastAsia="Times New Roman" w:hAnsi="Times New Roman"/>
          <w:sz w:val="16"/>
          <w:szCs w:val="16"/>
          <w:color w:val="231F20"/>
        </w:rPr>
      </w:pPr>
    </w:p>
    <w:p>
      <w:pPr>
        <w:ind w:left="660" w:right="599" w:hanging="154"/>
        <w:spacing w:after="0" w:line="289" w:lineRule="auto"/>
        <w:tabs>
          <w:tab w:leader="none" w:pos="660" w:val="left"/>
        </w:tabs>
        <w:numPr>
          <w:ilvl w:val="0"/>
          <w:numId w:val="5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whether we will need to initiate litigation or administrative proceedings to enforce and/or defend our and our licensors’ patent rights which will be costly whether we win or lose;</w:t>
      </w:r>
    </w:p>
    <w:p>
      <w:pPr>
        <w:spacing w:after="0" w:line="45" w:lineRule="exact"/>
        <w:rPr>
          <w:rFonts w:ascii="Times New Roman" w:cs="Times New Roman" w:eastAsia="Times New Roman" w:hAnsi="Times New Roman"/>
          <w:sz w:val="16"/>
          <w:szCs w:val="16"/>
          <w:color w:val="231F20"/>
        </w:rPr>
      </w:pPr>
    </w:p>
    <w:p>
      <w:pPr>
        <w:ind w:left="660" w:right="499" w:hanging="154"/>
        <w:spacing w:after="0" w:line="289" w:lineRule="auto"/>
        <w:tabs>
          <w:tab w:leader="none" w:pos="660" w:val="left"/>
        </w:tabs>
        <w:numPr>
          <w:ilvl w:val="0"/>
          <w:numId w:val="5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whether the patent applications that we own will result in issued patents with claims that cover our product candidates or uses thereof in the United States or in other foreign countries; or</w:t>
      </w:r>
    </w:p>
    <w:p>
      <w:pPr>
        <w:spacing w:after="0" w:line="45" w:lineRule="exact"/>
        <w:rPr>
          <w:rFonts w:ascii="Times New Roman" w:cs="Times New Roman" w:eastAsia="Times New Roman" w:hAnsi="Times New Roman"/>
          <w:sz w:val="16"/>
          <w:szCs w:val="16"/>
          <w:color w:val="231F20"/>
        </w:rPr>
      </w:pPr>
    </w:p>
    <w:p>
      <w:pPr>
        <w:ind w:left="660" w:right="439" w:hanging="154"/>
        <w:spacing w:after="0" w:line="289" w:lineRule="auto"/>
        <w:tabs>
          <w:tab w:leader="none" w:pos="660" w:val="left"/>
        </w:tabs>
        <w:numPr>
          <w:ilvl w:val="0"/>
          <w:numId w:val="5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whether we may experience patent office interruption or delays to our ability to timely secure patent coverage to our product candidates due to global pandemics and epidemics.</w:t>
      </w:r>
    </w:p>
    <w:p>
      <w:pPr>
        <w:spacing w:after="0" w:line="69" w:lineRule="exact"/>
        <w:rPr>
          <w:sz w:val="20"/>
          <w:szCs w:val="20"/>
          <w:color w:val="auto"/>
        </w:rPr>
      </w:pPr>
    </w:p>
    <w:p>
      <w:pPr>
        <w:jc w:val="both"/>
        <w:ind w:left="40" w:right="259" w:firstLine="325"/>
        <w:spacing w:after="0" w:line="259" w:lineRule="auto"/>
        <w:rPr>
          <w:sz w:val="20"/>
          <w:szCs w:val="20"/>
          <w:color w:val="auto"/>
        </w:rPr>
      </w:pPr>
      <w:r>
        <w:rPr>
          <w:rFonts w:ascii="Times New Roman" w:cs="Times New Roman" w:eastAsia="Times New Roman" w:hAnsi="Times New Roman"/>
          <w:sz w:val="16"/>
          <w:szCs w:val="16"/>
          <w:color w:val="231F20"/>
        </w:rPr>
        <w:t>The claims in our or our licensors’ pending patent applications directed to our product candidates may not be considered patentable by the USPTO or by patent offices in foreign countries, and any such patent applications may not issue as granted patents. One aspect of the determination of patentability of our and our licensors’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or our licensors’ patent claims or, if issued, affect the validity or enforceability of a patent claim. Even if the patents do issue based on our or our licensors’ patent applications, third parties may challenge the validity, enforceability or scope thereof, which may result in such patents being narrowed, invalidated or held unenforceable. For example, there may be prior art not considered by the patent office that is raised by a third party to challenge the validity of any patents that issue from our or our licensors' patent applications. Furthermore, even if they are unchallenged, patents in our and our licensors’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United States or foreign countries.</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231F20"/>
        </w:rPr>
        <w:t>We may not be able to protect our intellectual property rights throughout the world.</w:t>
      </w:r>
    </w:p>
    <w:p>
      <w:pPr>
        <w:spacing w:after="0" w:line="211" w:lineRule="exact"/>
        <w:rPr>
          <w:sz w:val="20"/>
          <w:szCs w:val="20"/>
          <w:color w:val="auto"/>
        </w:rPr>
      </w:pPr>
    </w:p>
    <w:p>
      <w:pPr>
        <w:jc w:val="both"/>
        <w:ind w:left="40" w:right="259"/>
        <w:spacing w:after="0" w:line="262" w:lineRule="auto"/>
        <w:rPr>
          <w:sz w:val="20"/>
          <w:szCs w:val="20"/>
          <w:color w:val="auto"/>
        </w:rPr>
      </w:pPr>
      <w:r>
        <w:rPr>
          <w:rFonts w:ascii="Times New Roman" w:cs="Times New Roman" w:eastAsia="Times New Roman" w:hAnsi="Times New Roman"/>
          <w:sz w:val="16"/>
          <w:szCs w:val="16"/>
          <w:color w:val="231F20"/>
        </w:rPr>
        <w:t>Patents are of national or regional effect. Filing, prosecuting and defending patents on all of our research programs and product candidates in all countries throughout the world would be prohibitively expensive, and our and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may use our or our licensors’ technologies in jurisdictions where we have not obtained patent protection to develop their own products and, further, may export otherwise infringing products to territories where we and our licensors have patent protection, but enforcement is not as strong as that in the United States. These competitor products may compete with our product candidates, and our and our licensors’ patents or other intellectual property rights may not be effective or sufficient to prevent them from competing.</w:t>
      </w:r>
    </w:p>
    <w:p>
      <w:pPr>
        <w:spacing w:after="0" w:line="165" w:lineRule="exact"/>
        <w:rPr>
          <w:sz w:val="20"/>
          <w:szCs w:val="20"/>
          <w:color w:val="auto"/>
        </w:rPr>
      </w:pPr>
    </w:p>
    <w:p>
      <w:pPr>
        <w:jc w:val="both"/>
        <w:ind w:left="40" w:right="259" w:firstLine="325"/>
        <w:spacing w:after="0" w:line="266" w:lineRule="auto"/>
        <w:rPr>
          <w:sz w:val="20"/>
          <w:szCs w:val="20"/>
          <w:color w:val="auto"/>
        </w:rPr>
      </w:pPr>
      <w:r>
        <w:rPr>
          <w:rFonts w:ascii="Times New Roman" w:cs="Times New Roman" w:eastAsia="Times New Roman" w:hAnsi="Times New Roman"/>
          <w:sz w:val="16"/>
          <w:szCs w:val="16"/>
          <w:color w:val="231F20"/>
        </w:rPr>
        <w:t>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pharmaceuticals, which could make it difficult for us to stop the infringement of our and our licensors’ patents or marketing of competing products in violation of our proprietary rights.</w:t>
      </w:r>
    </w:p>
    <w:p>
      <w:pPr>
        <w:spacing w:after="0" w:line="161" w:lineRule="exact"/>
        <w:rPr>
          <w:sz w:val="20"/>
          <w:szCs w:val="20"/>
          <w:color w:val="auto"/>
        </w:rPr>
      </w:pPr>
    </w:p>
    <w:p>
      <w:pPr>
        <w:jc w:val="both"/>
        <w:ind w:left="40" w:right="259" w:firstLine="325"/>
        <w:spacing w:after="0" w:line="266" w:lineRule="auto"/>
        <w:rPr>
          <w:sz w:val="20"/>
          <w:szCs w:val="20"/>
          <w:color w:val="auto"/>
        </w:rPr>
      </w:pPr>
      <w:r>
        <w:rPr>
          <w:rFonts w:ascii="Times New Roman" w:cs="Times New Roman" w:eastAsia="Times New Roman" w:hAnsi="Times New Roman"/>
          <w:sz w:val="16"/>
          <w:szCs w:val="16"/>
          <w:color w:val="231F20"/>
        </w:rPr>
        <w:t>Various countries outside the United States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or our licensors are forced to grant a</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72" w:name="page73"/>
    <w:bookmarkEnd w:id="7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spacing w:after="0" w:line="266" w:lineRule="auto"/>
        <w:rPr>
          <w:sz w:val="20"/>
          <w:szCs w:val="20"/>
          <w:color w:val="auto"/>
        </w:rPr>
      </w:pPr>
      <w:r>
        <w:rPr>
          <w:rFonts w:ascii="Times New Roman" w:cs="Times New Roman" w:eastAsia="Times New Roman" w:hAnsi="Times New Roman"/>
          <w:sz w:val="16"/>
          <w:szCs w:val="16"/>
          <w:color w:val="231F20"/>
        </w:rPr>
        <w:t>license to third parties with respect to any patents relevant to our business, our competitive position may be impaired, and our business, financial condition, results of operations and prospects may be adversely affected. Accordingly, our efforts to enforce our intellectual property rights around the world may be inadequate to obtain a significant commercial advantage from the intellectual property that we develop or license.</w:t>
      </w:r>
    </w:p>
    <w:p>
      <w:pPr>
        <w:spacing w:after="0" w:line="161" w:lineRule="exact"/>
        <w:rPr>
          <w:sz w:val="20"/>
          <w:szCs w:val="20"/>
          <w:color w:val="auto"/>
        </w:rPr>
      </w:pPr>
    </w:p>
    <w:p>
      <w:pPr>
        <w:jc w:val="both"/>
        <w:ind w:left="40" w:right="259" w:firstLine="325"/>
        <w:spacing w:after="0" w:line="266" w:lineRule="auto"/>
        <w:rPr>
          <w:sz w:val="20"/>
          <w:szCs w:val="20"/>
          <w:color w:val="auto"/>
        </w:rPr>
      </w:pPr>
      <w:r>
        <w:rPr>
          <w:rFonts w:ascii="Times New Roman" w:cs="Times New Roman" w:eastAsia="Times New Roman" w:hAnsi="Times New Roman"/>
          <w:sz w:val="16"/>
          <w:szCs w:val="16"/>
          <w:color w:val="231F20"/>
        </w:rPr>
        <w:t>Further, the standards applied by the USPTO and foreign patent offices in granting patents are not always applied uniformly or predictably. As such, we do not know the degree of future protection that we will have on our product candidates. While we will endeavor to try to protect our product candidates with intellectual property rights such as patents, as appropriate, the process of obtaining patents is time consuming, expensive and unpredictable.</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231F20"/>
        </w:rPr>
        <w:t>Intellectual property rights do not necessarily address all potential threats to our competitive advantage.</w:t>
      </w:r>
    </w:p>
    <w:p>
      <w:pPr>
        <w:spacing w:after="0" w:line="223" w:lineRule="exact"/>
        <w:rPr>
          <w:sz w:val="20"/>
          <w:szCs w:val="20"/>
          <w:color w:val="auto"/>
        </w:rPr>
      </w:pPr>
    </w:p>
    <w:p>
      <w:pPr>
        <w:jc w:val="both"/>
        <w:ind w:left="40" w:right="259" w:firstLine="325"/>
        <w:spacing w:after="0" w:line="289" w:lineRule="auto"/>
        <w:rPr>
          <w:sz w:val="20"/>
          <w:szCs w:val="20"/>
          <w:color w:val="auto"/>
        </w:rPr>
      </w:pPr>
      <w:r>
        <w:rPr>
          <w:rFonts w:ascii="Times New Roman" w:cs="Times New Roman" w:eastAsia="Times New Roman" w:hAnsi="Times New Roman"/>
          <w:sz w:val="16"/>
          <w:szCs w:val="16"/>
          <w:color w:val="231F20"/>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43" w:lineRule="exact"/>
        <w:rPr>
          <w:sz w:val="20"/>
          <w:szCs w:val="20"/>
          <w:color w:val="auto"/>
        </w:rPr>
      </w:pPr>
    </w:p>
    <w:p>
      <w:pPr>
        <w:ind w:left="660" w:right="279" w:hanging="154"/>
        <w:spacing w:after="0" w:line="289" w:lineRule="auto"/>
        <w:tabs>
          <w:tab w:leader="none" w:pos="660" w:val="left"/>
        </w:tabs>
        <w:numPr>
          <w:ilvl w:val="0"/>
          <w:numId w:val="5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others may be able to make product candidates that are similar to ours but that are not covered by the pending patent applications that we own or the patents or patent applications that we license;</w:t>
      </w:r>
    </w:p>
    <w:p>
      <w:pPr>
        <w:spacing w:after="0" w:line="45"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5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we or our licensors or future collaborators might not have been the first to make the inventions covered by the pending patent application that we own or have exclusively licensed;</w:t>
      </w:r>
    </w:p>
    <w:p>
      <w:pPr>
        <w:spacing w:after="0" w:line="45"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5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we or our licensors or future collaborators might not have been the first to file patent applications covering certain of our or their inventions;</w:t>
      </w:r>
    </w:p>
    <w:p>
      <w:pPr>
        <w:spacing w:after="0" w:line="45"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5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others may independently develop similar or alternative technologies or duplicate any of our technologies without infringing or otherwise violating our owned or licensed intellectual property rights;</w:t>
      </w:r>
    </w:p>
    <w:p>
      <w:pPr>
        <w:spacing w:after="0" w:line="45" w:lineRule="exact"/>
        <w:rPr>
          <w:rFonts w:ascii="Times New Roman" w:cs="Times New Roman" w:eastAsia="Times New Roman" w:hAnsi="Times New Roman"/>
          <w:sz w:val="16"/>
          <w:szCs w:val="16"/>
          <w:color w:val="231F20"/>
        </w:rPr>
      </w:pPr>
    </w:p>
    <w:p>
      <w:pPr>
        <w:jc w:val="both"/>
        <w:ind w:left="660" w:right="279" w:hanging="154"/>
        <w:spacing w:after="0" w:line="272" w:lineRule="auto"/>
        <w:tabs>
          <w:tab w:leader="none" w:pos="660" w:val="left"/>
        </w:tabs>
        <w:numPr>
          <w:ilvl w:val="0"/>
          <w:numId w:val="5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it is possible that noncompliance with the USPTO and foreign governmental patent agencies requirement for a number of procedural, documentary, fee payment and other provisions during the patent process can result in abandonment or lapse of a patent or patent application, and partial or complete loss of patent rights in the relevant jurisdiction;</w:t>
      </w:r>
    </w:p>
    <w:p>
      <w:pPr>
        <w:spacing w:after="0" w:line="57"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5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it is possible that our pending owned or licensed patent applications or those that we may own or license in the future will not lead to issued patents;</w:t>
      </w:r>
    </w:p>
    <w:p>
      <w:pPr>
        <w:spacing w:after="0" w:line="45"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5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issued patents that we either own or have exclusively licensed may be revoked, modified, or held invalid or unenforceable, as a result of legal challenges by our competitors;</w:t>
      </w:r>
    </w:p>
    <w:p>
      <w:pPr>
        <w:spacing w:after="0" w:line="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231F20"/>
        </w:rPr>
        <w:t>• others may have access to the same intellectual property rights licensed to us in the future on a non-exclusive basis;</w:t>
      </w:r>
    </w:p>
    <w:p>
      <w:pPr>
        <w:spacing w:after="0" w:line="109" w:lineRule="exact"/>
        <w:rPr>
          <w:sz w:val="20"/>
          <w:szCs w:val="20"/>
          <w:color w:val="auto"/>
        </w:rPr>
      </w:pPr>
    </w:p>
    <w:p>
      <w:pPr>
        <w:ind w:left="660" w:right="279" w:hanging="154"/>
        <w:spacing w:after="0" w:line="289" w:lineRule="auto"/>
        <w:tabs>
          <w:tab w:leader="none" w:pos="660" w:val="left"/>
        </w:tabs>
        <w:numPr>
          <w:ilvl w:val="0"/>
          <w:numId w:val="5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5"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5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we may not develop additional proprietary technologies that are patentable;</w:t>
      </w:r>
    </w:p>
    <w:p>
      <w:pPr>
        <w:spacing w:after="0" w:line="121" w:lineRule="exact"/>
        <w:rPr>
          <w:rFonts w:ascii="Times New Roman" w:cs="Times New Roman" w:eastAsia="Times New Roman" w:hAnsi="Times New Roman"/>
          <w:sz w:val="16"/>
          <w:szCs w:val="16"/>
          <w:color w:val="231F20"/>
        </w:rPr>
      </w:pPr>
    </w:p>
    <w:p>
      <w:pPr>
        <w:jc w:val="both"/>
        <w:ind w:left="660" w:right="279" w:hanging="154"/>
        <w:spacing w:after="0" w:line="272" w:lineRule="auto"/>
        <w:tabs>
          <w:tab w:leader="none" w:pos="660" w:val="left"/>
        </w:tabs>
        <w:numPr>
          <w:ilvl w:val="0"/>
          <w:numId w:val="5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we cannot predict the scope of protection of any patent issuing based on our and our licensors’ patent applications, including whether the patent applications that we own, presently in-license, or, in the future, in-license will result in issued patents with claims that directed to our product candidates or uses thereof in the United States or in other foreign countries;</w:t>
      </w:r>
    </w:p>
    <w:p>
      <w:pPr>
        <w:spacing w:after="0" w:line="57" w:lineRule="exact"/>
        <w:rPr>
          <w:rFonts w:ascii="Times New Roman" w:cs="Times New Roman" w:eastAsia="Times New Roman" w:hAnsi="Times New Roman"/>
          <w:sz w:val="16"/>
          <w:szCs w:val="16"/>
          <w:color w:val="231F20"/>
        </w:rPr>
      </w:pPr>
    </w:p>
    <w:p>
      <w:pPr>
        <w:jc w:val="both"/>
        <w:ind w:left="660" w:right="279" w:hanging="154"/>
        <w:spacing w:after="0" w:line="272" w:lineRule="auto"/>
        <w:tabs>
          <w:tab w:leader="none" w:pos="660" w:val="left"/>
        </w:tabs>
        <w:numPr>
          <w:ilvl w:val="0"/>
          <w:numId w:val="5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57"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5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countries other than the United States may have patent laws less favorable to patentees than those upheld by U.S. courts, allowing foreign competitors a better opportunity to create, develop and market competing product</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73" w:name="page74"/>
    <w:bookmarkEnd w:id="7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231F20"/>
        </w:rPr>
        <w:t>candidates;</w:t>
      </w:r>
    </w:p>
    <w:p>
      <w:pPr>
        <w:spacing w:after="0" w:line="121" w:lineRule="exact"/>
        <w:rPr>
          <w:sz w:val="20"/>
          <w:szCs w:val="20"/>
          <w:color w:val="auto"/>
        </w:rPr>
      </w:pPr>
    </w:p>
    <w:p>
      <w:pPr>
        <w:ind w:left="660" w:right="279" w:hanging="154"/>
        <w:spacing w:after="0" w:line="289" w:lineRule="auto"/>
        <w:tabs>
          <w:tab w:leader="none" w:pos="660" w:val="left"/>
        </w:tabs>
        <w:numPr>
          <w:ilvl w:val="0"/>
          <w:numId w:val="5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claims of any patent issuing based on our patent applications may not provide protection against competitors or any competitive advantages, or may be challenged by third parties;</w:t>
      </w:r>
    </w:p>
    <w:p>
      <w:pPr>
        <w:spacing w:after="0" w:line="57"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5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if enforced, a court may not hold that our patents, if they issue in the future, are valid, enforceable and infringed;</w:t>
      </w:r>
    </w:p>
    <w:p>
      <w:pPr>
        <w:spacing w:after="0" w:line="108"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5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we may need to initiate litigation or administrative proceedings to enforce and/or defend our patent rights which will be costly whether we win or lose;</w:t>
      </w:r>
    </w:p>
    <w:p>
      <w:pPr>
        <w:spacing w:after="0" w:line="57"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5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we may choose not to file a patent application in order to maintain certain trade secrets or know-how, and a third party may subsequently file a patent application covering such intellectual property;</w:t>
      </w:r>
    </w:p>
    <w:p>
      <w:pPr>
        <w:spacing w:after="0" w:line="57"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5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we may fail to adequately protect and police our trademarks and trade secrets; and</w:t>
      </w:r>
    </w:p>
    <w:p>
      <w:pPr>
        <w:spacing w:after="0" w:line="108"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5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patents of others may have an adverse effect on our business, including if others obtain patents claiming subject matter similar to or improving that covered by our patent applications.</w:t>
      </w:r>
    </w:p>
    <w:p>
      <w:pPr>
        <w:spacing w:after="0" w:line="94" w:lineRule="exact"/>
        <w:rPr>
          <w:sz w:val="20"/>
          <w:szCs w:val="20"/>
          <w:color w:val="auto"/>
        </w:rPr>
      </w:pPr>
    </w:p>
    <w:p>
      <w:pPr>
        <w:ind w:left="40" w:right="619" w:firstLine="325"/>
        <w:spacing w:after="0" w:line="289" w:lineRule="auto"/>
        <w:rPr>
          <w:sz w:val="20"/>
          <w:szCs w:val="20"/>
          <w:color w:val="auto"/>
        </w:rPr>
      </w:pPr>
      <w:r>
        <w:rPr>
          <w:rFonts w:ascii="Times New Roman" w:cs="Times New Roman" w:eastAsia="Times New Roman" w:hAnsi="Times New Roman"/>
          <w:sz w:val="16"/>
          <w:szCs w:val="16"/>
          <w:color w:val="231F20"/>
        </w:rPr>
        <w:t>Should any of these or similar events occur, they could significantly harm our business, financial condition, results of operations and prospects.</w:t>
      </w:r>
    </w:p>
    <w:p>
      <w:pPr>
        <w:spacing w:after="0" w:line="139" w:lineRule="exact"/>
        <w:rPr>
          <w:sz w:val="20"/>
          <w:szCs w:val="20"/>
          <w:color w:val="auto"/>
        </w:rPr>
      </w:pPr>
    </w:p>
    <w:p>
      <w:pPr>
        <w:jc w:val="both"/>
        <w:ind w:left="40" w:right="259"/>
        <w:spacing w:after="0" w:line="311" w:lineRule="auto"/>
        <w:rPr>
          <w:sz w:val="20"/>
          <w:szCs w:val="20"/>
          <w:color w:val="auto"/>
        </w:rPr>
      </w:pPr>
      <w:r>
        <w:rPr>
          <w:rFonts w:ascii="Times New Roman" w:cs="Times New Roman" w:eastAsia="Times New Roman" w:hAnsi="Times New Roman"/>
          <w:sz w:val="16"/>
          <w:szCs w:val="16"/>
          <w:b w:val="1"/>
          <w:bCs w:val="1"/>
          <w:i w:val="1"/>
          <w:iCs w:val="1"/>
          <w:color w:val="231F20"/>
        </w:rPr>
        <w:t>We may be involved in lawsuits to protect or enforce our patents or other intellectual property, which could be expensive, time consuming and unsuccessful.</w:t>
      </w:r>
    </w:p>
    <w:p>
      <w:pPr>
        <w:spacing w:after="0" w:line="125" w:lineRule="exact"/>
        <w:rPr>
          <w:sz w:val="20"/>
          <w:szCs w:val="20"/>
          <w:color w:val="auto"/>
        </w:rPr>
      </w:pPr>
    </w:p>
    <w:p>
      <w:pPr>
        <w:jc w:val="both"/>
        <w:ind w:left="40" w:right="259"/>
        <w:spacing w:after="0" w:line="259" w:lineRule="auto"/>
        <w:rPr>
          <w:sz w:val="20"/>
          <w:szCs w:val="20"/>
          <w:color w:val="auto"/>
        </w:rPr>
      </w:pPr>
      <w:r>
        <w:rPr>
          <w:rFonts w:ascii="Times New Roman" w:cs="Times New Roman" w:eastAsia="Times New Roman" w:hAnsi="Times New Roman"/>
          <w:sz w:val="16"/>
          <w:szCs w:val="16"/>
          <w:color w:val="231F20"/>
        </w:rPr>
        <w:t>Competitors or other third parties may infringe our patents, trademarks or other intellectual property. To counter infringement or unauthorized use, we or one of our licensing partners may file infringement claims, which can be expensive and time consuming and divert the time and attention of our management and scientific personnel. Our or our licensors’ pending patent applications cannot be enforced against third parties practicing the technology claimed in such applications unless and until a patent issues from such applications. Claims we assert against perceived infringers could provoke these parties to assert counterclaims against us alleging that we infringe their patents, in addition to counterclaims asserting that our patents or our licensors’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 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or our licensors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or our licensors’ patent claims do not cover the invention, or decide that the other party’s use of our or our licensors’ patented technology falls under the safe harbor to patent infringement under 35 U.S.C. §271(e)(1). An adverse outcome in a litigation or proceeding involving our or our licensors’ patents could limit our ability to assert our or our licensors’ patents against those parties or other competitors and may curtail or preclude our ability to exclude third parties from making and selling similar or competitive products. Any of these occurrences could adversely affect our competitive position, business, financial condition, results of operations or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93"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74" w:name="page75"/>
    <w:bookmarkEnd w:id="7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spacing w:after="0" w:line="271" w:lineRule="auto"/>
        <w:rPr>
          <w:sz w:val="20"/>
          <w:szCs w:val="20"/>
          <w:color w:val="auto"/>
        </w:rPr>
      </w:pPr>
      <w:r>
        <w:rPr>
          <w:rFonts w:ascii="Times New Roman" w:cs="Times New Roman" w:eastAsia="Times New Roman" w:hAnsi="Times New Roman"/>
          <w:sz w:val="16"/>
          <w:szCs w:val="16"/>
          <w:color w:val="231F20"/>
        </w:rPr>
        <w:t>or investors perceive these results to be negative, it could adversely affect the price of shares of our common stock. Moreover, we may not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54" w:lineRule="exact"/>
        <w:rPr>
          <w:sz w:val="20"/>
          <w:szCs w:val="20"/>
          <w:color w:val="auto"/>
        </w:rPr>
      </w:pPr>
    </w:p>
    <w:p>
      <w:pPr>
        <w:jc w:val="both"/>
        <w:ind w:left="40" w:right="259"/>
        <w:spacing w:after="0" w:line="268" w:lineRule="auto"/>
        <w:rPr>
          <w:sz w:val="20"/>
          <w:szCs w:val="20"/>
          <w:color w:val="auto"/>
        </w:rPr>
      </w:pPr>
      <w:r>
        <w:rPr>
          <w:rFonts w:ascii="Times New Roman" w:cs="Times New Roman" w:eastAsia="Times New Roman" w:hAnsi="Times New Roman"/>
          <w:sz w:val="16"/>
          <w:szCs w:val="16"/>
          <w:b w:val="1"/>
          <w:bCs w:val="1"/>
          <w:i w:val="1"/>
          <w:iCs w:val="1"/>
          <w:color w:val="231F20"/>
        </w:rPr>
        <w:t>Intellectual property rights of third parties could adversely affect our ability to commercialize obexelimab, or future product candidates, and we, our licensors or collaborators, or any future strategic partners may become subject to third party claims or litigation alleging infringement of patents or other proprietary rights or seeking to invalidate patents or other proprietary rights. We might be required to litigate or obtain licenses from third parties in order to develop or market obexelimab or future product candidates. Such litigation or licenses could be costly or not available on commercially reasonable terms.</w:t>
      </w:r>
    </w:p>
    <w:p>
      <w:pPr>
        <w:spacing w:after="0" w:line="161" w:lineRule="exact"/>
        <w:rPr>
          <w:sz w:val="20"/>
          <w:szCs w:val="20"/>
          <w:color w:val="auto"/>
        </w:rPr>
      </w:pPr>
    </w:p>
    <w:p>
      <w:pPr>
        <w:jc w:val="both"/>
        <w:ind w:left="40" w:right="259" w:firstLine="325"/>
        <w:spacing w:after="0" w:line="262" w:lineRule="auto"/>
        <w:rPr>
          <w:sz w:val="20"/>
          <w:szCs w:val="20"/>
          <w:color w:val="auto"/>
        </w:rPr>
      </w:pPr>
      <w:r>
        <w:rPr>
          <w:rFonts w:ascii="Times New Roman" w:cs="Times New Roman" w:eastAsia="Times New Roman" w:hAnsi="Times New Roman"/>
          <w:sz w:val="16"/>
          <w:szCs w:val="16"/>
          <w:color w:val="231F20"/>
        </w:rPr>
        <w:t>Our commercial success depends on our ability to develop, manufacture, market and sell our product candidates without infringing, misappropriating or otherwise violating the valid intellectual property and other proprietary rights of third parties. Identifying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w:t>
      </w:r>
    </w:p>
    <w:p>
      <w:pPr>
        <w:spacing w:after="0" w:line="163" w:lineRule="exact"/>
        <w:rPr>
          <w:sz w:val="20"/>
          <w:szCs w:val="20"/>
          <w:color w:val="auto"/>
        </w:rPr>
      </w:pPr>
    </w:p>
    <w:p>
      <w:pPr>
        <w:jc w:val="both"/>
        <w:ind w:left="40" w:right="259" w:firstLine="325"/>
        <w:spacing w:after="0" w:line="262" w:lineRule="auto"/>
        <w:rPr>
          <w:sz w:val="20"/>
          <w:szCs w:val="20"/>
          <w:color w:val="auto"/>
        </w:rPr>
      </w:pPr>
      <w:r>
        <w:rPr>
          <w:rFonts w:ascii="Times New Roman" w:cs="Times New Roman" w:eastAsia="Times New Roman" w:hAnsi="Times New Roman"/>
          <w:sz w:val="16"/>
          <w:szCs w:val="16"/>
          <w:color w:val="231F20"/>
        </w:rPr>
        <w:t>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product candidates or the use of our product candidates. As such, there may be applications of others now pending or recently revived patents of which we are unaware.</w:t>
      </w:r>
    </w:p>
    <w:p>
      <w:pPr>
        <w:spacing w:after="0" w:line="163" w:lineRule="exact"/>
        <w:rPr>
          <w:sz w:val="20"/>
          <w:szCs w:val="20"/>
          <w:color w:val="auto"/>
        </w:rPr>
      </w:pPr>
    </w:p>
    <w:p>
      <w:pPr>
        <w:jc w:val="both"/>
        <w:ind w:left="40" w:right="259" w:firstLine="325"/>
        <w:spacing w:after="0" w:line="264" w:lineRule="auto"/>
        <w:rPr>
          <w:sz w:val="20"/>
          <w:szCs w:val="20"/>
          <w:color w:val="auto"/>
        </w:rPr>
      </w:pPr>
      <w:r>
        <w:rPr>
          <w:rFonts w:ascii="Times New Roman" w:cs="Times New Roman" w:eastAsia="Times New Roman" w:hAnsi="Times New Roman"/>
          <w:sz w:val="16"/>
          <w:szCs w:val="16"/>
          <w:color w:val="231F20"/>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 candidates.</w:t>
      </w:r>
    </w:p>
    <w:p>
      <w:pPr>
        <w:spacing w:after="0" w:line="165" w:lineRule="exact"/>
        <w:rPr>
          <w:sz w:val="20"/>
          <w:szCs w:val="20"/>
          <w:color w:val="auto"/>
        </w:rPr>
      </w:pPr>
    </w:p>
    <w:p>
      <w:pPr>
        <w:jc w:val="both"/>
        <w:ind w:left="40" w:right="239" w:firstLine="325"/>
        <w:spacing w:after="0" w:line="260" w:lineRule="auto"/>
        <w:rPr>
          <w:sz w:val="20"/>
          <w:szCs w:val="20"/>
          <w:color w:val="auto"/>
        </w:rPr>
      </w:pPr>
      <w:r>
        <w:rPr>
          <w:rFonts w:ascii="Times New Roman" w:cs="Times New Roman" w:eastAsia="Times New Roman" w:hAnsi="Times New Roman"/>
          <w:sz w:val="16"/>
          <w:szCs w:val="16"/>
          <w:color w:val="231F20"/>
        </w:rPr>
        <w:t>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which could adversely effect the market price of our common stock and harm our reputation.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75" w:name="page76"/>
    <w:bookmarkEnd w:id="7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firstLine="325"/>
        <w:spacing w:after="0" w:line="260" w:lineRule="auto"/>
        <w:rPr>
          <w:sz w:val="20"/>
          <w:szCs w:val="20"/>
          <w:color w:val="auto"/>
        </w:rPr>
      </w:pPr>
      <w:r>
        <w:rPr>
          <w:rFonts w:ascii="Times New Roman" w:cs="Times New Roman" w:eastAsia="Times New Roman" w:hAnsi="Times New Roman"/>
          <w:sz w:val="16"/>
          <w:szCs w:val="16"/>
          <w:color w:val="231F20"/>
        </w:rPr>
        <w:t>There is a substantial amount of intellectual property litigation in the biotechnology and pharmaceutical industries, and we may become party to, or threatened with, litigation or other adversarial proceedings regarding intellectual property rights with respect to our product candidates. We cannot be certain that our product candidates will not infringe existing or future valid patents owned by third parties. Third parties may assert infringement claims against us based on existing or future intellectual property rights, regardless of their merit. We may decide in the future to seek a license to such third-party patents or other intellectual property rights, but we might not be able to do so on reasonable terms. Proving patent invalidity may be difficult. For example, in the United States, proving invalidity in court requires a showing of clear and convincing evidence to overcome the presumption of validity enjoyed by issued patents. As this burden is a high one, there is no assurance that a court of competent jurisdiction would invalidate the claims of any such United States patent or find that our product candidates do not infringe any such claims. If we are found to infringe, misappropriate or otherwise violate a third party’s intellectual property rights, we could be forced, including by court order, to cease developing, manufacturing or commercializing the infringing technology or product candidate. Further, we may be required to redesign the technology or product candidate in a non- infringing manner, which may not be commercially feasible.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it could require us to make substantial licensing and royalty payments.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75" w:lineRule="exact"/>
        <w:rPr>
          <w:sz w:val="20"/>
          <w:szCs w:val="20"/>
          <w:color w:val="auto"/>
        </w:rPr>
      </w:pPr>
    </w:p>
    <w:p>
      <w:pPr>
        <w:jc w:val="both"/>
        <w:ind w:left="40" w:right="259" w:firstLine="325"/>
        <w:spacing w:after="0" w:line="262" w:lineRule="auto"/>
        <w:rPr>
          <w:sz w:val="20"/>
          <w:szCs w:val="20"/>
          <w:color w:val="auto"/>
        </w:rPr>
      </w:pPr>
      <w:r>
        <w:rPr>
          <w:rFonts w:ascii="Times New Roman" w:cs="Times New Roman" w:eastAsia="Times New Roman" w:hAnsi="Times New Roman"/>
          <w:sz w:val="16"/>
          <w:szCs w:val="16"/>
          <w:color w:val="231F20"/>
        </w:rPr>
        <w:t xml:space="preserve">We may choose to challenge the enforceability or validity of claims in a third party’s U.S. patent by requesting that the USPTO review the patent claims in an </w:t>
      </w:r>
      <w:r>
        <w:rPr>
          <w:rFonts w:ascii="Times New Roman" w:cs="Times New Roman" w:eastAsia="Times New Roman" w:hAnsi="Times New Roman"/>
          <w:sz w:val="16"/>
          <w:szCs w:val="16"/>
          <w:i w:val="1"/>
          <w:iCs w:val="1"/>
          <w:color w:val="231F20"/>
        </w:rPr>
        <w:t>ex-parte</w:t>
      </w:r>
      <w:r>
        <w:rPr>
          <w:rFonts w:ascii="Times New Roman" w:cs="Times New Roman" w:eastAsia="Times New Roman" w:hAnsi="Times New Roman"/>
          <w:sz w:val="16"/>
          <w:szCs w:val="16"/>
          <w:color w:val="231F20"/>
        </w:rPr>
        <w:t xml:space="preserve"> reexamination, </w:t>
      </w:r>
      <w:r>
        <w:rPr>
          <w:rFonts w:ascii="Times New Roman" w:cs="Times New Roman" w:eastAsia="Times New Roman" w:hAnsi="Times New Roman"/>
          <w:sz w:val="16"/>
          <w:szCs w:val="16"/>
          <w:i w:val="1"/>
          <w:iCs w:val="1"/>
          <w:color w:val="231F20"/>
        </w:rPr>
        <w:t>inter partes</w:t>
      </w:r>
      <w:r>
        <w:rPr>
          <w:rFonts w:ascii="Times New Roman" w:cs="Times New Roman" w:eastAsia="Times New Roman" w:hAnsi="Times New Roman"/>
          <w:sz w:val="16"/>
          <w:szCs w:val="16"/>
          <w:color w:val="231F20"/>
        </w:rPr>
        <w:t xml:space="preserve"> review or post- 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Further, third-party patents or other intellectual property rights may be enforced against our current technology, including our research programs, product candidates, and their respective methods of use, manufacture and formulations thereof, which could result in either an injunction prohibiting our manufacture or future sales, or, with respect to our future sales, an obligation on our part to pay royalties and/or other forms of compensation to third parties, which could be significant.</w:t>
      </w:r>
    </w:p>
    <w:p>
      <w:pPr>
        <w:spacing w:after="0" w:line="160" w:lineRule="exact"/>
        <w:rPr>
          <w:sz w:val="20"/>
          <w:szCs w:val="20"/>
          <w:color w:val="auto"/>
        </w:rPr>
      </w:pPr>
    </w:p>
    <w:p>
      <w:pPr>
        <w:jc w:val="both"/>
        <w:ind w:left="40" w:right="259"/>
        <w:spacing w:after="0" w:line="295" w:lineRule="auto"/>
        <w:rPr>
          <w:sz w:val="20"/>
          <w:szCs w:val="20"/>
          <w:color w:val="auto"/>
        </w:rPr>
      </w:pPr>
      <w:r>
        <w:rPr>
          <w:rFonts w:ascii="Times New Roman" w:cs="Times New Roman" w:eastAsia="Times New Roman" w:hAnsi="Times New Roman"/>
          <w:sz w:val="16"/>
          <w:szCs w:val="16"/>
          <w:b w:val="1"/>
          <w:bCs w:val="1"/>
          <w:i w:val="1"/>
          <w:iCs w:val="1"/>
          <w:color w:val="231F20"/>
        </w:rPr>
        <w:t>Changes in patent law in the United States and other jurisdictions could diminish the value of patents in general, thereby impairing our ability to protect our product candidates.</w:t>
      </w:r>
    </w:p>
    <w:p>
      <w:pPr>
        <w:spacing w:after="0" w:line="138" w:lineRule="exact"/>
        <w:rPr>
          <w:sz w:val="20"/>
          <w:szCs w:val="20"/>
          <w:color w:val="auto"/>
        </w:rPr>
      </w:pPr>
    </w:p>
    <w:p>
      <w:pPr>
        <w:jc w:val="both"/>
        <w:ind w:left="40" w:right="259" w:firstLine="325"/>
        <w:spacing w:after="0" w:line="259" w:lineRule="auto"/>
        <w:rPr>
          <w:sz w:val="20"/>
          <w:szCs w:val="20"/>
          <w:color w:val="auto"/>
        </w:rPr>
      </w:pPr>
      <w:r>
        <w:rPr>
          <w:rFonts w:ascii="Times New Roman" w:cs="Times New Roman" w:eastAsia="Times New Roman" w:hAnsi="Times New Roman"/>
          <w:sz w:val="16"/>
          <w:szCs w:val="16"/>
          <w:color w:val="231F20"/>
        </w:rPr>
        <w:t xml:space="preserve">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(the “Leahy-Smith Act”), signed into law on September 16, 2011, could increase those uncertainties and costs surrounding the prosecution of our patent applications and the enforcement or defense of our future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6"/>
          <w:szCs w:val="16"/>
          <w:i w:val="1"/>
          <w:iCs w:val="1"/>
          <w:color w:val="231F20"/>
        </w:rPr>
        <w:t>inter partes</w:t>
      </w:r>
      <w:r>
        <w:rPr>
          <w:rFonts w:ascii="Times New Roman" w:cs="Times New Roman" w:eastAsia="Times New Roman" w:hAnsi="Times New Roman"/>
          <w:sz w:val="16"/>
          <w:szCs w:val="16"/>
          <w:color w:val="231F20"/>
        </w:rPr>
        <w:t xml:space="preserve"> review, and derivation proceedings.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76" w:name="page77"/>
    <w:bookmarkEnd w:id="7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firstLine="325"/>
        <w:spacing w:after="0" w:line="264" w:lineRule="auto"/>
        <w:rPr>
          <w:sz w:val="20"/>
          <w:szCs w:val="20"/>
          <w:color w:val="auto"/>
        </w:rPr>
      </w:pPr>
      <w:r>
        <w:rPr>
          <w:rFonts w:ascii="Times New Roman" w:cs="Times New Roman" w:eastAsia="Times New Roman" w:hAnsi="Times New Roman"/>
          <w:sz w:val="16"/>
          <w:szCs w:val="16"/>
          <w:color w:val="231F20"/>
        </w:rPr>
        <w:t>Further,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or our licensors’ patent claims that would not have been invalidated if first challenged by the third party as a defendant in a district court action. Thus, the Leahy-Smith Act and its implementation could increase the uncertainties and costs surrounding the prosecution of our or our licensors’ patent applications and the enforcement or defense of our or our licensors’ future issued patents, all of which could adversely affect our business, financial condition, results of operations and prospects.</w:t>
      </w:r>
    </w:p>
    <w:p>
      <w:pPr>
        <w:spacing w:after="0" w:line="163" w:lineRule="exact"/>
        <w:rPr>
          <w:sz w:val="20"/>
          <w:szCs w:val="20"/>
          <w:color w:val="auto"/>
        </w:rPr>
      </w:pPr>
    </w:p>
    <w:p>
      <w:pPr>
        <w:jc w:val="both"/>
        <w:ind w:left="40" w:right="259" w:firstLine="325"/>
        <w:spacing w:after="0" w:line="262" w:lineRule="auto"/>
        <w:rPr>
          <w:sz w:val="20"/>
          <w:szCs w:val="20"/>
          <w:color w:val="auto"/>
        </w:rPr>
      </w:pPr>
      <w:r>
        <w:rPr>
          <w:rFonts w:ascii="Times New Roman" w:cs="Times New Roman" w:eastAsia="Times New Roman" w:hAnsi="Times New Roman"/>
          <w:sz w:val="16"/>
          <w:szCs w:val="16"/>
          <w:color w:val="231F20"/>
        </w:rPr>
        <w:t>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third-party was the first to invent the claimed invention. A third party that files a patent application in the USPTO after March 2013, but before we file an application covering the same invention, could therefore be awarded a patent covering an invention of ours or our licensors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However, the Leahy-Smith Act and its implementation could increase the uncertainties and costs surrounding the prosecution of our patent applications and the enforcement or defense of our future issued patents, all of which could adversely affect our business, financial condition, results of operations and prospects.</w:t>
      </w:r>
    </w:p>
    <w:p>
      <w:pPr>
        <w:spacing w:after="0" w:line="166" w:lineRule="exact"/>
        <w:rPr>
          <w:sz w:val="20"/>
          <w:szCs w:val="20"/>
          <w:color w:val="auto"/>
        </w:rPr>
      </w:pPr>
    </w:p>
    <w:p>
      <w:pPr>
        <w:jc w:val="both"/>
        <w:ind w:left="40" w:right="239" w:firstLine="325"/>
        <w:spacing w:after="0" w:line="259" w:lineRule="auto"/>
        <w:rPr>
          <w:sz w:val="20"/>
          <w:szCs w:val="20"/>
          <w:color w:val="auto"/>
        </w:rPr>
      </w:pPr>
      <w:r>
        <w:rPr>
          <w:rFonts w:ascii="Times New Roman" w:cs="Times New Roman" w:eastAsia="Times New Roman" w:hAnsi="Times New Roman"/>
          <w:sz w:val="16"/>
          <w:szCs w:val="16"/>
          <w:color w:val="231F20"/>
        </w:rPr>
        <w:t xml:space="preserve">In addition, the patent positions of companies in the development and commercialization of pharmaceuticals are particularly uncertain. Changes in either the patent laws or interpretation of the patent laws in the United States or in other jurisdictions could increase the uncertainties and costs surrounding the prosecution of patent applications and the enforcement or defense of issued patents. In the United States, numerous recent changes to the patent laws and proposed changes to the rules of the USPTO may have a significant impact on our ability to protect our technology, products and enforce our intellectual property rights. We cannot assure you that subsequent rulings will not adversely impact our patents or patent applications. In addition to increasing uncertainty regarding our ability to obtain patents in the future, this combination of events has created uncertainty with respect to the value of patents, once granted. For example, the U.S. Supreme Court, in the case </w:t>
      </w:r>
      <w:r>
        <w:rPr>
          <w:rFonts w:ascii="Times New Roman" w:cs="Times New Roman" w:eastAsia="Times New Roman" w:hAnsi="Times New Roman"/>
          <w:sz w:val="16"/>
          <w:szCs w:val="16"/>
          <w:i w:val="1"/>
          <w:iCs w:val="1"/>
          <w:color w:val="231F20"/>
        </w:rPr>
        <w:t>Amgen v. Sanofi</w:t>
      </w:r>
      <w:r>
        <w:rPr>
          <w:rFonts w:ascii="Times New Roman" w:cs="Times New Roman" w:eastAsia="Times New Roman" w:hAnsi="Times New Roman"/>
          <w:sz w:val="16"/>
          <w:szCs w:val="16"/>
          <w:color w:val="231F20"/>
        </w:rPr>
        <w:t xml:space="preserve">, held that broad functional antibody claims are invalid for lack of enablement. As such, our ability to obtain patents with functional claims, or to protect our patent rights with functional claims from third party challenges seeking to invalidate these claims for lacking enablement or adequate support in the specification, is uncertain. In addition, in </w:t>
      </w:r>
      <w:r>
        <w:rPr>
          <w:rFonts w:ascii="Times New Roman" w:cs="Times New Roman" w:eastAsia="Times New Roman" w:hAnsi="Times New Roman"/>
          <w:sz w:val="16"/>
          <w:szCs w:val="16"/>
          <w:i w:val="1"/>
          <w:iCs w:val="1"/>
          <w:color w:val="231F20"/>
        </w:rPr>
        <w:t>Juno v. Kite</w:t>
      </w:r>
      <w:r>
        <w:rPr>
          <w:rFonts w:ascii="Times New Roman" w:cs="Times New Roman" w:eastAsia="Times New Roman" w:hAnsi="Times New Roman"/>
          <w:sz w:val="16"/>
          <w:szCs w:val="16"/>
          <w:color w:val="231F20"/>
        </w:rPr>
        <w:t xml:space="preserve">, the Federal Circuit held broad antibody claims supported by few examples invalid for lack of written description. Recently, the Federal Circuit issued precedential decisions in </w:t>
      </w:r>
      <w:r>
        <w:rPr>
          <w:rFonts w:ascii="Times New Roman" w:cs="Times New Roman" w:eastAsia="Times New Roman" w:hAnsi="Times New Roman"/>
          <w:sz w:val="16"/>
          <w:szCs w:val="16"/>
          <w:i w:val="1"/>
          <w:iCs w:val="1"/>
          <w:color w:val="231F20"/>
        </w:rPr>
        <w:t>In re Cellect</w:t>
      </w:r>
      <w:r>
        <w:rPr>
          <w:rFonts w:ascii="Times New Roman" w:cs="Times New Roman" w:eastAsia="Times New Roman" w:hAnsi="Times New Roman"/>
          <w:sz w:val="16"/>
          <w:szCs w:val="16"/>
          <w:color w:val="231F20"/>
        </w:rPr>
        <w:t xml:space="preserve"> (No. 22-1293) and </w:t>
      </w:r>
      <w:r>
        <w:rPr>
          <w:rFonts w:ascii="Times New Roman" w:cs="Times New Roman" w:eastAsia="Times New Roman" w:hAnsi="Times New Roman"/>
          <w:sz w:val="16"/>
          <w:szCs w:val="16"/>
          <w:i w:val="1"/>
          <w:iCs w:val="1"/>
          <w:color w:val="231F20"/>
        </w:rPr>
        <w:t xml:space="preserve">Allergan v. MSN Laboratories </w:t>
      </w:r>
      <w:r>
        <w:rPr>
          <w:rFonts w:ascii="Times New Roman" w:cs="Times New Roman" w:eastAsia="Times New Roman" w:hAnsi="Times New Roman"/>
          <w:sz w:val="16"/>
          <w:szCs w:val="16"/>
          <w:color w:val="231F20"/>
        </w:rPr>
        <w:t>(No. 24-1061) that could shorten or eliminate extended patent term awarded under Patent Term Adjustment</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color w:val="231F20"/>
        </w:rPr>
        <w:t>(“PTA”) in later issued patents in a patent family if challenged on the basis of Obvious-Type Double Patenting. Furthermore, the U.S. Supreme Court and Federal Circuits have repeatedly held that the use of biomarkers in diagnosis or monitoring therapeutic treatment is not patent eligible.</w:t>
      </w:r>
    </w:p>
    <w:p>
      <w:pPr>
        <w:spacing w:after="0" w:line="167" w:lineRule="exact"/>
        <w:rPr>
          <w:sz w:val="20"/>
          <w:szCs w:val="20"/>
          <w:color w:val="auto"/>
        </w:rPr>
      </w:pPr>
    </w:p>
    <w:p>
      <w:pPr>
        <w:jc w:val="both"/>
        <w:ind w:left="40" w:right="259" w:firstLine="325"/>
        <w:spacing w:after="0" w:line="266" w:lineRule="auto"/>
        <w:rPr>
          <w:sz w:val="20"/>
          <w:szCs w:val="20"/>
          <w:color w:val="auto"/>
        </w:rPr>
      </w:pPr>
      <w:r>
        <w:rPr>
          <w:rFonts w:ascii="Times New Roman" w:cs="Times New Roman" w:eastAsia="Times New Roman" w:hAnsi="Times New Roman"/>
          <w:sz w:val="16"/>
          <w:szCs w:val="16"/>
          <w:color w:val="231F20"/>
        </w:rPr>
        <w:t>Depending on decisions by the U.S. Congress, the federal courts and the USPTO, and similar legislative and regulatory bodies in other countries in which we may pursue patent protection, the laws and regulations governing patents could change in unpredictable ways, particularly with respect to pharmaceutical patent protection, that would weaken our ability to obtain new patents or to enforce our or our licensors’ or collaborators’ existing patents and patents that we might obtain in the future.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77" w:name="page78"/>
    <w:bookmarkEnd w:id="7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firstLine="325"/>
        <w:spacing w:after="0" w:line="280" w:lineRule="auto"/>
        <w:rPr>
          <w:sz w:val="20"/>
          <w:szCs w:val="20"/>
          <w:color w:val="auto"/>
        </w:rPr>
      </w:pPr>
      <w:r>
        <w:rPr>
          <w:rFonts w:ascii="Times New Roman" w:cs="Times New Roman" w:eastAsia="Times New Roman" w:hAnsi="Times New Roman"/>
          <w:sz w:val="16"/>
          <w:szCs w:val="16"/>
          <w:color w:val="231F20"/>
        </w:rPr>
        <w:t>We cannot predict how future decisions by the courts, the U.S. Congress or the USPTO may impact the value of our patents. Any similar adverse change in the patent laws of other jurisdictions could also adversely affect our business, financial condition, results of operations and prospects.</w:t>
      </w:r>
    </w:p>
    <w:p>
      <w:pPr>
        <w:spacing w:after="0" w:line="149" w:lineRule="exact"/>
        <w:rPr>
          <w:sz w:val="20"/>
          <w:szCs w:val="20"/>
          <w:color w:val="auto"/>
        </w:rPr>
      </w:pPr>
    </w:p>
    <w:p>
      <w:pPr>
        <w:jc w:val="both"/>
        <w:ind w:left="40" w:right="259"/>
        <w:spacing w:after="0" w:line="261" w:lineRule="auto"/>
        <w:rPr>
          <w:sz w:val="20"/>
          <w:szCs w:val="20"/>
          <w:color w:val="auto"/>
        </w:rPr>
      </w:pPr>
      <w:r>
        <w:rPr>
          <w:rFonts w:ascii="Times New Roman" w:cs="Times New Roman" w:eastAsia="Times New Roman" w:hAnsi="Times New Roman"/>
          <w:sz w:val="16"/>
          <w:szCs w:val="16"/>
          <w:color w:val="231F20"/>
        </w:rPr>
        <w:t>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Our owned or licensed European patent applications, if issued, could be challenged in the UPC. During the first seven years of the UPC’s existence, the UPC legislation allows a patent owner to opt its European patents out of the jurisdiction of the UPC. We may decide to opt out our owned or licensed future European patents from the UPC, but doing so may preclude us from realizing the benefits of the UPC. Moreover, if the patent owner of our owned or licensed future European patents do not meet all of the formalities and requirements for opt-out under the UPC, said future European patents could remain under the jurisdiction of the UPC. The UPC will provide our competitors with a new forum to centrally revoke our owned or licensed European patents, and allow for the possibility of a competitor to obtain a pan-European injunction in UPC member states. Such a loss of patent protection could have a material adverse impact on our business and our ability to commercialize our technology and any future product candidates due to increased competition and, resultantly, on our business, financial condition, results of operations and prospects in Europe. The UPC and Unitary Patent are significant changes in European patent practice. As the UPC is a new court system, there is no precedent for the court, increasing the uncertainty of any litigation in the UPC.</w:t>
      </w:r>
    </w:p>
    <w:p>
      <w:pPr>
        <w:spacing w:after="0" w:line="163" w:lineRule="exact"/>
        <w:rPr>
          <w:sz w:val="20"/>
          <w:szCs w:val="20"/>
          <w:color w:val="auto"/>
        </w:rPr>
      </w:pPr>
    </w:p>
    <w:p>
      <w:pPr>
        <w:jc w:val="both"/>
        <w:ind w:left="40" w:right="259"/>
        <w:spacing w:after="0" w:line="295" w:lineRule="auto"/>
        <w:rPr>
          <w:sz w:val="20"/>
          <w:szCs w:val="20"/>
          <w:color w:val="auto"/>
        </w:rPr>
      </w:pPr>
      <w:r>
        <w:rPr>
          <w:rFonts w:ascii="Times New Roman" w:cs="Times New Roman" w:eastAsia="Times New Roman" w:hAnsi="Times New Roman"/>
          <w:sz w:val="16"/>
          <w:szCs w:val="16"/>
          <w:b w:val="1"/>
          <w:bCs w:val="1"/>
          <w:i w:val="1"/>
          <w:iCs w:val="1"/>
          <w:color w:val="231F20"/>
        </w:rPr>
        <w:t>We may become subject to claims challenging the inventorship or ownership of our or our licensors’ patents and other intellectual property.</w:t>
      </w:r>
    </w:p>
    <w:p>
      <w:pPr>
        <w:spacing w:after="0" w:line="150" w:lineRule="exact"/>
        <w:rPr>
          <w:sz w:val="20"/>
          <w:szCs w:val="20"/>
          <w:color w:val="auto"/>
        </w:rPr>
      </w:pPr>
    </w:p>
    <w:p>
      <w:pPr>
        <w:jc w:val="both"/>
        <w:ind w:left="40" w:right="259" w:firstLine="325"/>
        <w:spacing w:after="0" w:line="258" w:lineRule="auto"/>
        <w:rPr>
          <w:sz w:val="20"/>
          <w:szCs w:val="20"/>
          <w:color w:val="auto"/>
        </w:rPr>
      </w:pPr>
      <w:r>
        <w:rPr>
          <w:rFonts w:ascii="Times New Roman" w:cs="Times New Roman" w:eastAsia="Times New Roman" w:hAnsi="Times New Roman"/>
          <w:sz w:val="16"/>
          <w:szCs w:val="16"/>
          <w:color w:val="231F20"/>
        </w:rPr>
        <w:t>We may be subject to claims that former employees, collaborators or other third parties have an interest in our or our licensors’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to defend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spacing w:after="0" w:line="168" w:lineRule="exact"/>
        <w:rPr>
          <w:sz w:val="20"/>
          <w:szCs w:val="20"/>
          <w:color w:val="auto"/>
        </w:rPr>
      </w:pPr>
    </w:p>
    <w:p>
      <w:pPr>
        <w:jc w:val="both"/>
        <w:ind w:left="40" w:right="259" w:firstLine="325"/>
        <w:spacing w:after="0" w:line="259" w:lineRule="auto"/>
        <w:rPr>
          <w:sz w:val="20"/>
          <w:szCs w:val="20"/>
          <w:color w:val="auto"/>
        </w:rPr>
      </w:pPr>
      <w:r>
        <w:rPr>
          <w:rFonts w:ascii="Times New Roman" w:cs="Times New Roman" w:eastAsia="Times New Roman" w:hAnsi="Times New Roman"/>
          <w:sz w:val="16"/>
          <w:szCs w:val="16"/>
          <w:color w:val="231F20"/>
        </w:rPr>
        <w:t>Our current or future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adversely affect our competitive position, business, financial condition, results of operations, and prospects.</w:t>
      </w:r>
    </w:p>
    <w:p>
      <w:pPr>
        <w:spacing w:after="0" w:line="167" w:lineRule="exact"/>
        <w:rPr>
          <w:sz w:val="20"/>
          <w:szCs w:val="20"/>
          <w:color w:val="auto"/>
        </w:rPr>
      </w:pPr>
    </w:p>
    <w:p>
      <w:pPr>
        <w:jc w:val="both"/>
        <w:ind w:left="40" w:right="259" w:firstLine="325"/>
        <w:spacing w:after="0" w:line="261" w:lineRule="auto"/>
        <w:rPr>
          <w:sz w:val="20"/>
          <w:szCs w:val="20"/>
          <w:color w:val="auto"/>
        </w:rPr>
      </w:pPr>
      <w:r>
        <w:rPr>
          <w:rFonts w:ascii="Times New Roman" w:cs="Times New Roman" w:eastAsia="Times New Roman" w:hAnsi="Times New Roman"/>
          <w:sz w:val="16"/>
          <w:szCs w:val="16"/>
          <w:color w:val="231F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78" w:name="page79"/>
    <w:bookmarkEnd w:id="7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40" w:right="259"/>
        <w:spacing w:after="0" w:line="311" w:lineRule="auto"/>
        <w:rPr>
          <w:sz w:val="20"/>
          <w:szCs w:val="20"/>
          <w:color w:val="auto"/>
        </w:rPr>
      </w:pPr>
      <w:r>
        <w:rPr>
          <w:rFonts w:ascii="Times New Roman" w:cs="Times New Roman" w:eastAsia="Times New Roman" w:hAnsi="Times New Roman"/>
          <w:sz w:val="16"/>
          <w:szCs w:val="16"/>
          <w:b w:val="1"/>
          <w:bCs w:val="1"/>
          <w:i w:val="1"/>
          <w:iCs w:val="1"/>
          <w:color w:val="231F20"/>
        </w:rPr>
        <w:t>Patent terms may be inadequate to protect our competitive position on products or product candidates for an adequate amount of time.</w:t>
      </w:r>
    </w:p>
    <w:p>
      <w:pPr>
        <w:spacing w:after="0" w:line="125" w:lineRule="exact"/>
        <w:rPr>
          <w:sz w:val="20"/>
          <w:szCs w:val="20"/>
          <w:color w:val="auto"/>
        </w:rPr>
      </w:pPr>
    </w:p>
    <w:p>
      <w:pPr>
        <w:jc w:val="both"/>
        <w:ind w:left="40" w:right="259" w:firstLine="325"/>
        <w:spacing w:after="0" w:line="259" w:lineRule="auto"/>
        <w:rPr>
          <w:sz w:val="20"/>
          <w:szCs w:val="20"/>
          <w:color w:val="auto"/>
        </w:rPr>
      </w:pPr>
      <w:r>
        <w:rPr>
          <w:rFonts w:ascii="Times New Roman" w:cs="Times New Roman" w:eastAsia="Times New Roman" w:hAnsi="Times New Roman"/>
          <w:sz w:val="16"/>
          <w:szCs w:val="16"/>
          <w:color w:val="231F20"/>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our owned and licensed patent portfolio may not provide us with sufficient and continuing rights to exclude others from commercializing products similar or identical to ours. For example, the patent covering obexelimab’s composition of matter expires in May 2028, excluding any extension of patent term that may be available.</w:t>
      </w:r>
    </w:p>
    <w:p>
      <w:pPr>
        <w:spacing w:after="0" w:line="162" w:lineRule="exact"/>
        <w:rPr>
          <w:sz w:val="20"/>
          <w:szCs w:val="20"/>
          <w:color w:val="auto"/>
        </w:rPr>
      </w:pPr>
    </w:p>
    <w:p>
      <w:pPr>
        <w:jc w:val="both"/>
        <w:ind w:left="40" w:right="259"/>
        <w:spacing w:after="0" w:line="274" w:lineRule="auto"/>
        <w:rPr>
          <w:sz w:val="20"/>
          <w:szCs w:val="20"/>
          <w:color w:val="auto"/>
        </w:rPr>
      </w:pPr>
      <w:r>
        <w:rPr>
          <w:rFonts w:ascii="Times New Roman" w:cs="Times New Roman" w:eastAsia="Times New Roman" w:hAnsi="Times New Roman"/>
          <w:sz w:val="16"/>
          <w:szCs w:val="16"/>
          <w:b w:val="1"/>
          <w:bCs w:val="1"/>
          <w:i w:val="1"/>
          <w:iCs w:val="1"/>
          <w:color w:val="231F20"/>
        </w:rPr>
        <w:t>Obtaining and maintaining patent protection depends on compliance with various procedural, document submission, fee payment and other requirements imposed by government patent agencies, and our patent protection could be reduced or eliminated as a result of noncompliance with these requirements.</w:t>
      </w:r>
    </w:p>
    <w:p>
      <w:pPr>
        <w:spacing w:after="0" w:line="167" w:lineRule="exact"/>
        <w:rPr>
          <w:sz w:val="20"/>
          <w:szCs w:val="20"/>
          <w:color w:val="auto"/>
        </w:rPr>
      </w:pPr>
    </w:p>
    <w:p>
      <w:pPr>
        <w:jc w:val="both"/>
        <w:ind w:left="40" w:right="259" w:firstLine="325"/>
        <w:spacing w:after="0" w:line="256" w:lineRule="auto"/>
        <w:rPr>
          <w:sz w:val="20"/>
          <w:szCs w:val="20"/>
          <w:color w:val="auto"/>
        </w:rPr>
      </w:pPr>
      <w:r>
        <w:rPr>
          <w:rFonts w:ascii="Times New Roman" w:cs="Times New Roman" w:eastAsia="Times New Roman" w:hAnsi="Times New Roman"/>
          <w:sz w:val="16"/>
          <w:szCs w:val="16"/>
          <w:color w:val="231F20"/>
        </w:rPr>
        <w:t>Periodic maintenance fees, renewal fees, annuity fees and various other government fees on patents and/or applications will be due to be paid to the USPTO and various government patent agencies outside of the United States over the lifetime of our owned or licensed patents and patent applications. We rely on our outside counsel or our licensing partners to pay these fees due to U.S. and non-U.S. patent agencies. The USPTO and various non-U.S. government patent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adversely affect our business, financial condition, results of operations and prospects.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231F20"/>
        </w:rPr>
        <w:t>If we do not obtain patent term extension for our product candidates, our business may be materially harmed.</w:t>
      </w:r>
    </w:p>
    <w:p>
      <w:pPr>
        <w:spacing w:after="0" w:line="223" w:lineRule="exact"/>
        <w:rPr>
          <w:sz w:val="20"/>
          <w:szCs w:val="20"/>
          <w:color w:val="auto"/>
        </w:rPr>
      </w:pPr>
    </w:p>
    <w:p>
      <w:pPr>
        <w:jc w:val="both"/>
        <w:ind w:left="40" w:right="259"/>
        <w:spacing w:after="0" w:line="260" w:lineRule="auto"/>
        <w:rPr>
          <w:sz w:val="20"/>
          <w:szCs w:val="20"/>
          <w:color w:val="auto"/>
        </w:rPr>
      </w:pPr>
      <w:r>
        <w:rPr>
          <w:rFonts w:ascii="Times New Roman" w:cs="Times New Roman" w:eastAsia="Times New Roman" w:hAnsi="Times New Roman"/>
          <w:sz w:val="16"/>
          <w:szCs w:val="16"/>
          <w:color w:val="231F20"/>
        </w:rPr>
        <w:t>Depending upon the timing, duration and specifics of any FDA marketing approval of any of our product candidates, one or more of our or our licensors’ issued U.S. patents or issued U.S. patents that we may own in the future may be eligible for limited patent term extension under the Drug Price Competition and Patent Term Restoration Action of 1984 (the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7309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79" w:name="page80"/>
    <w:bookmarkEnd w:id="7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40" w:right="259"/>
        <w:spacing w:after="0" w:line="311" w:lineRule="auto"/>
        <w:rPr>
          <w:sz w:val="20"/>
          <w:szCs w:val="20"/>
          <w:color w:val="auto"/>
        </w:rPr>
      </w:pPr>
      <w:r>
        <w:rPr>
          <w:rFonts w:ascii="Times New Roman" w:cs="Times New Roman" w:eastAsia="Times New Roman" w:hAnsi="Times New Roman"/>
          <w:sz w:val="16"/>
          <w:szCs w:val="16"/>
          <w:b w:val="1"/>
          <w:bCs w:val="1"/>
          <w:i w:val="1"/>
          <w:iCs w:val="1"/>
          <w:color w:val="231F20"/>
        </w:rPr>
        <w:t>If approved, our product candidates that are regulated as biological products (“biologics”), may face competition from biosimilars approved through an abbreviated regulatory pathway.</w:t>
      </w:r>
    </w:p>
    <w:p>
      <w:pPr>
        <w:spacing w:after="0" w:line="125" w:lineRule="exact"/>
        <w:rPr>
          <w:sz w:val="20"/>
          <w:szCs w:val="20"/>
          <w:color w:val="auto"/>
        </w:rPr>
      </w:pPr>
    </w:p>
    <w:p>
      <w:pPr>
        <w:jc w:val="both"/>
        <w:ind w:left="40" w:right="259" w:firstLine="325"/>
        <w:spacing w:after="0" w:line="260" w:lineRule="auto"/>
        <w:rPr>
          <w:sz w:val="20"/>
          <w:szCs w:val="20"/>
          <w:color w:val="auto"/>
        </w:rPr>
      </w:pPr>
      <w:r>
        <w:rPr>
          <w:rFonts w:ascii="Times New Roman" w:cs="Times New Roman" w:eastAsia="Times New Roman" w:hAnsi="Times New Roman"/>
          <w:sz w:val="16"/>
          <w:szCs w:val="16"/>
          <w:color w:val="231F20"/>
        </w:rPr>
        <w:t>The Biologics Price Competition and Innovation Act of 2009 (“BPCIA”) was enacted as part of the Patient Protection and Affordable Care Act, as amended by the Health Care and Education Reconciliation Act of 2010 (collectively, the “ACA”), to establish an abbreviated pathway for the approval of biosimilar and interchangeable with an FDA-licensed reference biologic product. The regulatory pathway establishes legal authority for the FDA to review and approve biosimilar biologics, including the possible designation of a biosimilar as “interchangeable” based on its similarity to an approved biologic. Under the BPCIA, reference biological product is granted 12 years of non-patent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develop and receive approval of a competing biologic, so long as their BLA does not rely on the reference product or sponsor’s data or submit the application as a biosimilar application. The law is complex and is still being interpreted and implemented by the FDA. As a result, its ultimate impact, implementation and meaning are subject to uncertainty, and any new policies or processes adopted by the FDA could have a material adverse effect on the future commercial prospects for our biological products.</w:t>
      </w:r>
    </w:p>
    <w:p>
      <w:pPr>
        <w:spacing w:after="0" w:line="362" w:lineRule="exact"/>
        <w:rPr>
          <w:sz w:val="20"/>
          <w:szCs w:val="20"/>
          <w:color w:val="auto"/>
        </w:rPr>
      </w:pPr>
    </w:p>
    <w:p>
      <w:pPr>
        <w:jc w:val="both"/>
        <w:ind w:left="40" w:right="259" w:firstLine="325"/>
        <w:spacing w:after="0" w:line="262" w:lineRule="auto"/>
        <w:rPr>
          <w:sz w:val="20"/>
          <w:szCs w:val="20"/>
          <w:color w:val="auto"/>
        </w:rPr>
      </w:pPr>
      <w:r>
        <w:rPr>
          <w:rFonts w:ascii="Times New Roman" w:cs="Times New Roman" w:eastAsia="Times New Roman" w:hAnsi="Times New Roman"/>
          <w:sz w:val="16"/>
          <w:szCs w:val="16"/>
          <w:color w:val="231F20"/>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 to be a reference product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 The approval of a biosimilar of our product candidates could have a material adverse impact on our business due to increased competition and pricing pressure.</w:t>
      </w:r>
    </w:p>
    <w:p>
      <w:pPr>
        <w:spacing w:after="0" w:line="163" w:lineRule="exact"/>
        <w:rPr>
          <w:sz w:val="20"/>
          <w:szCs w:val="20"/>
          <w:color w:val="auto"/>
        </w:rPr>
      </w:pPr>
    </w:p>
    <w:p>
      <w:pPr>
        <w:jc w:val="both"/>
        <w:ind w:left="40" w:right="259" w:firstLine="325"/>
        <w:spacing w:after="0" w:line="289" w:lineRule="auto"/>
        <w:rPr>
          <w:sz w:val="20"/>
          <w:szCs w:val="20"/>
          <w:color w:val="auto"/>
        </w:rPr>
      </w:pPr>
      <w:r>
        <w:rPr>
          <w:rFonts w:ascii="Times New Roman" w:cs="Times New Roman" w:eastAsia="Times New Roman" w:hAnsi="Times New Roman"/>
          <w:sz w:val="16"/>
          <w:szCs w:val="16"/>
          <w:color w:val="231F20"/>
        </w:rPr>
        <w:t>If competitors are able to obtain regulatory approval for biosimilars referencing our product candidates, our product candidates may become subject to competition from such biosimilars, with the attendant competitive pressure and consequences.</w:t>
      </w:r>
    </w:p>
    <w:p>
      <w:pPr>
        <w:spacing w:after="0" w:line="143" w:lineRule="exact"/>
        <w:rPr>
          <w:sz w:val="20"/>
          <w:szCs w:val="20"/>
          <w:color w:val="auto"/>
        </w:rPr>
      </w:pPr>
    </w:p>
    <w:p>
      <w:pPr>
        <w:jc w:val="both"/>
        <w:ind w:left="40" w:right="259" w:firstLine="325"/>
        <w:spacing w:after="0" w:line="261" w:lineRule="auto"/>
        <w:rPr>
          <w:sz w:val="20"/>
          <w:szCs w:val="20"/>
          <w:color w:val="auto"/>
        </w:rPr>
      </w:pPr>
      <w:r>
        <w:rPr>
          <w:rFonts w:ascii="Times New Roman" w:cs="Times New Roman" w:eastAsia="Times New Roman" w:hAnsi="Times New Roman"/>
          <w:sz w:val="16"/>
          <w:szCs w:val="16"/>
          <w:color w:val="231F20"/>
        </w:rPr>
        <w:t>Laws and regulations outside the United States differ, including the length and extent of patent and exclusivity protection and pathways for competition to enter the market. Other countries may have significantly shorter or longer periods of exclusivity. In addition, other countries may have different standards in determining similarity to a reference product. Any market entry of competing products to our product candidates in these other regions could adversely affect our business in those regions. To the extent that we do not receive any anticipated periods of regulatory exclusivity for our product candidates it could adversely affect our business, financial condition, results of operations and prospects.</w:t>
      </w:r>
    </w:p>
    <w:p>
      <w:pPr>
        <w:spacing w:after="0" w:line="166" w:lineRule="exact"/>
        <w:rPr>
          <w:sz w:val="20"/>
          <w:szCs w:val="20"/>
          <w:color w:val="auto"/>
        </w:rPr>
      </w:pPr>
    </w:p>
    <w:p>
      <w:pPr>
        <w:jc w:val="both"/>
        <w:ind w:left="40" w:right="259" w:firstLine="325"/>
        <w:spacing w:after="0" w:line="261" w:lineRule="auto"/>
        <w:rPr>
          <w:sz w:val="20"/>
          <w:szCs w:val="20"/>
          <w:color w:val="auto"/>
        </w:rPr>
      </w:pPr>
      <w:r>
        <w:rPr>
          <w:rFonts w:ascii="Times New Roman" w:cs="Times New Roman" w:eastAsia="Times New Roman" w:hAnsi="Times New Roman"/>
          <w:sz w:val="16"/>
          <w:szCs w:val="16"/>
          <w:color w:val="231F20"/>
        </w:rPr>
        <w:t>In China, the Fourth Amendments to the PRC Patent Law became effective on June 1, 2021, and for the first time, provides for PTE, PTA and a patent linkage system for eligible Chinese patents. To date, no PTE or PTA has been granted for any Chinese patent, and the patent linkage system is still in its early stage. In view of the potential changes and development in the implementation rules in PTE, PTA, patent linkage and data exclusivity in China, a lower-cost generic drug can emerge onto the market much more quickly, which would result in weaker protection for us against generic competition in China than could be available to us in the United States, and would materially harm our business, financial condition, results of operations, and prospects.</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231F20"/>
        </w:rPr>
        <w:t>If we are unable to protect the confidentiality of our trade secrets, our business and competitive position would be harmed.</w:t>
      </w:r>
    </w:p>
    <w:p>
      <w:pPr>
        <w:spacing w:after="0" w:line="223" w:lineRule="exact"/>
        <w:rPr>
          <w:sz w:val="20"/>
          <w:szCs w:val="20"/>
          <w:color w:val="auto"/>
        </w:rPr>
      </w:pPr>
    </w:p>
    <w:p>
      <w:pPr>
        <w:jc w:val="both"/>
        <w:ind w:left="40" w:right="259" w:firstLine="325"/>
        <w:spacing w:after="0" w:line="289" w:lineRule="auto"/>
        <w:rPr>
          <w:sz w:val="20"/>
          <w:szCs w:val="20"/>
          <w:color w:val="auto"/>
        </w:rPr>
      </w:pPr>
      <w:r>
        <w:rPr>
          <w:rFonts w:ascii="Times New Roman" w:cs="Times New Roman" w:eastAsia="Times New Roman" w:hAnsi="Times New Roman"/>
          <w:sz w:val="16"/>
          <w:szCs w:val="16"/>
          <w:color w:val="231F20"/>
        </w:rPr>
        <w:t>In addition to the protection afforded by patents, we rely on trade secret protection and confidentiality agreements to protect proprietary know-how that is not patentable or that we elect not to patent, processes for which patents are</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7309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80" w:name="page81"/>
    <w:bookmarkEnd w:id="8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spacing w:after="0" w:line="257" w:lineRule="auto"/>
        <w:rPr>
          <w:sz w:val="20"/>
          <w:szCs w:val="20"/>
          <w:color w:val="auto"/>
        </w:rPr>
      </w:pPr>
      <w:r>
        <w:rPr>
          <w:rFonts w:ascii="Times New Roman" w:cs="Times New Roman" w:eastAsia="Times New Roman" w:hAnsi="Times New Roman"/>
          <w:sz w:val="16"/>
          <w:szCs w:val="16"/>
          <w:color w:val="231F20"/>
        </w:rPr>
        <w:t>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 viable terms, then we may not be able to launch our product candidate. Additionally, trade secrets can be difficult to protect and some courts inside and outside the United States are less willing or unwilling to protect trade secrets. Although we require all of our employees to assign their inventions to us, and require all of our employees, consultants, advisors and any third parties who have access to our proprietary know-how, information or technology to enter into confidentiality agreements, our trade secrets and other confidential proprietary information could be disclosed or competitors could otherwise gain access to our trade secrets. If our trade secrets are not adequately protected, our business, financial condition, results of operations and prospects could be adversely affected.</w:t>
      </w:r>
    </w:p>
    <w:p>
      <w:pPr>
        <w:spacing w:after="0" w:line="170" w:lineRule="exact"/>
        <w:rPr>
          <w:sz w:val="20"/>
          <w:szCs w:val="20"/>
          <w:color w:val="auto"/>
        </w:rPr>
      </w:pPr>
    </w:p>
    <w:p>
      <w:pPr>
        <w:jc w:val="both"/>
        <w:ind w:left="40" w:right="259"/>
        <w:spacing w:after="0" w:line="311" w:lineRule="auto"/>
        <w:rPr>
          <w:sz w:val="20"/>
          <w:szCs w:val="20"/>
          <w:color w:val="auto"/>
        </w:rPr>
      </w:pPr>
      <w:r>
        <w:rPr>
          <w:rFonts w:ascii="Times New Roman" w:cs="Times New Roman" w:eastAsia="Times New Roman" w:hAnsi="Times New Roman"/>
          <w:sz w:val="16"/>
          <w:szCs w:val="16"/>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125" w:lineRule="exact"/>
        <w:rPr>
          <w:sz w:val="20"/>
          <w:szCs w:val="20"/>
          <w:color w:val="auto"/>
        </w:rPr>
      </w:pPr>
    </w:p>
    <w:p>
      <w:pPr>
        <w:jc w:val="both"/>
        <w:ind w:left="40" w:right="259" w:firstLine="325"/>
        <w:spacing w:after="0" w:line="259" w:lineRule="auto"/>
        <w:rPr>
          <w:sz w:val="20"/>
          <w:szCs w:val="20"/>
          <w:color w:val="auto"/>
        </w:rPr>
      </w:pPr>
      <w:r>
        <w:rPr>
          <w:rFonts w:ascii="Times New Roman" w:cs="Times New Roman" w:eastAsia="Times New Roman" w:hAnsi="Times New Roman"/>
          <w:sz w:val="16"/>
          <w:szCs w:val="16"/>
          <w:color w:val="231F20"/>
        </w:rPr>
        <w:t>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w:t>
      </w:r>
    </w:p>
    <w:p>
      <w:pPr>
        <w:spacing w:after="0" w:line="169" w:lineRule="exact"/>
        <w:rPr>
          <w:sz w:val="20"/>
          <w:szCs w:val="20"/>
          <w:color w:val="auto"/>
        </w:rPr>
      </w:pPr>
    </w:p>
    <w:p>
      <w:pPr>
        <w:jc w:val="both"/>
        <w:ind w:left="40" w:right="259"/>
        <w:spacing w:after="0" w:line="274" w:lineRule="auto"/>
        <w:rPr>
          <w:sz w:val="20"/>
          <w:szCs w:val="20"/>
          <w:color w:val="auto"/>
        </w:rPr>
      </w:pPr>
      <w:r>
        <w:rPr>
          <w:rFonts w:ascii="Times New Roman" w:cs="Times New Roman" w:eastAsia="Times New Roman" w:hAnsi="Times New Roman"/>
          <w:sz w:val="16"/>
          <w:szCs w:val="16"/>
          <w:color w:val="231F20"/>
        </w:rPr>
        <w:t>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68" w:lineRule="exact"/>
        <w:rPr>
          <w:sz w:val="20"/>
          <w:szCs w:val="20"/>
          <w:color w:val="auto"/>
        </w:rPr>
      </w:pPr>
    </w:p>
    <w:p>
      <w:pPr>
        <w:jc w:val="both"/>
        <w:ind w:left="40" w:right="259" w:firstLine="325"/>
        <w:spacing w:after="0" w:line="275" w:lineRule="auto"/>
        <w:rPr>
          <w:sz w:val="20"/>
          <w:szCs w:val="20"/>
          <w:color w:val="auto"/>
        </w:rPr>
      </w:pPr>
      <w:r>
        <w:rPr>
          <w:rFonts w:ascii="Times New Roman" w:cs="Times New Roman" w:eastAsia="Times New Roman" w:hAnsi="Times New Roman"/>
          <w:sz w:val="16"/>
          <w:szCs w:val="16"/>
          <w:color w:val="231F20"/>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81" w:name="page82"/>
    <w:bookmarkEnd w:id="8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40" w:right="259"/>
        <w:spacing w:after="0" w:line="311" w:lineRule="auto"/>
        <w:rPr>
          <w:sz w:val="20"/>
          <w:szCs w:val="20"/>
          <w:color w:val="auto"/>
        </w:rPr>
      </w:pPr>
      <w:r>
        <w:rPr>
          <w:rFonts w:ascii="Times New Roman" w:cs="Times New Roman" w:eastAsia="Times New Roman" w:hAnsi="Times New Roman"/>
          <w:sz w:val="16"/>
          <w:szCs w:val="16"/>
          <w:b w:val="1"/>
          <w:bCs w:val="1"/>
          <w:i w:val="1"/>
          <w:iCs w:val="1"/>
          <w:color w:val="231F20"/>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25" w:lineRule="exact"/>
        <w:rPr>
          <w:sz w:val="20"/>
          <w:szCs w:val="20"/>
          <w:color w:val="auto"/>
        </w:rPr>
      </w:pPr>
    </w:p>
    <w:p>
      <w:pPr>
        <w:jc w:val="both"/>
        <w:ind w:left="40" w:right="259" w:firstLine="325"/>
        <w:spacing w:after="0" w:line="272" w:lineRule="auto"/>
        <w:rPr>
          <w:sz w:val="20"/>
          <w:szCs w:val="20"/>
          <w:color w:val="auto"/>
        </w:rPr>
      </w:pPr>
      <w:r>
        <w:rPr>
          <w:rFonts w:ascii="Times New Roman" w:cs="Times New Roman" w:eastAsia="Times New Roman" w:hAnsi="Times New Roman"/>
          <w:sz w:val="16"/>
          <w:szCs w:val="16"/>
          <w:color w:val="231F20"/>
        </w:rPr>
        <w:t>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 candidates, which could adversely affect our business, financial condition, results of operations and prospects. Even if we are successful in defending against such claims, litigation could result in substantial costs and be a distraction to management.</w:t>
      </w:r>
    </w:p>
    <w:p>
      <w:pPr>
        <w:spacing w:after="0" w:line="171" w:lineRule="exact"/>
        <w:rPr>
          <w:sz w:val="20"/>
          <w:szCs w:val="20"/>
          <w:color w:val="auto"/>
        </w:rPr>
      </w:pPr>
    </w:p>
    <w:p>
      <w:pPr>
        <w:jc w:val="both"/>
        <w:ind w:left="40" w:right="259" w:firstLine="325"/>
        <w:spacing w:after="0" w:line="273" w:lineRule="auto"/>
        <w:rPr>
          <w:sz w:val="20"/>
          <w:szCs w:val="20"/>
          <w:color w:val="auto"/>
        </w:rPr>
      </w:pPr>
      <w:r>
        <w:rPr>
          <w:rFonts w:ascii="Times New Roman" w:cs="Times New Roman" w:eastAsia="Times New Roman" w:hAnsi="Times New Roman"/>
          <w:sz w:val="16"/>
          <w:szCs w:val="16"/>
          <w:color w:val="231F20"/>
        </w:rPr>
        <w:t>In addition, former employees, consultants or other third parties may assert an ownership right in our owned or licensed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product candidates. Such challenges may also result in our inability to develop, manufacture or commercialize our product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product candidates. Any of the foregoing could adversely affect our business, financial condition, results of operations and prospects.</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231F20"/>
        </w:rPr>
        <w:t>Risks Related to Government Regulation</w:t>
      </w:r>
    </w:p>
    <w:p>
      <w:pPr>
        <w:spacing w:after="0" w:line="144" w:lineRule="exact"/>
        <w:rPr>
          <w:sz w:val="20"/>
          <w:szCs w:val="20"/>
          <w:color w:val="auto"/>
        </w:rPr>
      </w:pPr>
    </w:p>
    <w:p>
      <w:pPr>
        <w:jc w:val="both"/>
        <w:ind w:left="40" w:right="259"/>
        <w:spacing w:after="0" w:line="273" w:lineRule="auto"/>
        <w:rPr>
          <w:sz w:val="20"/>
          <w:szCs w:val="20"/>
          <w:color w:val="auto"/>
        </w:rPr>
      </w:pPr>
      <w:r>
        <w:rPr>
          <w:rFonts w:ascii="Times New Roman" w:cs="Times New Roman" w:eastAsia="Times New Roman" w:hAnsi="Times New Roman"/>
          <w:sz w:val="16"/>
          <w:szCs w:val="16"/>
          <w:b w:val="1"/>
          <w:bCs w:val="1"/>
          <w:i w:val="1"/>
          <w:iCs w:val="1"/>
          <w:color w:val="231F20"/>
        </w:rPr>
        <w:t>The regulatory approval process is highly uncertain, and we may be unable to obtain, or may be delayed in obtaining, U.S. or foreign regulatory approval and, as a result, unable to commercialize our product candidates or any future product candidates. Even if we believe our current, or planned clinical trials are successful, regulatory authorities may not agree that they provide adequate data on safety or efficacy.</w:t>
      </w:r>
    </w:p>
    <w:p>
      <w:pPr>
        <w:spacing w:after="0" w:line="155" w:lineRule="exact"/>
        <w:rPr>
          <w:sz w:val="20"/>
          <w:szCs w:val="20"/>
          <w:color w:val="auto"/>
        </w:rPr>
      </w:pPr>
    </w:p>
    <w:p>
      <w:pPr>
        <w:jc w:val="both"/>
        <w:ind w:left="40" w:right="259" w:firstLine="325"/>
        <w:spacing w:after="0" w:line="276" w:lineRule="auto"/>
        <w:rPr>
          <w:sz w:val="20"/>
          <w:szCs w:val="20"/>
          <w:color w:val="auto"/>
        </w:rPr>
      </w:pPr>
      <w:r>
        <w:rPr>
          <w:rFonts w:ascii="Times New Roman" w:cs="Times New Roman" w:eastAsia="Times New Roman" w:hAnsi="Times New Roman"/>
          <w:sz w:val="16"/>
          <w:szCs w:val="16"/>
          <w:color w:val="231F20"/>
        </w:rPr>
        <w:t>Our product candidates and any future product candidates are subject to extensive governmental regulations relating to, among other things, research, testing, development, manufacturing, approval, recordkeeping, reporting, labeling, storage, packaging, advertising and promotion, pricing, post-approval monitoring, marketing and distribution of products. Rigorous preclinical studies and clinical trials and an extensive regulatory approval process are required to be completed successfully in the United States and in many foreign jurisdictions before a new product can be marketed. Satisfaction of these and other regulatory requirements is costly, time consuming, uncertain and subject to unanticipated delays. It is possible that none of our product candidates will obtain the regulatory approvals necessary for us to begin selling them.</w:t>
      </w:r>
    </w:p>
    <w:p>
      <w:pPr>
        <w:spacing w:after="0" w:line="154" w:lineRule="exact"/>
        <w:rPr>
          <w:sz w:val="20"/>
          <w:szCs w:val="20"/>
          <w:color w:val="auto"/>
        </w:rPr>
      </w:pPr>
    </w:p>
    <w:p>
      <w:pPr>
        <w:jc w:val="both"/>
        <w:ind w:left="40" w:right="239" w:firstLine="325"/>
        <w:spacing w:after="0" w:line="276" w:lineRule="auto"/>
        <w:rPr>
          <w:sz w:val="20"/>
          <w:szCs w:val="20"/>
          <w:color w:val="auto"/>
        </w:rPr>
      </w:pPr>
      <w:r>
        <w:rPr>
          <w:rFonts w:ascii="Times New Roman" w:cs="Times New Roman" w:eastAsia="Times New Roman" w:hAnsi="Times New Roman"/>
          <w:sz w:val="16"/>
          <w:szCs w:val="16"/>
          <w:color w:val="231F20"/>
        </w:rPr>
        <w:t>Our company has no prior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comparable foreign regulatory authorities use when regulating us require judgment and can change, which makes it difficult to predict with certainty their application. Any analysis we perform of data from preclinical studies and clinical trials is subject to confirmation and interpretation by regulatory authorities, which could delay, limit or prevent regulatory approval. We may also encounter unexpected delays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82" w:name="page83"/>
    <w:bookmarkEnd w:id="8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spacing w:after="0" w:line="277" w:lineRule="auto"/>
        <w:rPr>
          <w:sz w:val="20"/>
          <w:szCs w:val="20"/>
          <w:color w:val="auto"/>
        </w:rPr>
      </w:pPr>
      <w:r>
        <w:rPr>
          <w:rFonts w:ascii="Times New Roman" w:cs="Times New Roman" w:eastAsia="Times New Roman" w:hAnsi="Times New Roman"/>
          <w:sz w:val="16"/>
          <w:szCs w:val="16"/>
          <w:color w:val="231F20"/>
        </w:rPr>
        <w:t>or increased costs due to new government regulations, for example, from future legislation or administrative action, or from changes in FDA policy during the period of product development, clinical trials and FDA regulatory review. It is impossible to predict whether additional legislative changes will be enacted, or whether FDA or foreign regulations, guidance or interpretations will be changed, or the impact of such changes, if any. Any elongation or de-prioritization of preclinical studies or clinical trials or delay in regulatory review resulting from such disruptions could materially affect the development and study of obexelimab or any of our other product candidates or any future product candidates.</w:t>
      </w:r>
    </w:p>
    <w:p>
      <w:pPr>
        <w:spacing w:after="0" w:line="166" w:lineRule="exact"/>
        <w:rPr>
          <w:sz w:val="20"/>
          <w:szCs w:val="20"/>
          <w:color w:val="auto"/>
        </w:rPr>
      </w:pPr>
    </w:p>
    <w:p>
      <w:pPr>
        <w:jc w:val="both"/>
        <w:ind w:left="40" w:right="259" w:firstLine="325"/>
        <w:spacing w:after="0" w:line="277" w:lineRule="auto"/>
        <w:rPr>
          <w:sz w:val="20"/>
          <w:szCs w:val="20"/>
          <w:color w:val="auto"/>
        </w:rPr>
      </w:pPr>
      <w:r>
        <w:rPr>
          <w:rFonts w:ascii="Times New Roman" w:cs="Times New Roman" w:eastAsia="Times New Roman" w:hAnsi="Times New Roman"/>
          <w:sz w:val="16"/>
          <w:szCs w:val="16"/>
          <w:color w:val="231F20"/>
        </w:rPr>
        <w:t>Further, the FDA and its foreign counterparts may respond to any BLA that we may submit by requesting additional data or studies that we do not anticipate. Such responses could delay clinical development of our product candidates or any future product candidates. The FDA also may consider its approvals of competing products, which may alter the treatment landscape, and which may lead to changes in the FDA’s review requirements that have been previously communicated to us and our interpretation thereof, including changes to requirements for clinical data or clinical trial design. Such changes could delay approval or necessitate withdrawal of our BLA submissions.</w:t>
      </w:r>
    </w:p>
    <w:p>
      <w:pPr>
        <w:spacing w:after="0" w:line="166" w:lineRule="exact"/>
        <w:rPr>
          <w:sz w:val="20"/>
          <w:szCs w:val="20"/>
          <w:color w:val="auto"/>
        </w:rPr>
      </w:pPr>
    </w:p>
    <w:p>
      <w:pPr>
        <w:jc w:val="both"/>
        <w:ind w:left="40" w:right="259" w:firstLine="325"/>
        <w:spacing w:after="0" w:line="280" w:lineRule="auto"/>
        <w:rPr>
          <w:sz w:val="20"/>
          <w:szCs w:val="20"/>
          <w:color w:val="auto"/>
        </w:rPr>
      </w:pPr>
      <w:r>
        <w:rPr>
          <w:rFonts w:ascii="Times New Roman" w:cs="Times New Roman" w:eastAsia="Times New Roman" w:hAnsi="Times New Roman"/>
          <w:sz w:val="16"/>
          <w:szCs w:val="16"/>
          <w:color w:val="231F20"/>
        </w:rPr>
        <w:t>Any delay or failure in obtaining required approvals would adversely affect our ability to generate revenue from the particular product candidate for which we are seeking approval. Furthermore, any regulatory approval to market a product may be subject to limitations on the approved uses for which we may market the product or on the labeling or other restrictions.</w:t>
      </w:r>
    </w:p>
    <w:p>
      <w:pPr>
        <w:spacing w:after="0" w:line="162" w:lineRule="exact"/>
        <w:rPr>
          <w:sz w:val="20"/>
          <w:szCs w:val="20"/>
          <w:color w:val="auto"/>
        </w:rPr>
      </w:pPr>
    </w:p>
    <w:p>
      <w:pPr>
        <w:jc w:val="both"/>
        <w:ind w:left="40" w:right="259" w:firstLine="325"/>
        <w:spacing w:after="0" w:line="276" w:lineRule="auto"/>
        <w:rPr>
          <w:sz w:val="20"/>
          <w:szCs w:val="20"/>
          <w:color w:val="auto"/>
        </w:rPr>
      </w:pPr>
      <w:r>
        <w:rPr>
          <w:rFonts w:ascii="Times New Roman" w:cs="Times New Roman" w:eastAsia="Times New Roman" w:hAnsi="Times New Roman"/>
          <w:sz w:val="16"/>
          <w:szCs w:val="16"/>
          <w:color w:val="231F20"/>
        </w:rPr>
        <w:t>We also are subject to or may in the future become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may differ from that required to obtain FDA approval. FDA approval does not ensure approval by regulatory authorities outside the United States and vice versa. Any delay or failure to obtain U.S. or foreign regulatory approval for a product candidate could have a material and adverse effect on our business, financial condition, results of operations and prospects.</w:t>
      </w:r>
    </w:p>
    <w:p>
      <w:pPr>
        <w:spacing w:after="0" w:line="163" w:lineRule="exact"/>
        <w:rPr>
          <w:sz w:val="20"/>
          <w:szCs w:val="20"/>
          <w:color w:val="auto"/>
        </w:rPr>
      </w:pPr>
    </w:p>
    <w:p>
      <w:pPr>
        <w:jc w:val="both"/>
        <w:ind w:left="40" w:right="259"/>
        <w:spacing w:after="0" w:line="268" w:lineRule="auto"/>
        <w:rPr>
          <w:sz w:val="20"/>
          <w:szCs w:val="20"/>
          <w:color w:val="auto"/>
        </w:rPr>
      </w:pPr>
      <w:r>
        <w:rPr>
          <w:rFonts w:ascii="Times New Roman" w:cs="Times New Roman" w:eastAsia="Times New Roman" w:hAnsi="Times New Roman"/>
          <w:sz w:val="16"/>
          <w:szCs w:val="16"/>
          <w:b w:val="1"/>
          <w:bCs w:val="1"/>
          <w:i w:val="1"/>
          <w:iCs w:val="1"/>
          <w:color w:val="231F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We may also be subject to penalties if we fail to comply with regulatory requirements or experience unanticipated problems with our product candidates.</w:t>
      </w:r>
    </w:p>
    <w:p>
      <w:pPr>
        <w:spacing w:after="0" w:line="171" w:lineRule="exact"/>
        <w:rPr>
          <w:sz w:val="20"/>
          <w:szCs w:val="20"/>
          <w:color w:val="auto"/>
        </w:rPr>
      </w:pPr>
    </w:p>
    <w:p>
      <w:pPr>
        <w:jc w:val="both"/>
        <w:ind w:left="40" w:right="259" w:firstLine="325"/>
        <w:spacing w:after="0" w:line="272" w:lineRule="auto"/>
        <w:rPr>
          <w:sz w:val="20"/>
          <w:szCs w:val="20"/>
          <w:color w:val="auto"/>
        </w:rPr>
      </w:pPr>
      <w:r>
        <w:rPr>
          <w:rFonts w:ascii="Times New Roman" w:cs="Times New Roman" w:eastAsia="Times New Roman" w:hAnsi="Times New Roman"/>
          <w:sz w:val="16"/>
          <w:szCs w:val="16"/>
          <w:color w:val="231F20"/>
        </w:rPr>
        <w:t>Any regulatory approvals that we or our existing or future collaborators obtain for our product candidates may also be subject to limitations on the approved indicated uses for which a product may be marketed or to the conditions of approval, or contain requirements for potentially costly post-marketing testing and surveillance to monitor the safety and efficacy of the product candidate.</w:t>
      </w:r>
    </w:p>
    <w:p>
      <w:pPr>
        <w:spacing w:after="0" w:line="156" w:lineRule="exact"/>
        <w:rPr>
          <w:sz w:val="20"/>
          <w:szCs w:val="20"/>
          <w:color w:val="auto"/>
        </w:rPr>
      </w:pPr>
    </w:p>
    <w:p>
      <w:pPr>
        <w:jc w:val="both"/>
        <w:ind w:left="40" w:right="259" w:firstLine="325"/>
        <w:spacing w:after="0" w:line="258" w:lineRule="auto"/>
        <w:rPr>
          <w:sz w:val="20"/>
          <w:szCs w:val="20"/>
          <w:color w:val="auto"/>
        </w:rPr>
      </w:pPr>
      <w:r>
        <w:rPr>
          <w:rFonts w:ascii="Times New Roman" w:cs="Times New Roman" w:eastAsia="Times New Roman" w:hAnsi="Times New Roman"/>
          <w:sz w:val="16"/>
          <w:szCs w:val="16"/>
          <w:color w:val="231F20"/>
        </w:rPr>
        <w:t>In addition, if the FDA or a comparable foreign regulatory authority approves any of our product candidates, the manufacturing processes, labeling, packaging, distribution, post-approval monitoring and adverse event reporting, storage, import, export, advertising, promotion and recordkeeping for the product will be subject to extensive and ongoing regulatory requirements.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The manufacturing facilities we use to make a future product, if any, will also be subject to periodic review and inspection by the FDA and other regulatory authorities, including for continued compliance with cGMPs. The discovery of any new or previously unknown problems with our third-party manufacturers, manufacturing processes or facilities may result in restrictions on the product, manufacturer or facility, including withdrawal of the product from the market. We will not have complete control over compliance with applicable rules and regulations by such manufacturers.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7309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83" w:name="page84"/>
    <w:bookmarkEnd w:id="8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firstLine="325"/>
        <w:spacing w:after="0" w:line="258" w:lineRule="auto"/>
        <w:rPr>
          <w:sz w:val="20"/>
          <w:szCs w:val="20"/>
          <w:color w:val="auto"/>
        </w:rPr>
      </w:pPr>
      <w:r>
        <w:rPr>
          <w:rFonts w:ascii="Times New Roman" w:cs="Times New Roman" w:eastAsia="Times New Roman" w:hAnsi="Times New Roman"/>
          <w:sz w:val="16"/>
          <w:szCs w:val="16"/>
          <w:color w:val="231F20"/>
        </w:rPr>
        <w:t>Any product promotion and advertising will also be subject to regulatory requirements and continuing regulatory review. The FDA imposes stringent restrictions on manufacturers’ communications regarding use of their products. Although clinicians may prescribe products for off-label uses as the FDA and other regulatory authorities do not regulate a physician’s choice of drug treatment made in the physician’s independent medical judgment, they do restrict promotional communications from companies or their sales force with respect to off-label uses of products. If we promote our products in a manner inconsistent with FDA-approved labeling or otherwise not in compliance with FDA regulations, we may be subject to enforcement action. The failure by us or our collaborators to comply with applicable regulatory requirements in the United States or foreign jurisdictions in which we seek to market our product candidates may result in, among other things, fines, warning or untitled letters, holds on clinical trials, delay of approval or refusal by the FDA or comparable foreign regulatory authorities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168" w:lineRule="exact"/>
        <w:rPr>
          <w:sz w:val="20"/>
          <w:szCs w:val="20"/>
          <w:color w:val="auto"/>
        </w:rPr>
      </w:pPr>
    </w:p>
    <w:p>
      <w:pPr>
        <w:jc w:val="both"/>
        <w:ind w:left="40" w:right="239" w:firstLine="325"/>
        <w:spacing w:after="0" w:line="266" w:lineRule="auto"/>
        <w:rPr>
          <w:sz w:val="20"/>
          <w:szCs w:val="20"/>
          <w:color w:val="auto"/>
        </w:rPr>
      </w:pPr>
      <w:r>
        <w:rPr>
          <w:rFonts w:ascii="Times New Roman" w:cs="Times New Roman" w:eastAsia="Times New Roman" w:hAnsi="Times New Roman"/>
          <w:sz w:val="16"/>
          <w:szCs w:val="16"/>
          <w:color w:val="231F20"/>
        </w:rPr>
        <w:t>We also cannot predict the likelihood, nature or extent of government regulation that may arise from future legislation or administrative or executive action, either in the United States or abroad. Changes in FDA staffing could result in delays in the FDA’s responsiveness or in its ability to review submissions or applications, issue regulations or guidance, or implement or enforce regulatory requirements in a timely fashion or at all.</w:t>
      </w:r>
    </w:p>
    <w:p>
      <w:pPr>
        <w:spacing w:after="0" w:line="157" w:lineRule="exact"/>
        <w:rPr>
          <w:sz w:val="20"/>
          <w:szCs w:val="20"/>
          <w:color w:val="auto"/>
        </w:rPr>
      </w:pPr>
    </w:p>
    <w:p>
      <w:pPr>
        <w:jc w:val="both"/>
        <w:ind w:left="40" w:right="259"/>
        <w:spacing w:after="0" w:line="273" w:lineRule="auto"/>
        <w:rPr>
          <w:sz w:val="20"/>
          <w:szCs w:val="20"/>
          <w:color w:val="auto"/>
        </w:rPr>
      </w:pPr>
      <w:r>
        <w:rPr>
          <w:rFonts w:ascii="Times New Roman" w:cs="Times New Roman" w:eastAsia="Times New Roman" w:hAnsi="Times New Roman"/>
          <w:sz w:val="16"/>
          <w:szCs w:val="16"/>
          <w:b w:val="1"/>
          <w:bCs w:val="1"/>
          <w:i w:val="1"/>
          <w:iCs w:val="1"/>
          <w:color w:val="231F20"/>
        </w:rPr>
        <w:t>Disruptions at the FDA or comparable foreign regulatory authorities caused by funding shortages or global health concerns could hinder their ability to hire, retain or deploy key leadership and other personnel, or otherwise prevent new products from being developed, approved or commercialized in a timely manner or otherwise prevent those authorities from performing normal business functions on which the operation of our business may rely, which could negatively impact our business.</w:t>
      </w:r>
    </w:p>
    <w:p>
      <w:pPr>
        <w:spacing w:after="0" w:line="155" w:lineRule="exact"/>
        <w:rPr>
          <w:sz w:val="20"/>
          <w:szCs w:val="20"/>
          <w:color w:val="auto"/>
        </w:rPr>
      </w:pPr>
    </w:p>
    <w:p>
      <w:pPr>
        <w:jc w:val="both"/>
        <w:ind w:left="40" w:right="259" w:firstLine="325"/>
        <w:spacing w:after="0" w:line="259" w:lineRule="auto"/>
        <w:rPr>
          <w:sz w:val="20"/>
          <w:szCs w:val="20"/>
          <w:color w:val="auto"/>
        </w:rPr>
      </w:pPr>
      <w:r>
        <w:rPr>
          <w:rFonts w:ascii="Times New Roman" w:cs="Times New Roman" w:eastAsia="Times New Roman" w:hAnsi="Times New Roman"/>
          <w:sz w:val="16"/>
          <w:szCs w:val="16"/>
          <w:color w:val="231F20"/>
        </w:rPr>
        <w:t>The ability of the FDA and comparable foreign regulatory authorities to review and approve new products is affected by a variety of factors, including government budget and funding levels, statutory, regulatory and policy changes, the ability to hire and retain key personnel and accept the payment of user fees, and other events that may otherwise affect the regulatory authority’s ability to perform routine functions. Average review times at the FDA and other regulatory authorities have fluctuated in recent years. In addition, government funding of other authorities and agencies that fund research and development activities is subject to the political process, which is inherently fluid and unpredictable. Disruptions at the FDA and other regulatory authorities may also slow the time necessary for new biologics or modifications to approved or licensed biologics to be reviewed and/or approved, which would adversely affect our business. For example, over the last several years, the U.S. government has shut down several times and certain regulatory authorities, such as the FDA, have had to furlough critical employees and stop critical activities.</w:t>
      </w:r>
    </w:p>
    <w:p>
      <w:pPr>
        <w:spacing w:after="0" w:line="166" w:lineRule="exact"/>
        <w:rPr>
          <w:sz w:val="20"/>
          <w:szCs w:val="20"/>
          <w:color w:val="auto"/>
        </w:rPr>
      </w:pPr>
    </w:p>
    <w:p>
      <w:pPr>
        <w:jc w:val="both"/>
        <w:ind w:left="40" w:right="259" w:firstLine="325"/>
        <w:spacing w:after="0" w:line="261" w:lineRule="auto"/>
        <w:rPr>
          <w:sz w:val="20"/>
          <w:szCs w:val="20"/>
          <w:color w:val="auto"/>
        </w:rPr>
      </w:pPr>
      <w:r>
        <w:rPr>
          <w:rFonts w:ascii="Times New Roman" w:cs="Times New Roman" w:eastAsia="Times New Roman" w:hAnsi="Times New Roman"/>
          <w:sz w:val="16"/>
          <w:szCs w:val="16"/>
          <w:color w:val="231F20"/>
        </w:rPr>
        <w:t>Separately, in response to the COVID-19 pandemic, the FDA postponed most inspections of domestic and foreign manufacturing facilities at various points. Even though the FDA has since resumed standard inspection operations of domestic facilities where feasible, future pandemics may lead to similar inspectional delays. If any future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62" w:lineRule="exact"/>
        <w:rPr>
          <w:sz w:val="20"/>
          <w:szCs w:val="20"/>
          <w:color w:val="auto"/>
        </w:rPr>
      </w:pPr>
    </w:p>
    <w:p>
      <w:pPr>
        <w:jc w:val="both"/>
        <w:ind w:left="40" w:right="259"/>
        <w:spacing w:after="0" w:line="295" w:lineRule="auto"/>
        <w:rPr>
          <w:sz w:val="20"/>
          <w:szCs w:val="20"/>
          <w:color w:val="auto"/>
        </w:rPr>
      </w:pPr>
      <w:r>
        <w:rPr>
          <w:rFonts w:ascii="Times New Roman" w:cs="Times New Roman" w:eastAsia="Times New Roman" w:hAnsi="Times New Roman"/>
          <w:sz w:val="16"/>
          <w:szCs w:val="16"/>
          <w:b w:val="1"/>
          <w:bCs w:val="1"/>
          <w:i w:val="1"/>
          <w:iCs w:val="1"/>
          <w:color w:val="231F20"/>
        </w:rPr>
        <w:t>Recently enacted legislation, future legislation and other healthcare reform measures may increase the difficulty and cost for us to obtain marketing approval for and commercialize our product candidates and may affect the prices we may set.</w:t>
      </w:r>
    </w:p>
    <w:p>
      <w:pPr>
        <w:spacing w:after="0" w:line="138" w:lineRule="exact"/>
        <w:rPr>
          <w:sz w:val="20"/>
          <w:szCs w:val="20"/>
          <w:color w:val="auto"/>
        </w:rPr>
      </w:pPr>
    </w:p>
    <w:p>
      <w:pPr>
        <w:jc w:val="both"/>
        <w:ind w:left="40" w:right="259" w:firstLine="325"/>
        <w:spacing w:after="0" w:line="266" w:lineRule="auto"/>
        <w:rPr>
          <w:sz w:val="20"/>
          <w:szCs w:val="20"/>
          <w:color w:val="auto"/>
        </w:rPr>
      </w:pPr>
      <w:r>
        <w:rPr>
          <w:rFonts w:ascii="Times New Roman" w:cs="Times New Roman" w:eastAsia="Times New Roman" w:hAnsi="Times New Roman"/>
          <w:sz w:val="16"/>
          <w:szCs w:val="16"/>
          <w:color w:val="231F20"/>
        </w:rPr>
        <w:t>In the United States and some foreign jurisdictions, there have been, and we expect there will continue to be, a number of legislative and regulatory changes to the delivery of, and payment for, healthcare services, including cost-containment measures that may limit coverage and reimbursement for newly approved drugs and affect our ability to profitably sell any product candidates for which we obtain marketing approval. In particular, there have been and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84" w:name="page85"/>
    <w:bookmarkEnd w:id="8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spacing w:after="0" w:line="289" w:lineRule="auto"/>
        <w:rPr>
          <w:sz w:val="20"/>
          <w:szCs w:val="20"/>
          <w:color w:val="auto"/>
        </w:rPr>
      </w:pPr>
      <w:r>
        <w:rPr>
          <w:rFonts w:ascii="Times New Roman" w:cs="Times New Roman" w:eastAsia="Times New Roman" w:hAnsi="Times New Roman"/>
          <w:sz w:val="16"/>
          <w:szCs w:val="16"/>
          <w:color w:val="231F20"/>
        </w:rPr>
        <w:t>continue to be a number of initiatives at the U.S. federal and state levels that seek to reduce healthcare costs and improve the quality of healthcare. See also “Business—Government Regulation-Healthcare Reform.”</w:t>
      </w:r>
    </w:p>
    <w:p>
      <w:pPr>
        <w:spacing w:after="0" w:line="143" w:lineRule="exact"/>
        <w:rPr>
          <w:sz w:val="20"/>
          <w:szCs w:val="20"/>
          <w:color w:val="auto"/>
        </w:rPr>
      </w:pPr>
    </w:p>
    <w:p>
      <w:pPr>
        <w:jc w:val="both"/>
        <w:ind w:left="40" w:right="259" w:firstLine="325"/>
        <w:spacing w:after="0" w:line="264" w:lineRule="auto"/>
        <w:rPr>
          <w:sz w:val="20"/>
          <w:szCs w:val="20"/>
          <w:color w:val="auto"/>
        </w:rPr>
      </w:pPr>
      <w:r>
        <w:rPr>
          <w:rFonts w:ascii="Times New Roman" w:cs="Times New Roman" w:eastAsia="Times New Roman" w:hAnsi="Times New Roman"/>
          <w:sz w:val="16"/>
          <w:szCs w:val="16"/>
          <w:color w:val="231F20"/>
        </w:rPr>
        <w:t>For example, in March 2010, the ACA was enacted in the United States, which substantially changed the way healthcare is financed by both governmental and private insurers in the United States and significantly affected the pharmaceutical industry. Since its enactment, there have been judicial, congressional, and executive branch challenges to the ACA. For example, tax reform legislation was enacted that eliminated the tax penalty established by ACA for individuals who do not maintain mandated health insurance coverage beginning in 2019 and, in 2021, the U.S. Supreme Court dismissed the latest judicial challenge to the ACA brought by several states without specifically ruling on the constitutionality of the ACA.</w:t>
      </w:r>
    </w:p>
    <w:p>
      <w:pPr>
        <w:spacing w:after="0" w:line="165" w:lineRule="exact"/>
        <w:rPr>
          <w:sz w:val="20"/>
          <w:szCs w:val="20"/>
          <w:color w:val="auto"/>
        </w:rPr>
      </w:pPr>
    </w:p>
    <w:p>
      <w:pPr>
        <w:jc w:val="both"/>
        <w:ind w:left="40" w:right="259" w:firstLine="325"/>
        <w:spacing w:after="0" w:line="264" w:lineRule="auto"/>
        <w:rPr>
          <w:sz w:val="20"/>
          <w:szCs w:val="20"/>
          <w:color w:val="auto"/>
        </w:rPr>
      </w:pPr>
      <w:r>
        <w:rPr>
          <w:rFonts w:ascii="Times New Roman" w:cs="Times New Roman" w:eastAsia="Times New Roman" w:hAnsi="Times New Roman"/>
          <w:sz w:val="16"/>
          <w:szCs w:val="16"/>
          <w:color w:val="231F20"/>
        </w:rPr>
        <w:t>Beyond the ACA, there have been ongoing healthcare reform efforts, including under the Biden administration. Notably, the IRA includes a number of healthcare reform provisions, which have varying implementation dates. The IRA extends enhanced subsidies for individuals purchasing health insurance coverage in ACA marketplaces through plan year 2025; lowers the beneficiary maximum out-of-pocket cost; establishes a new manufacturer discount program; imposes new Medicare Part B and Part D drug price inflation rebates, and implements a drug price negotiation program for certain high spend Medicare Part B and D drugs. Such provisions have been and likely will continue to be subject to legal challenge.</w:t>
      </w:r>
    </w:p>
    <w:p>
      <w:pPr>
        <w:spacing w:after="0" w:line="165" w:lineRule="exact"/>
        <w:rPr>
          <w:sz w:val="20"/>
          <w:szCs w:val="20"/>
          <w:color w:val="auto"/>
        </w:rPr>
      </w:pPr>
    </w:p>
    <w:p>
      <w:pPr>
        <w:jc w:val="both"/>
        <w:ind w:left="40" w:right="259" w:firstLine="325"/>
        <w:spacing w:after="0" w:line="264" w:lineRule="auto"/>
        <w:rPr>
          <w:sz w:val="20"/>
          <w:szCs w:val="20"/>
          <w:color w:val="auto"/>
        </w:rPr>
      </w:pPr>
      <w:r>
        <w:rPr>
          <w:rFonts w:ascii="Times New Roman" w:cs="Times New Roman" w:eastAsia="Times New Roman" w:hAnsi="Times New Roman"/>
          <w:sz w:val="16"/>
          <w:szCs w:val="16"/>
          <w:color w:val="231F20"/>
        </w:rPr>
        <w:t>Further, there has been heightened governmental scrutiny in the United States of pharmaceutical pricing practices in light of the rising cost of prescription drugs. Such scrutiny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in addition to the IRA drug pricing reforms, federal legislation enacted in 2021 eliminates the statutory cap on Medicaid drug rebate program rebates (currently set at 100% of a drug’s “average manufacturer price”), which became effective January 1, 2024.</w:t>
      </w:r>
    </w:p>
    <w:p>
      <w:pPr>
        <w:spacing w:after="0" w:line="165" w:lineRule="exact"/>
        <w:rPr>
          <w:sz w:val="20"/>
          <w:szCs w:val="20"/>
          <w:color w:val="auto"/>
        </w:rPr>
      </w:pPr>
    </w:p>
    <w:p>
      <w:pPr>
        <w:jc w:val="both"/>
        <w:ind w:left="40" w:right="259" w:firstLine="325"/>
        <w:spacing w:after="0" w:line="258" w:lineRule="auto"/>
        <w:rPr>
          <w:sz w:val="20"/>
          <w:szCs w:val="20"/>
          <w:color w:val="auto"/>
        </w:rPr>
      </w:pPr>
      <w:r>
        <w:rPr>
          <w:rFonts w:ascii="Times New Roman" w:cs="Times New Roman" w:eastAsia="Times New Roman" w:hAnsi="Times New Roman"/>
          <w:sz w:val="16"/>
          <w:szCs w:val="16"/>
          <w:color w:val="231F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Legally mandated price controls on payment amounts by third-party payors or other restrictions could harm our business, financial condition, results of operations and prospects. In addition, hospitals and health systems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financial condition, results of operations and prospects.</w:t>
      </w:r>
    </w:p>
    <w:p>
      <w:pPr>
        <w:spacing w:after="0" w:line="175"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General legislative cost control measures may also affect reimbursement for our product candidates. The Budget Control Act, as amended, resulted in the imposition of reductions in Medicare (but not Medicaid) payments to providers in 2013 that remain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164" w:lineRule="exact"/>
        <w:rPr>
          <w:sz w:val="20"/>
          <w:szCs w:val="20"/>
          <w:color w:val="auto"/>
        </w:rPr>
      </w:pPr>
    </w:p>
    <w:p>
      <w:pPr>
        <w:jc w:val="both"/>
        <w:ind w:left="40" w:right="259" w:firstLine="325"/>
        <w:spacing w:after="0" w:line="266" w:lineRule="auto"/>
        <w:rPr>
          <w:sz w:val="20"/>
          <w:szCs w:val="20"/>
          <w:color w:val="auto"/>
        </w:rPr>
      </w:pPr>
      <w:r>
        <w:rPr>
          <w:rFonts w:ascii="Times New Roman" w:cs="Times New Roman" w:eastAsia="Times New Roman" w:hAnsi="Times New Roman"/>
          <w:sz w:val="16"/>
          <w:szCs w:val="16"/>
          <w:color w:val="231F20"/>
        </w:rPr>
        <w:t>We expect that current and any future healthcare or budget reform measures may result in more rigorous coverage criteria, new payment methodologies and additional downward pressure on the payment that we receive or price that we may charge for any approved product. The implementation of such reforms may prevent us from being able to generate revenue, attain profitability or commercialize our product candidates, if approved.</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85" w:name="page86"/>
    <w:bookmarkEnd w:id="8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40" w:right="259"/>
        <w:spacing w:after="0" w:line="311" w:lineRule="auto"/>
        <w:rPr>
          <w:sz w:val="20"/>
          <w:szCs w:val="20"/>
          <w:color w:val="auto"/>
        </w:rPr>
      </w:pPr>
      <w:r>
        <w:rPr>
          <w:rFonts w:ascii="Times New Roman" w:cs="Times New Roman" w:eastAsia="Times New Roman" w:hAnsi="Times New Roman"/>
          <w:sz w:val="16"/>
          <w:szCs w:val="16"/>
          <w:b w:val="1"/>
          <w:bCs w:val="1"/>
          <w:i w:val="1"/>
          <w:iCs w:val="1"/>
          <w:color w:val="231F20"/>
        </w:rPr>
        <w:t>If we fail to comply with healthcare and other regulations, we could face substantial penalties and our business, operations and financial condition could be adversely affected.</w:t>
      </w:r>
    </w:p>
    <w:p>
      <w:pPr>
        <w:spacing w:after="0" w:line="125" w:lineRule="exact"/>
        <w:rPr>
          <w:sz w:val="20"/>
          <w:szCs w:val="20"/>
          <w:color w:val="auto"/>
        </w:rPr>
      </w:pPr>
    </w:p>
    <w:p>
      <w:pPr>
        <w:jc w:val="both"/>
        <w:ind w:left="40" w:right="259" w:firstLine="325"/>
        <w:spacing w:after="0" w:line="266" w:lineRule="auto"/>
        <w:rPr>
          <w:sz w:val="20"/>
          <w:szCs w:val="20"/>
          <w:color w:val="auto"/>
        </w:rPr>
      </w:pPr>
      <w:r>
        <w:rPr>
          <w:rFonts w:ascii="Times New Roman" w:cs="Times New Roman" w:eastAsia="Times New Roman" w:hAnsi="Times New Roman"/>
          <w:sz w:val="16"/>
          <w:szCs w:val="16"/>
          <w:color w:val="231F20"/>
        </w:rPr>
        <w:t>The marketing of biopharmaceutical products and related arrangements with healthcare providers, third-party payors, patients and other third parties in the healthcare industry are subject to a wide range of federal and state healthcare laws and regulations that may constrain our business and/or financial arrangements. Restrictions under applicable federal and state healthcare laws and regulations, some of which will apply only if and when we receive marketing approval for a product candidate, include the following:</w:t>
      </w:r>
    </w:p>
    <w:p>
      <w:pPr>
        <w:spacing w:after="0" w:line="161" w:lineRule="exact"/>
        <w:rPr>
          <w:sz w:val="20"/>
          <w:szCs w:val="20"/>
          <w:color w:val="auto"/>
        </w:rPr>
      </w:pPr>
    </w:p>
    <w:p>
      <w:pPr>
        <w:jc w:val="both"/>
        <w:ind w:left="660" w:right="279" w:hanging="154"/>
        <w:spacing w:after="0" w:line="271" w:lineRule="auto"/>
        <w:tabs>
          <w:tab w:leader="none" w:pos="660" w:val="left"/>
        </w:tabs>
        <w:numPr>
          <w:ilvl w:val="0"/>
          <w:numId w:val="5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federal healthcare program anti-kickback law, which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w:t>
      </w:r>
    </w:p>
    <w:p>
      <w:pPr>
        <w:spacing w:after="0" w:line="72" w:lineRule="exact"/>
        <w:rPr>
          <w:rFonts w:ascii="Times New Roman" w:cs="Times New Roman" w:eastAsia="Times New Roman" w:hAnsi="Times New Roman"/>
          <w:sz w:val="16"/>
          <w:szCs w:val="16"/>
          <w:color w:val="231F20"/>
        </w:rPr>
      </w:pPr>
    </w:p>
    <w:p>
      <w:pPr>
        <w:jc w:val="both"/>
        <w:ind w:left="660" w:right="279" w:hanging="154"/>
        <w:spacing w:after="0" w:line="266" w:lineRule="auto"/>
        <w:tabs>
          <w:tab w:leader="none" w:pos="660" w:val="left"/>
        </w:tabs>
        <w:numPr>
          <w:ilvl w:val="0"/>
          <w:numId w:val="5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federal false claims, false statements and civil monetary penalties laws which prohibit, among other activities, any person from knowingly presenting, or causing to be presented, a false claim for payment of government funds or knowingly making, or causing to be made, a false statement to get a false claim paid and may be implicated if claims are submitted that result from a violation of the federal anti- kickback statute;</w:t>
      </w:r>
    </w:p>
    <w:p>
      <w:pPr>
        <w:spacing w:after="0" w:line="75" w:lineRule="exact"/>
        <w:rPr>
          <w:rFonts w:ascii="Times New Roman" w:cs="Times New Roman" w:eastAsia="Times New Roman" w:hAnsi="Times New Roman"/>
          <w:sz w:val="16"/>
          <w:szCs w:val="16"/>
          <w:color w:val="231F20"/>
        </w:rPr>
      </w:pPr>
    </w:p>
    <w:p>
      <w:pPr>
        <w:jc w:val="both"/>
        <w:ind w:left="660" w:right="279" w:hanging="154"/>
        <w:spacing w:after="0" w:line="272" w:lineRule="auto"/>
        <w:tabs>
          <w:tab w:leader="none" w:pos="660" w:val="left"/>
        </w:tabs>
        <w:numPr>
          <w:ilvl w:val="0"/>
          <w:numId w:val="5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federal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w:t>
      </w:r>
    </w:p>
    <w:p>
      <w:pPr>
        <w:spacing w:after="0" w:line="57"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5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federal Food, Drug, and Cosmetic Act (“FDCA”), which among other things, strictly regulates drug marketing, prohibits manufacturers from marketing such products for off-label use and regulates the distribution of samples;</w:t>
      </w:r>
    </w:p>
    <w:p>
      <w:pPr>
        <w:spacing w:after="0" w:line="45" w:lineRule="exact"/>
        <w:rPr>
          <w:rFonts w:ascii="Times New Roman" w:cs="Times New Roman" w:eastAsia="Times New Roman" w:hAnsi="Times New Roman"/>
          <w:sz w:val="16"/>
          <w:szCs w:val="16"/>
          <w:color w:val="231F20"/>
        </w:rPr>
      </w:pPr>
    </w:p>
    <w:p>
      <w:pPr>
        <w:jc w:val="both"/>
        <w:ind w:left="660" w:right="279" w:hanging="154"/>
        <w:spacing w:after="0" w:line="272" w:lineRule="auto"/>
        <w:tabs>
          <w:tab w:leader="none" w:pos="660" w:val="left"/>
        </w:tabs>
        <w:numPr>
          <w:ilvl w:val="0"/>
          <w:numId w:val="5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57" w:lineRule="exact"/>
        <w:rPr>
          <w:rFonts w:ascii="Times New Roman" w:cs="Times New Roman" w:eastAsia="Times New Roman" w:hAnsi="Times New Roman"/>
          <w:sz w:val="16"/>
          <w:szCs w:val="16"/>
          <w:color w:val="231F20"/>
        </w:rPr>
      </w:pPr>
    </w:p>
    <w:p>
      <w:pPr>
        <w:jc w:val="both"/>
        <w:ind w:left="660" w:right="279" w:hanging="154"/>
        <w:spacing w:after="0" w:line="266" w:lineRule="auto"/>
        <w:tabs>
          <w:tab w:leader="none" w:pos="660" w:val="left"/>
        </w:tabs>
        <w:numPr>
          <w:ilvl w:val="0"/>
          <w:numId w:val="5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so-called “federal sunshine” law, which requires pharmaceutical and medical device companies to monitor and report certain financial interactions with physicians, certain non-physician healthcare practitioners and teaching hospitals to the federal government, as well as certain ownership and investment interests held by these physicians and their immediate family members for re-disclosure to the public;</w:t>
      </w:r>
    </w:p>
    <w:p>
      <w:pPr>
        <w:spacing w:after="0" w:line="50"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5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U.S. Foreign Corrupt Practices Act of 1977, as amended, which prohibits, among other things,</w:t>
      </w:r>
    </w:p>
    <w:p>
      <w:pPr>
        <w:spacing w:after="0" w:line="17" w:lineRule="exact"/>
        <w:rPr>
          <w:rFonts w:ascii="Times New Roman" w:cs="Times New Roman" w:eastAsia="Times New Roman" w:hAnsi="Times New Roman"/>
          <w:sz w:val="16"/>
          <w:szCs w:val="16"/>
          <w:color w:val="231F20"/>
        </w:rPr>
      </w:pPr>
    </w:p>
    <w:p>
      <w:pPr>
        <w:jc w:val="both"/>
        <w:ind w:left="660" w:right="259"/>
        <w:spacing w:after="0" w:line="253" w:lineRule="auto"/>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158"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5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analogous state and foreign laws and regulations, such as state anti-bribery, anti-kickback and false claims laws, which may apply to healthcare items or services that are reimbursed by non-governmental third-party payors, including private insurers.</w:t>
      </w:r>
    </w:p>
    <w:p>
      <w:pPr>
        <w:spacing w:after="0" w:line="69" w:lineRule="exact"/>
        <w:rPr>
          <w:sz w:val="20"/>
          <w:szCs w:val="20"/>
          <w:color w:val="auto"/>
        </w:rPr>
      </w:pPr>
    </w:p>
    <w:p>
      <w:pPr>
        <w:jc w:val="both"/>
        <w:ind w:left="40" w:right="259" w:firstLine="325"/>
        <w:spacing w:after="0" w:line="256" w:lineRule="auto"/>
        <w:rPr>
          <w:sz w:val="20"/>
          <w:szCs w:val="20"/>
          <w:color w:val="auto"/>
        </w:rPr>
      </w:pPr>
      <w:r>
        <w:rPr>
          <w:rFonts w:ascii="Times New Roman" w:cs="Times New Roman" w:eastAsia="Times New Roman" w:hAnsi="Times New Roman"/>
          <w:sz w:val="16"/>
          <w:szCs w:val="16"/>
          <w:color w:val="231F20"/>
        </w:rPr>
        <w:t>Some state laws require pharmaceutical companies to comply with specific compliance standards, restrict financial interactions between pharmaceutical companies and healthcare providers or require pharmaceutical companies to report information related to payments to healthcare providers or marketing expenditures. Other state laws may require pharmaceutical companies to file reports relating to pricing and marketing information, and state and local laws may require registration of pharmaceutical sales representatives.</w:t>
      </w:r>
    </w:p>
    <w:p>
      <w:pPr>
        <w:spacing w:after="0" w:line="350" w:lineRule="exact"/>
        <w:rPr>
          <w:sz w:val="20"/>
          <w:szCs w:val="20"/>
          <w:color w:val="auto"/>
        </w:rPr>
      </w:pPr>
    </w:p>
    <w:p>
      <w:pPr>
        <w:jc w:val="both"/>
        <w:ind w:left="40" w:right="259" w:firstLine="325"/>
        <w:spacing w:after="0" w:line="259" w:lineRule="auto"/>
        <w:rPr>
          <w:sz w:val="20"/>
          <w:szCs w:val="20"/>
          <w:color w:val="auto"/>
        </w:rPr>
      </w:pPr>
      <w:r>
        <w:rPr>
          <w:rFonts w:ascii="Times New Roman" w:cs="Times New Roman" w:eastAsia="Times New Roman" w:hAnsi="Times New Roman"/>
          <w:sz w:val="16"/>
          <w:szCs w:val="16"/>
          <w:color w:val="231F20"/>
        </w:rPr>
        <w:t>Efforts to ensure that our business arrangements with third parties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86" w:name="page87"/>
    <w:bookmarkEnd w:id="8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spacing w:after="0" w:line="272" w:lineRule="auto"/>
        <w:rPr>
          <w:sz w:val="20"/>
          <w:szCs w:val="20"/>
          <w:color w:val="auto"/>
        </w:rPr>
      </w:pPr>
      <w:r>
        <w:rPr>
          <w:rFonts w:ascii="Times New Roman" w:cs="Times New Roman" w:eastAsia="Times New Roman" w:hAnsi="Times New Roman"/>
          <w:sz w:val="16"/>
          <w:szCs w:val="16"/>
          <w:color w:val="231F20"/>
        </w:rPr>
        <w:t>may be subject to penalties, including significant civil and criminal penalties, damages, fines, disgorgement, exclusion from participation in government healthcare programs, such as Medicare and Medicaid, imprisonment, and the curtailment or restructuring of our operations, any of which could adversely affect our business, financial condition, results of operations, and prospects.</w:t>
      </w:r>
    </w:p>
    <w:p>
      <w:pPr>
        <w:spacing w:after="0" w:line="141" w:lineRule="exact"/>
        <w:rPr>
          <w:sz w:val="20"/>
          <w:szCs w:val="20"/>
          <w:color w:val="auto"/>
        </w:rPr>
      </w:pPr>
    </w:p>
    <w:p>
      <w:pPr>
        <w:jc w:val="both"/>
        <w:ind w:left="40" w:right="259" w:firstLine="325"/>
        <w:spacing w:after="0" w:line="253" w:lineRule="auto"/>
        <w:rPr>
          <w:sz w:val="20"/>
          <w:szCs w:val="20"/>
          <w:color w:val="auto"/>
        </w:rPr>
      </w:pPr>
      <w:r>
        <w:rPr>
          <w:rFonts w:ascii="Times New Roman" w:cs="Times New Roman" w:eastAsia="Times New Roman" w:hAnsi="Times New Roman"/>
          <w:sz w:val="16"/>
          <w:szCs w:val="16"/>
          <w:color w:val="231F20"/>
        </w:rPr>
        <w:t xml:space="preserve">The U.S. Supreme Court’s June 2024 decision in </w:t>
      </w:r>
      <w:r>
        <w:rPr>
          <w:rFonts w:ascii="Times New Roman" w:cs="Times New Roman" w:eastAsia="Times New Roman" w:hAnsi="Times New Roman"/>
          <w:sz w:val="16"/>
          <w:szCs w:val="16"/>
          <w:i w:val="1"/>
          <w:iCs w:val="1"/>
          <w:color w:val="231F20"/>
        </w:rPr>
        <w:t>Loper Bright Enterprises v. Raimondo</w:t>
      </w:r>
      <w:r>
        <w:rPr>
          <w:rFonts w:ascii="Times New Roman" w:cs="Times New Roman" w:eastAsia="Times New Roman" w:hAnsi="Times New Roman"/>
          <w:sz w:val="16"/>
          <w:szCs w:val="16"/>
          <w:color w:val="231F20"/>
        </w:rPr>
        <w:t xml:space="preserve"> overturned the longstanding </w:t>
      </w:r>
      <w:r>
        <w:rPr>
          <w:rFonts w:ascii="Times New Roman" w:cs="Times New Roman" w:eastAsia="Times New Roman" w:hAnsi="Times New Roman"/>
          <w:sz w:val="16"/>
          <w:szCs w:val="16"/>
          <w:i w:val="1"/>
          <w:iCs w:val="1"/>
          <w:color w:val="231F20"/>
        </w:rPr>
        <w:t>Chevron</w:t>
      </w:r>
      <w:r>
        <w:rPr>
          <w:rFonts w:ascii="Times New Roman" w:cs="Times New Roman" w:eastAsia="Times New Roman" w:hAnsi="Times New Roman"/>
          <w:sz w:val="16"/>
          <w:szCs w:val="16"/>
          <w:color w:val="231F20"/>
        </w:rPr>
        <w:t xml:space="preserve"> doctrine, under which courts were required to give deference to regulatory agencies’ reasonable interpretations of ambiguous federal statutes. The </w:t>
      </w:r>
      <w:r>
        <w:rPr>
          <w:rFonts w:ascii="Times New Roman" w:cs="Times New Roman" w:eastAsia="Times New Roman" w:hAnsi="Times New Roman"/>
          <w:sz w:val="16"/>
          <w:szCs w:val="16"/>
          <w:i w:val="1"/>
          <w:iCs w:val="1"/>
          <w:color w:val="231F20"/>
        </w:rPr>
        <w:t>Loper</w:t>
      </w:r>
      <w:r>
        <w:rPr>
          <w:rFonts w:ascii="Times New Roman" w:cs="Times New Roman" w:eastAsia="Times New Roman" w:hAnsi="Times New Roman"/>
          <w:sz w:val="16"/>
          <w:szCs w:val="16"/>
          <w:color w:val="231F20"/>
        </w:rPr>
        <w:t xml:space="preserve"> decision could result in additional legal challenges to regulations and guidance issued by federal agencies, including FDA and the Center for Medicare &amp; Medicaid Services, on which we rely. Any such legal challenges, if successful, could have a material impact on our business. Additionally, the </w:t>
      </w:r>
      <w:r>
        <w:rPr>
          <w:rFonts w:ascii="Times New Roman" w:cs="Times New Roman" w:eastAsia="Times New Roman" w:hAnsi="Times New Roman"/>
          <w:sz w:val="16"/>
          <w:szCs w:val="16"/>
          <w:i w:val="1"/>
          <w:iCs w:val="1"/>
          <w:color w:val="231F20"/>
        </w:rPr>
        <w:t>Loper</w:t>
      </w:r>
      <w:r>
        <w:rPr>
          <w:rFonts w:ascii="Times New Roman" w:cs="Times New Roman" w:eastAsia="Times New Roman" w:hAnsi="Times New Roman"/>
          <w:sz w:val="16"/>
          <w:szCs w:val="16"/>
          <w:color w:val="231F20"/>
        </w:rPr>
        <w:t xml:space="preserve">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231F20"/>
        </w:rPr>
        <w:t>Governments outside the United States tend to impose strict price controls, which may adversely affect our revenue, if any.</w:t>
      </w:r>
    </w:p>
    <w:p>
      <w:pPr>
        <w:spacing w:after="0" w:line="211" w:lineRule="exact"/>
        <w:rPr>
          <w:sz w:val="20"/>
          <w:szCs w:val="20"/>
          <w:color w:val="auto"/>
        </w:rPr>
      </w:pPr>
    </w:p>
    <w:p>
      <w:pPr>
        <w:jc w:val="both"/>
        <w:ind w:left="40" w:right="259" w:firstLine="325"/>
        <w:spacing w:after="0" w:line="255" w:lineRule="auto"/>
        <w:rPr>
          <w:sz w:val="20"/>
          <w:szCs w:val="20"/>
          <w:color w:val="auto"/>
        </w:rPr>
      </w:pPr>
      <w:r>
        <w:rPr>
          <w:rFonts w:ascii="Times New Roman" w:cs="Times New Roman" w:eastAsia="Times New Roman" w:hAnsi="Times New Roman"/>
          <w:sz w:val="16"/>
          <w:szCs w:val="16"/>
          <w:color w:val="231F20"/>
        </w:rPr>
        <w:t>In some countries, particularly in the EU,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may be required to conduct a clinical trial that compares the cost-effectiveness of our product candidate to other available therapies. In addition, many countries outside the U.S. have limited government support programs that provide for reimbursement of drugs such as our product candidates, with an emphasis on private payors for access to commercial products. If reimbursement of our products, if approved, is unavailable or limited in scope or amount, or if pricing is set at unsatisfactory levels, our business could be materially harmed.</w:t>
      </w:r>
    </w:p>
    <w:p>
      <w:pPr>
        <w:spacing w:after="0" w:line="165" w:lineRule="exact"/>
        <w:rPr>
          <w:sz w:val="20"/>
          <w:szCs w:val="20"/>
          <w:color w:val="auto"/>
        </w:rPr>
      </w:pPr>
    </w:p>
    <w:p>
      <w:pPr>
        <w:jc w:val="both"/>
        <w:ind w:left="40" w:right="259"/>
        <w:spacing w:after="0" w:line="268" w:lineRule="auto"/>
        <w:rPr>
          <w:sz w:val="20"/>
          <w:szCs w:val="20"/>
          <w:color w:val="auto"/>
        </w:rPr>
      </w:pPr>
      <w:r>
        <w:rPr>
          <w:rFonts w:ascii="Times New Roman" w:cs="Times New Roman" w:eastAsia="Times New Roman" w:hAnsi="Times New Roman"/>
          <w:sz w:val="16"/>
          <w:szCs w:val="16"/>
          <w:b w:val="1"/>
          <w:bCs w:val="1"/>
          <w:i w:val="1"/>
          <w:iCs w:val="1"/>
          <w:color w:val="231F20"/>
        </w:rPr>
        <w:t>We are subject to stringent and evolving U.S. and foreign laws, regulations, rules, contractual obligations, and policies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171" w:lineRule="exact"/>
        <w:rPr>
          <w:sz w:val="20"/>
          <w:szCs w:val="20"/>
          <w:color w:val="auto"/>
        </w:rPr>
      </w:pPr>
    </w:p>
    <w:p>
      <w:pPr>
        <w:jc w:val="both"/>
        <w:ind w:left="40" w:right="259" w:firstLine="325"/>
        <w:spacing w:after="0" w:line="261" w:lineRule="auto"/>
        <w:rPr>
          <w:sz w:val="20"/>
          <w:szCs w:val="20"/>
          <w:color w:val="auto"/>
        </w:rPr>
      </w:pPr>
      <w:r>
        <w:rPr>
          <w:rFonts w:ascii="Times New Roman" w:cs="Times New Roman" w:eastAsia="Times New Roman" w:hAnsi="Times New Roman"/>
          <w:sz w:val="16"/>
          <w:szCs w:val="16"/>
          <w:color w:val="231F20"/>
        </w:rPr>
        <w:t>In the ordinary course of business, we collect, receive, store, process, generate, use, transfer, disclose, make accessible, protect, secure, dispose of, transmit, and share (collectively, process or processing) personal data and other sensitive information, including proprietary and confidential business data, trade secrets, employee data, intellectual property, data we collect about trial participants in connection with clinical trials, and other sensitive third-party data (collectively,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66" w:lineRule="exact"/>
        <w:rPr>
          <w:sz w:val="20"/>
          <w:szCs w:val="20"/>
          <w:color w:val="auto"/>
        </w:rPr>
      </w:pPr>
    </w:p>
    <w:p>
      <w:pPr>
        <w:jc w:val="both"/>
        <w:ind w:left="40" w:right="239" w:firstLine="325"/>
        <w:spacing w:after="0" w:line="259" w:lineRule="auto"/>
        <w:rPr>
          <w:sz w:val="20"/>
          <w:szCs w:val="20"/>
          <w:color w:val="auto"/>
        </w:rPr>
      </w:pPr>
      <w:r>
        <w:rPr>
          <w:rFonts w:ascii="Times New Roman" w:cs="Times New Roman" w:eastAsia="Times New Roman" w:hAnsi="Times New Roman"/>
          <w:sz w:val="16"/>
          <w:szCs w:val="16"/>
          <w:color w:val="231F20"/>
        </w:rPr>
        <w:t>Various federal, state, local and foreign legislative and regulatory bodies, or self-regulatory organizations, may expand current laws, rules or regulations, enact new laws, rules or regulations or issue revised rules or guidance regarding data privacy and security.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the Health Information Technology for Economic and Clinical Health Act (“HITECH”), imposes specific requirements relating to the privacy, security, and transmission of individually identifiable health information. Additionally, the California Consumer Privacy Act (“CCPA”) applies to personal information of consumers, business representatives, and employees, and among other things requires businesses to provide specific disclosures in privacy notices and honor requests of California residents to exercise certain privacy rights, including the right to opt out of certain disclosures of their information. The CCPA provides for civil penalties of up to $7,500 per violation as well as a private right of action with statutory damages for certain data breaches, thereby potentially increasing risks associated with</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87" w:name="page88"/>
    <w:bookmarkEnd w:id="8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39"/>
        <w:spacing w:after="0" w:line="262" w:lineRule="auto"/>
        <w:rPr>
          <w:sz w:val="20"/>
          <w:szCs w:val="20"/>
          <w:color w:val="auto"/>
        </w:rPr>
      </w:pPr>
      <w:r>
        <w:rPr>
          <w:rFonts w:ascii="Times New Roman" w:cs="Times New Roman" w:eastAsia="Times New Roman" w:hAnsi="Times New Roman"/>
          <w:sz w:val="16"/>
          <w:szCs w:val="16"/>
          <w:color w:val="231F20"/>
        </w:rPr>
        <w:t>a data breach. Although the law includes limited exceptions, including for certain information collected as part of clinical trials, the CCPA may impact our processing of personal information and increases our compliance costs. Additionally, the California Privacy Rights Act of 2020 (“CPRA”) significantly expands the CCPA, such as granting additional rights to California residents, including the right to correct personal information and additional opt-out rights. The CPRA also establishes a regulatory agency dedicated to enforcing the CCPA and the CPRA. At least 11 other states have also passed comprehensive privacy laws, and similar laws are being considered in several other states, as well as at the federal and local levels. While these state privacy laws, like the CCPA, also exempt some data processed in the context of clinical trials, these developments further complicate compliance efforts, and increase legal risk and compliance costs for us and the third parties upon whom we rely. In addition to government activity, privacy advocacy groups and technology and other industries are considering various new, additional or different self- regulatory standards that may place additional burdens on us.</w:t>
      </w:r>
    </w:p>
    <w:p>
      <w:pPr>
        <w:spacing w:after="0" w:line="164" w:lineRule="exact"/>
        <w:rPr>
          <w:sz w:val="20"/>
          <w:szCs w:val="20"/>
          <w:color w:val="auto"/>
        </w:rPr>
      </w:pPr>
    </w:p>
    <w:p>
      <w:pPr>
        <w:jc w:val="both"/>
        <w:ind w:left="40" w:right="259" w:firstLine="325"/>
        <w:spacing w:after="0" w:line="258" w:lineRule="auto"/>
        <w:rPr>
          <w:sz w:val="20"/>
          <w:szCs w:val="20"/>
          <w:color w:val="auto"/>
        </w:rPr>
      </w:pPr>
      <w:r>
        <w:rPr>
          <w:rFonts w:ascii="Times New Roman" w:cs="Times New Roman" w:eastAsia="Times New Roman" w:hAnsi="Times New Roman"/>
          <w:sz w:val="16"/>
          <w:szCs w:val="16"/>
          <w:color w:val="231F20"/>
        </w:rPr>
        <w:t>There are also various laws and regulations in other jurisdictions outside the United States relating to data privacy and security, with which we may need to comply. For example, the EU GDPR and the UK’s equivalent (“UK GDPR” and collectively, “GDPR”), impose strict requirements for processing personal data. We also have operations in Asia, and may be subject to new and emerging data privacy regimes such as Japan’s Act on the Protection of Personal Information and China’s Personal Information Protection Law. Notably, the EU GDPR and UK GDPR impose large penalties for noncompliance, including the potential for fines of up to €20 million under the EU GDPR / £17.5 million under the UK GDPR, or 4% of the annual global revenue of the noncompliant entity, whichever is greater. The EU GDPR and UK GDPR also provide for private litigation related to processing of personal data brought by classes of data subjects or consumer protection organizations authorized at law to represent their interests. Additionally, EU member states and other jurisdictions may introduce further conditions, including limitations, and make their own laws and regulations further limiting the processing of special categories of personal data, including personal data related to health, biometric data used for unique identification purposes and genetic information, which could limit our ability to collect, use and share data from the EU and other jurisdictions, and could cause our compliance costs to increase, ultimately adversely affecting our business, financial condition, results of operations and prospects.</w:t>
      </w:r>
    </w:p>
    <w:p>
      <w:pPr>
        <w:spacing w:after="0" w:line="175" w:lineRule="exact"/>
        <w:rPr>
          <w:sz w:val="20"/>
          <w:szCs w:val="20"/>
          <w:color w:val="auto"/>
        </w:rPr>
      </w:pPr>
    </w:p>
    <w:p>
      <w:pPr>
        <w:jc w:val="both"/>
        <w:ind w:left="40" w:right="259" w:firstLine="325"/>
        <w:spacing w:after="0" w:line="260" w:lineRule="auto"/>
        <w:rPr>
          <w:sz w:val="20"/>
          <w:szCs w:val="20"/>
          <w:color w:val="auto"/>
        </w:rPr>
      </w:pPr>
      <w:r>
        <w:rPr>
          <w:rFonts w:ascii="Times New Roman" w:cs="Times New Roman" w:eastAsia="Times New Roman" w:hAnsi="Times New Roman"/>
          <w:sz w:val="16"/>
          <w:szCs w:val="16"/>
          <w:color w:val="231F20"/>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countries whose privacy laws it believes are inadequate. Case law from the Court of Justice of the European Union (“CJEU”), however, states that reliance on the standard contractual clauses—a standard form of contract approved by the European Commission as an adequate personal information transfer mechanism—alone may not necessarily be sufficient in all circumstances and that transfers must be assessed on a case-by-case basis. In October 2022, President Biden signed an Executive Order that introduced new mechanisms and safeguards to address the concerns raised by the CJEU in relation to data transfers from the EEA to the United States and which formed the basis of the new EU-US Data Privacy Framework (and corresponding UK data protection framework, collectively the “DPF”), as released on December 13, 2022. The European Commission adoption of its Adequacy Decision means the DPF is effective as an EU GDPR transfer mechanism to U.S. entities self-certified under the DPF. While we have certified as a participant in the DPF, we cannot guarantee that the validity of the DPF will not undergo further legal challenge as occurred with previous transfer mechanisms like the EU/US Privacy Shield.</w:t>
      </w:r>
    </w:p>
    <w:p>
      <w:pPr>
        <w:spacing w:after="0" w:line="362" w:lineRule="exact"/>
        <w:rPr>
          <w:sz w:val="20"/>
          <w:szCs w:val="20"/>
          <w:color w:val="auto"/>
        </w:rPr>
      </w:pPr>
    </w:p>
    <w:p>
      <w:pPr>
        <w:jc w:val="both"/>
        <w:ind w:left="40" w:right="259" w:firstLine="325"/>
        <w:spacing w:after="0" w:line="258" w:lineRule="auto"/>
        <w:rPr>
          <w:sz w:val="20"/>
          <w:szCs w:val="20"/>
          <w:color w:val="auto"/>
        </w:rPr>
      </w:pPr>
      <w:r>
        <w:rPr>
          <w:rFonts w:ascii="Times New Roman" w:cs="Times New Roman" w:eastAsia="Times New Roman" w:hAnsi="Times New Roman"/>
          <w:sz w:val="16"/>
          <w:szCs w:val="16"/>
          <w:color w:val="231F20"/>
        </w:rPr>
        <w:t>Other jurisdictions may adopt similarly stringent interpretations of their data localization and cross- border data transfer laws. Although there are currently various mechanisms that may be used to transfer personal data from the EEA and UK to the United States in compliance with law, such as the EEA and UK’s standard contractual clauses and the recently approved DPF,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88" w:name="page89"/>
    <w:bookmarkEnd w:id="8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spacing w:after="0" w:line="266" w:lineRule="auto"/>
        <w:rPr>
          <w:sz w:val="20"/>
          <w:szCs w:val="20"/>
          <w:color w:val="auto"/>
        </w:rPr>
      </w:pPr>
      <w:r>
        <w:rPr>
          <w:rFonts w:ascii="Times New Roman" w:cs="Times New Roman" w:eastAsia="Times New Roman" w:hAnsi="Times New Roman"/>
          <w:sz w:val="16"/>
          <w:szCs w:val="16"/>
          <w:color w:val="231F20"/>
        </w:rPr>
        <w:t>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EU GDPR’s cross-border data transfer limitations.</w:t>
      </w:r>
    </w:p>
    <w:p>
      <w:pPr>
        <w:spacing w:after="0" w:line="161" w:lineRule="exact"/>
        <w:rPr>
          <w:sz w:val="20"/>
          <w:szCs w:val="20"/>
          <w:color w:val="auto"/>
        </w:rPr>
      </w:pPr>
    </w:p>
    <w:p>
      <w:pPr>
        <w:jc w:val="both"/>
        <w:ind w:left="40" w:right="259" w:firstLine="325"/>
        <w:spacing w:after="0" w:line="289" w:lineRule="auto"/>
        <w:rPr>
          <w:sz w:val="20"/>
          <w:szCs w:val="20"/>
          <w:color w:val="auto"/>
        </w:rPr>
      </w:pPr>
      <w:r>
        <w:rPr>
          <w:rFonts w:ascii="Times New Roman" w:cs="Times New Roman" w:eastAsia="Times New Roman" w:hAnsi="Times New Roman"/>
          <w:sz w:val="16"/>
          <w:szCs w:val="16"/>
          <w:color w:val="231F20"/>
        </w:rPr>
        <w:t>In addition to data privacy and security laws, we are also bound by other contractual obligations related to data privacy and security, and our efforts to comply with such obligations may not be successful.</w:t>
      </w:r>
    </w:p>
    <w:p>
      <w:pPr>
        <w:spacing w:after="0" w:line="143" w:lineRule="exact"/>
        <w:rPr>
          <w:sz w:val="20"/>
          <w:szCs w:val="20"/>
          <w:color w:val="auto"/>
        </w:rPr>
      </w:pPr>
    </w:p>
    <w:p>
      <w:pPr>
        <w:jc w:val="both"/>
        <w:ind w:left="40" w:right="259" w:firstLine="325"/>
        <w:spacing w:after="0" w:line="256" w:lineRule="auto"/>
        <w:rPr>
          <w:sz w:val="20"/>
          <w:szCs w:val="20"/>
          <w:color w:val="auto"/>
        </w:rPr>
      </w:pPr>
      <w:r>
        <w:rPr>
          <w:rFonts w:ascii="Times New Roman" w:cs="Times New Roman" w:eastAsia="Times New Roman" w:hAnsi="Times New Roman"/>
          <w:sz w:val="16"/>
          <w:szCs w:val="16"/>
          <w:color w:val="231F20"/>
        </w:rPr>
        <w:t>Each of these laws, rules, regulations and contractual obligations relating to data privacy and security, and any other such changes or new laws, rules, regulations or contractual obligations could impose significant limitations, require changes to our business, or restrict our collection, use, storage or processing of personal information, which may increase our compliance expenses and make our business more costly or less efficient to conduct. In addition, any such changes could compromise our ability to develop an adequate marketing strategy and pursue our growth strategy effectively or even prevent us from providing certain products in jurisdictions in which we currently operate and in which we may operate in the future or incur potential liability in an effort to comply with such legislation, which, in turn, could adversely affect our business, financial condition, results of operations and prospects. Complying with these numerous, complex and often changing regulations is expensive and difficult, and failure to comply with any data privacy or security laws, whether by us, one of our CROs, CMOs or business associates or another third party, could adversely affect our business, financial condition, results of operations and prospects,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 The implementation of the CCPA, GDPR and other similar laws have increased our responsibility and liability in relation to personal data that we process, including in clinical trials, and we may in the future be required to put in place additional mechanisms to ensure compliance with these and other applicable laws and regulations,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EEA and other jurisdictions, and we cannot determine the impact such future laws, regulations and standards may have on our business.</w:t>
      </w:r>
    </w:p>
    <w:p>
      <w:pPr>
        <w:spacing w:after="0" w:line="176" w:lineRule="exact"/>
        <w:rPr>
          <w:sz w:val="20"/>
          <w:szCs w:val="20"/>
          <w:color w:val="auto"/>
        </w:rPr>
      </w:pPr>
    </w:p>
    <w:p>
      <w:pPr>
        <w:jc w:val="both"/>
        <w:ind w:left="40" w:right="259" w:firstLine="325"/>
        <w:spacing w:after="0" w:line="258" w:lineRule="auto"/>
        <w:rPr>
          <w:sz w:val="20"/>
          <w:szCs w:val="20"/>
          <w:color w:val="auto"/>
        </w:rPr>
      </w:pPr>
      <w:r>
        <w:rPr>
          <w:rFonts w:ascii="Times New Roman" w:cs="Times New Roman" w:eastAsia="Times New Roman" w:hAnsi="Times New Roman"/>
          <w:sz w:val="16"/>
          <w:szCs w:val="16"/>
          <w:color w:val="231F20"/>
        </w:rPr>
        <w:t>Any actual or perceived failure by us or our third-party service providers to comply with any federal, state or foreign laws, rules, regulations, industry self-regulatory principles, industry standards or codes of conduct, regulatory guidance, orders to which we may be subject or other legal obligations relating to privacy, data protection, data security or consumer protection could adversely affect our reputation, brand and business. We may also be contractually required to indemnify and hold harmless third parties from the costs or consequences of non-compliance with any laws, rules and regulations or other legal obligations relating to privacy or any inadvertent or unauthorized use or disclosure of data that we store or handle as part of operating our business. Any of these events could adversely affect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70"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We cannot assure you that our CROs, CMOs or other third-party service providers with access to our or our suppliers’, manufacturers’, trial participants’ and employees’ sensitive information for which we are responsible will not breach contractual obligations imposed by us, or that they will not experience data security incidents, which could have a corresponding effect on our business, including putting us in breach of our obligations under privacy laws and regulations and/or which could in turn adversely affect our business, financial condition, results of operations and prospects. We cannot assure you that our contractual measures and our own privacy and security-related safeguards will protect us from the risks associated with the third-party processing of such information. Any of the foregoing could adversely affect our business, financial condition, results of operations and prospects.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7309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89" w:name="page90"/>
    <w:bookmarkEnd w:id="8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firstLine="325"/>
        <w:spacing w:after="0" w:line="261" w:lineRule="auto"/>
        <w:rPr>
          <w:sz w:val="20"/>
          <w:szCs w:val="20"/>
          <w:color w:val="auto"/>
        </w:rPr>
      </w:pPr>
      <w:r>
        <w:rPr>
          <w:rFonts w:ascii="Times New Roman" w:cs="Times New Roman" w:eastAsia="Times New Roman" w:hAnsi="Times New Roman"/>
          <w:sz w:val="16"/>
          <w:szCs w:val="16"/>
          <w:color w:val="231F20"/>
        </w:rPr>
        <w:t>We also publicly post our privacy policies and practices concerning our collection, use, disclosure and other processing of the personal information provided to us by our website visitors and by our customers. Although we endeavor to comply with our public statements and documentation, we may at times fail to do so or be perceived to have failed to do so. Our publication of our privacy policies and other statements we publish that provide promises and assurances about privacy and security can subject us to potential state and federal action if they are found to be deceptive, unfair or misrepresentative of our actual practices. Any actual or perceived failure by us to comply with federal, state or foreign laws, rules or regulations, industry standards, contractual or other legal obligations, or any actual, perceived or suspected cybersecurity incident, whether or not resulting in unauthorized access to, or acquisition, release or transfer of personal information or other data, may result in enforcement actions and prosecutions, private litigation, significant fines, penalties and censure, claims for damages by customers and other affected individuals, regulatory inquiries and investigations or adverse publicity and could cause our customers to lose trust in us, any of which could adversely affect our business, financial condition, results of operations and prospects.</w:t>
      </w:r>
    </w:p>
    <w:p>
      <w:pPr>
        <w:spacing w:after="0" w:line="167" w:lineRule="exact"/>
        <w:rPr>
          <w:sz w:val="20"/>
          <w:szCs w:val="20"/>
          <w:color w:val="auto"/>
        </w:rPr>
      </w:pPr>
    </w:p>
    <w:p>
      <w:pPr>
        <w:jc w:val="both"/>
        <w:ind w:left="40" w:right="259" w:firstLine="325"/>
        <w:spacing w:after="0" w:line="264" w:lineRule="auto"/>
        <w:rPr>
          <w:sz w:val="20"/>
          <w:szCs w:val="20"/>
          <w:color w:val="auto"/>
        </w:rPr>
      </w:pPr>
      <w:r>
        <w:rPr>
          <w:rFonts w:ascii="Times New Roman" w:cs="Times New Roman" w:eastAsia="Times New Roman" w:hAnsi="Times New Roman"/>
          <w:sz w:val="16"/>
          <w:szCs w:val="16"/>
          <w:color w:val="231F20"/>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161" w:lineRule="exact"/>
        <w:rPr>
          <w:sz w:val="20"/>
          <w:szCs w:val="20"/>
          <w:color w:val="auto"/>
        </w:rPr>
      </w:pPr>
    </w:p>
    <w:p>
      <w:pPr>
        <w:jc w:val="both"/>
        <w:ind w:left="40" w:right="259"/>
        <w:spacing w:after="0" w:line="282" w:lineRule="auto"/>
        <w:rPr>
          <w:sz w:val="20"/>
          <w:szCs w:val="20"/>
          <w:color w:val="auto"/>
        </w:rPr>
      </w:pPr>
      <w:r>
        <w:rPr>
          <w:rFonts w:ascii="Times New Roman" w:cs="Times New Roman" w:eastAsia="Times New Roman" w:hAnsi="Times New Roman"/>
          <w:sz w:val="16"/>
          <w:szCs w:val="16"/>
          <w:b w:val="1"/>
          <w:bCs w:val="1"/>
          <w:i w:val="1"/>
          <w:iCs w:val="1"/>
          <w:color w:val="231F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49" w:lineRule="exact"/>
        <w:rPr>
          <w:sz w:val="20"/>
          <w:szCs w:val="20"/>
          <w:color w:val="auto"/>
        </w:rPr>
      </w:pPr>
    </w:p>
    <w:p>
      <w:pPr>
        <w:jc w:val="both"/>
        <w:ind w:left="40" w:right="259" w:firstLine="325"/>
        <w:spacing w:after="0" w:line="261" w:lineRule="auto"/>
        <w:rPr>
          <w:sz w:val="20"/>
          <w:szCs w:val="20"/>
          <w:color w:val="auto"/>
        </w:rPr>
      </w:pPr>
      <w:r>
        <w:rPr>
          <w:rFonts w:ascii="Times New Roman" w:cs="Times New Roman" w:eastAsia="Times New Roman" w:hAnsi="Times New Roman"/>
          <w:sz w:val="16"/>
          <w:szCs w:val="16"/>
          <w:color w:val="231F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231F20"/>
        </w:rPr>
        <w:t>Risks Related to Our Reliance on Third Parties</w:t>
      </w:r>
    </w:p>
    <w:p>
      <w:pPr>
        <w:spacing w:after="0" w:line="131" w:lineRule="exact"/>
        <w:rPr>
          <w:sz w:val="20"/>
          <w:szCs w:val="20"/>
          <w:color w:val="auto"/>
        </w:rPr>
      </w:pPr>
    </w:p>
    <w:p>
      <w:pPr>
        <w:jc w:val="both"/>
        <w:ind w:left="40" w:right="259"/>
        <w:spacing w:after="0" w:line="268" w:lineRule="auto"/>
        <w:rPr>
          <w:sz w:val="20"/>
          <w:szCs w:val="20"/>
          <w:color w:val="auto"/>
        </w:rPr>
      </w:pPr>
      <w:r>
        <w:rPr>
          <w:rFonts w:ascii="Times New Roman" w:cs="Times New Roman" w:eastAsia="Times New Roman" w:hAnsi="Times New Roman"/>
          <w:sz w:val="16"/>
          <w:szCs w:val="16"/>
          <w:b w:val="1"/>
          <w:bCs w:val="1"/>
          <w:i w:val="1"/>
          <w:iCs w:val="1"/>
          <w:color w:val="231F20"/>
        </w:rPr>
        <w:t>We currently rely on a single third-party manufacturer, WuXi Biologics, to supply our product candidates, including certain drug substances and drug products used in our product candidates. If we are unable to source these supplies on a timely basis, at sufficient quantities or at acceptable quality or prices, establish longer-term contracts with our CMOs, or our third-party manufacturers fail to comply with applicable regulatory requirements, we will not be able to complete our clinical trials on time and the development of our product candidates may be delayed.</w:t>
      </w:r>
    </w:p>
    <w:p>
      <w:pPr>
        <w:spacing w:after="0" w:line="173" w:lineRule="exact"/>
        <w:rPr>
          <w:sz w:val="20"/>
          <w:szCs w:val="20"/>
          <w:color w:val="auto"/>
        </w:rPr>
      </w:pPr>
    </w:p>
    <w:p>
      <w:pPr>
        <w:jc w:val="both"/>
        <w:ind w:left="40" w:right="259" w:firstLine="325"/>
        <w:spacing w:after="0" w:line="272" w:lineRule="auto"/>
        <w:rPr>
          <w:sz w:val="20"/>
          <w:szCs w:val="20"/>
          <w:color w:val="auto"/>
        </w:rPr>
      </w:pPr>
      <w:r>
        <w:rPr>
          <w:rFonts w:ascii="Times New Roman" w:cs="Times New Roman" w:eastAsia="Times New Roman" w:hAnsi="Times New Roman"/>
          <w:sz w:val="16"/>
          <w:szCs w:val="16"/>
          <w:color w:val="231F20"/>
        </w:rPr>
        <w:t>We do not own or operate facilities for drug manufacturing, storage, distribution or quality testing. We currently rely on a single third-party manufacturer, WuXi Biologics, located in China, to manufacture and supply the drug substances and drug products for our product candidates, and currently do not have any redundant supply outside of</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90" w:name="page91"/>
    <w:bookmarkEnd w:id="9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spacing w:after="0" w:line="261" w:lineRule="auto"/>
        <w:rPr>
          <w:sz w:val="20"/>
          <w:szCs w:val="20"/>
          <w:color w:val="auto"/>
        </w:rPr>
      </w:pPr>
      <w:r>
        <w:rPr>
          <w:rFonts w:ascii="Times New Roman" w:cs="Times New Roman" w:eastAsia="Times New Roman" w:hAnsi="Times New Roman"/>
          <w:sz w:val="16"/>
          <w:szCs w:val="16"/>
          <w:color w:val="231F20"/>
        </w:rPr>
        <w:t>WuXi Biologics, for drug substance and drug product. Reliance on a single third-party manufacturer exposes us to different risks than if we were to manufacture product candidates ourselves. While we believe our current inventory of drug substance and drug product will be sufficient to complete our ongoing trials of obexelimab, our preclinical and clinical development product supplies may be limited, interrupted, terminated or be of unsatisfactory quality or unavailable at acceptable prices. WuXi Biologics does not solely hold any of the necessary intellectual property, technology or know-how required to manufacture our product candidates. However, while we are able to transfer our manufacturing process of our product candidates to another CMO without the involvement of WuXi Biologics, establishing additional or replacement suppliers for these supplies,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w:t>
      </w:r>
    </w:p>
    <w:p>
      <w:pPr>
        <w:spacing w:after="0" w:line="176" w:lineRule="exact"/>
        <w:rPr>
          <w:sz w:val="20"/>
          <w:szCs w:val="20"/>
          <w:color w:val="auto"/>
        </w:rPr>
      </w:pPr>
    </w:p>
    <w:p>
      <w:pPr>
        <w:jc w:val="both"/>
        <w:ind w:left="40" w:right="259" w:firstLine="325"/>
        <w:spacing w:after="0" w:line="260" w:lineRule="auto"/>
        <w:rPr>
          <w:sz w:val="20"/>
          <w:szCs w:val="20"/>
          <w:color w:val="auto"/>
        </w:rPr>
      </w:pPr>
      <w:r>
        <w:rPr>
          <w:rFonts w:ascii="Times New Roman" w:cs="Times New Roman" w:eastAsia="Times New Roman" w:hAnsi="Times New Roman"/>
          <w:sz w:val="16"/>
          <w:szCs w:val="16"/>
          <w:color w:val="231F20"/>
        </w:rPr>
        <w:t>We order obexelimab drug substance and drug product pursuant to a master services agreement with WuXi Biologics. If any of our product candidates receives marketing approval, we intend to rely on third-party CMOs for commercial manufacturing. We have a long-term commercial supply agreement with WuXi Biologics to fulfill and secure obexelimab drug substance and drug product for an anticipated commercial launch, if approved. In addition, we have selected new CMOs not affiliated with WuXi Biologics in the United States to establish additional sources of supply for drug substance and drug product for both commercial and clinical use. For the medical device component of our product (i.e., prefilled syringe or autoinjector), we plan to utilize device assembly facilities in the United States or EU for the global supply.</w:t>
      </w:r>
    </w:p>
    <w:p>
      <w:pPr>
        <w:spacing w:after="0" w:line="167" w:lineRule="exact"/>
        <w:rPr>
          <w:sz w:val="20"/>
          <w:szCs w:val="20"/>
          <w:color w:val="auto"/>
        </w:rPr>
      </w:pPr>
    </w:p>
    <w:p>
      <w:pPr>
        <w:jc w:val="both"/>
        <w:ind w:left="40" w:right="259" w:firstLine="325"/>
        <w:spacing w:after="0" w:line="262" w:lineRule="auto"/>
        <w:rPr>
          <w:sz w:val="20"/>
          <w:szCs w:val="20"/>
          <w:color w:val="auto"/>
        </w:rPr>
      </w:pPr>
      <w:r>
        <w:rPr>
          <w:rFonts w:ascii="Times New Roman" w:cs="Times New Roman" w:eastAsia="Times New Roman" w:hAnsi="Times New Roman"/>
          <w:sz w:val="16"/>
          <w:szCs w:val="16"/>
          <w:color w:val="231F20"/>
        </w:rPr>
        <w:t>Any change in our relationship with our CMO or changes to contractual terms of our agreements with them could adversely affect our business, financial condition, results of operations and prospects. Additionally, legislation and regulations, such as the proposed BIOSECURE Act, a draft of which is in the legislative process in the U.S. Congress, could restrict our ability to enter into new long-term commercial agreements with certain CMOs if the proposed legislation and regulations are enacted into law. Please see “—Risks Related to Our Reliance on Third Parties—The operations of our suppliers, many of which are located outside of the United States., including our current sole CMO for drug substance and drug product, WuXi Biologics, which is located in China, are subject to additional risks that are beyond our control and that could harm our business, financial condition, results of operations and prospects.”</w:t>
      </w:r>
    </w:p>
    <w:p>
      <w:pPr>
        <w:spacing w:after="0" w:line="364" w:lineRule="exact"/>
        <w:rPr>
          <w:sz w:val="20"/>
          <w:szCs w:val="20"/>
          <w:color w:val="auto"/>
        </w:rPr>
      </w:pPr>
    </w:p>
    <w:p>
      <w:pPr>
        <w:jc w:val="both"/>
        <w:ind w:left="40" w:right="259" w:firstLine="325"/>
        <w:spacing w:after="0" w:line="271" w:lineRule="auto"/>
        <w:rPr>
          <w:sz w:val="20"/>
          <w:szCs w:val="20"/>
          <w:color w:val="auto"/>
        </w:rPr>
      </w:pPr>
      <w:r>
        <w:rPr>
          <w:rFonts w:ascii="Times New Roman" w:cs="Times New Roman" w:eastAsia="Times New Roman" w:hAnsi="Times New Roman"/>
          <w:sz w:val="16"/>
          <w:szCs w:val="16"/>
          <w:color w:val="231F20"/>
        </w:rPr>
        <w:t>Furthermore, any of the sole source and limited source suppliers upon whom we rely could stop producing our supplies, cease operations or be acquired by, or enter into exclusive arrangements with, our competitors. Any interruption or delay in the supply of sole source or limited source components for our product candidates, including as a result of us needing to seek alternative sources, which may not be available at reasonable prices or at all, would adversely affect our ability to meet scheduled timelines and budget for the development and commercialization of our product candidates, could result in higher expenses and delayed revenue, if our product candidates are approved, and would harm our business. Although we have not experienced any significant disruption as a result of our reliance on limited or sole source suppliers, we have a limited operating history and cannot assure you that we will not experience disruptions in our supply chain in the future as a result of such reliance or otherwise.</w:t>
      </w:r>
    </w:p>
    <w:p>
      <w:pPr>
        <w:spacing w:after="0" w:line="169" w:lineRule="exact"/>
        <w:rPr>
          <w:sz w:val="20"/>
          <w:szCs w:val="20"/>
          <w:color w:val="auto"/>
        </w:rPr>
      </w:pPr>
    </w:p>
    <w:p>
      <w:pPr>
        <w:jc w:val="both"/>
        <w:ind w:left="40" w:right="259" w:firstLine="325"/>
        <w:spacing w:after="0" w:line="268" w:lineRule="auto"/>
        <w:rPr>
          <w:sz w:val="20"/>
          <w:szCs w:val="20"/>
          <w:color w:val="auto"/>
        </w:rPr>
      </w:pPr>
      <w:r>
        <w:rPr>
          <w:rFonts w:ascii="Times New Roman" w:cs="Times New Roman" w:eastAsia="Times New Roman" w:hAnsi="Times New Roman"/>
          <w:sz w:val="16"/>
          <w:szCs w:val="16"/>
          <w:color w:val="231F20"/>
        </w:rPr>
        <w:t>The manufacturing process for our product candidates is subject to the FDA and comparable foreign regulatory authority review. We and our suppliers and manufacturers, some of which are currently our sole source of supply, must meet applicable manufacturing requirements and undergo rigorous facility and process validation tests required by regulatory authorities in order to comply with regulatory standards, such as cGMPs. If our CMOs cannot successfully manufacture material that conforms to our specifications and regulatory requirements of the FDA or comparable foreign regulatory authorities, we may not be able to rely on their facilities for the manufacture of elements of our product candidates. Additionally, our CMOs may face resource constraints due to labor disputes or unstable political environments that impact their ability to supply product candidates on schedule, which would impact the timing of our clinical trials or commercial supply for any products that may be approved.</w:t>
      </w:r>
    </w:p>
    <w:p>
      <w:pPr>
        <w:spacing w:after="0" w:line="175" w:lineRule="exact"/>
        <w:rPr>
          <w:sz w:val="20"/>
          <w:szCs w:val="20"/>
          <w:color w:val="auto"/>
        </w:rPr>
      </w:pPr>
    </w:p>
    <w:p>
      <w:pPr>
        <w:jc w:val="both"/>
        <w:ind w:left="40" w:right="259" w:firstLine="325"/>
        <w:spacing w:after="0" w:line="280" w:lineRule="auto"/>
        <w:rPr>
          <w:sz w:val="20"/>
          <w:szCs w:val="20"/>
          <w:color w:val="auto"/>
        </w:rPr>
      </w:pPr>
      <w:r>
        <w:rPr>
          <w:rFonts w:ascii="Times New Roman" w:cs="Times New Roman" w:eastAsia="Times New Roman" w:hAnsi="Times New Roman"/>
          <w:sz w:val="16"/>
          <w:szCs w:val="16"/>
          <w:color w:val="231F20"/>
        </w:rPr>
        <w:t>We expect to continue to rely on CMOs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91" w:name="page92"/>
    <w:bookmarkEnd w:id="9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spacing w:after="0" w:line="271" w:lineRule="auto"/>
        <w:rPr>
          <w:sz w:val="20"/>
          <w:szCs w:val="20"/>
          <w:color w:val="auto"/>
        </w:rPr>
      </w:pPr>
      <w:r>
        <w:rPr>
          <w:rFonts w:ascii="Times New Roman" w:cs="Times New Roman" w:eastAsia="Times New Roman" w:hAnsi="Times New Roman"/>
          <w:sz w:val="16"/>
          <w:szCs w:val="16"/>
          <w:color w:val="231F20"/>
        </w:rPr>
        <w:t>those related to quality control and assurance. Any manufacturing facilities used to produce our product candidates will be subject to periodic review and inspection by the FDA and foreign regulatory authorities, including for continued compliance with cGMP requirements,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or maintain a compliance status acceptable to the FDA or comparable foreign regulatory authorities could adversely affect our business in a number of ways, including:</w:t>
      </w:r>
    </w:p>
    <w:p>
      <w:pPr>
        <w:spacing w:after="0" w:line="169" w:lineRule="exact"/>
        <w:rPr>
          <w:sz w:val="20"/>
          <w:szCs w:val="20"/>
          <w:color w:val="auto"/>
        </w:rPr>
      </w:pPr>
    </w:p>
    <w:p>
      <w:pPr>
        <w:ind w:left="660" w:hanging="154"/>
        <w:spacing w:after="0"/>
        <w:tabs>
          <w:tab w:leader="none" w:pos="660" w:val="left"/>
        </w:tabs>
        <w:numPr>
          <w:ilvl w:val="0"/>
          <w:numId w:val="5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an inability to initiate or continue preclinical studies or clinical trials of product candidates;</w:t>
      </w:r>
    </w:p>
    <w:p>
      <w:pPr>
        <w:spacing w:after="0" w:line="121"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5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delay in submitting regulatory applications, or receiving regulatory approvals, for product candidates;</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5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loss of the cooperation of existing or future collaborators;</w:t>
      </w:r>
    </w:p>
    <w:p>
      <w:pPr>
        <w:spacing w:after="0" w:line="121"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5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requirements to cease distribution or to recall batches of our product candidates; and</w:t>
      </w:r>
    </w:p>
    <w:p>
      <w:pPr>
        <w:spacing w:after="0" w:line="108" w:lineRule="exact"/>
        <w:rPr>
          <w:rFonts w:ascii="Times New Roman" w:cs="Times New Roman" w:eastAsia="Times New Roman" w:hAnsi="Times New Roman"/>
          <w:sz w:val="16"/>
          <w:szCs w:val="16"/>
          <w:color w:val="231F20"/>
        </w:rPr>
      </w:pPr>
    </w:p>
    <w:p>
      <w:pPr>
        <w:ind w:left="660" w:right="279" w:hanging="154"/>
        <w:spacing w:after="0" w:line="305" w:lineRule="auto"/>
        <w:tabs>
          <w:tab w:leader="none" w:pos="660" w:val="left"/>
        </w:tabs>
        <w:numPr>
          <w:ilvl w:val="0"/>
          <w:numId w:val="5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 the event of approval to market and commercialize a product candidate, an inability to meet commercial demands for our products.</w:t>
      </w:r>
    </w:p>
    <w:p>
      <w:pPr>
        <w:spacing w:after="0" w:line="69" w:lineRule="exact"/>
        <w:rPr>
          <w:sz w:val="20"/>
          <w:szCs w:val="20"/>
          <w:color w:val="auto"/>
        </w:rPr>
      </w:pPr>
    </w:p>
    <w:p>
      <w:pPr>
        <w:jc w:val="both"/>
        <w:ind w:left="40" w:right="259" w:firstLine="325"/>
        <w:spacing w:after="0" w:line="262" w:lineRule="auto"/>
        <w:rPr>
          <w:sz w:val="20"/>
          <w:szCs w:val="20"/>
          <w:color w:val="auto"/>
        </w:rPr>
      </w:pPr>
      <w:r>
        <w:rPr>
          <w:rFonts w:ascii="Times New Roman" w:cs="Times New Roman" w:eastAsia="Times New Roman" w:hAnsi="Times New Roman"/>
          <w:sz w:val="16"/>
          <w:szCs w:val="16"/>
          <w:color w:val="231F20"/>
        </w:rPr>
        <w:t>In the event that any of our manufacturers fails to comply with regulatory requirements or to perform its obligations in relation to quality, timing or otherwise, or if our projected manufacturing capacity or supply of materials becomes limited, interrupted or more costly than anticipated, we may need to secure manufacturing from a different third party, which we may not be able to do timely or on reasonable terms, if at all. If we are required to change manufacturers for any reason, we will be required to verify that the new manufacturer maintains facilities and procedures that comply with applicable quality standards and regulations and guidelines; and we may be required to repeat some of the development program. If we change manufacturers after we receive regulatory approval for a product candidate, we will be required to conduct additional testing, including completion of validation batches, and obtain approval from regulatory authorities for the new manufacturer before we can begin using any drug substance or drug product they manufacture for commercial purposes. The delays and costs associated with the verification of a new manufacturer could negatively affect our ability to develop product candidates or commercialize our products, if approved, in a timely manner or within budget.</w:t>
      </w:r>
    </w:p>
    <w:p>
      <w:pPr>
        <w:spacing w:after="0" w:line="172" w:lineRule="exact"/>
        <w:rPr>
          <w:sz w:val="20"/>
          <w:szCs w:val="20"/>
          <w:color w:val="auto"/>
        </w:rPr>
      </w:pPr>
    </w:p>
    <w:p>
      <w:pPr>
        <w:jc w:val="both"/>
        <w:ind w:left="40" w:right="259"/>
        <w:spacing w:after="0" w:line="268" w:lineRule="auto"/>
        <w:rPr>
          <w:sz w:val="20"/>
          <w:szCs w:val="20"/>
          <w:color w:val="auto"/>
        </w:rPr>
      </w:pPr>
      <w:r>
        <w:rPr>
          <w:rFonts w:ascii="Times New Roman" w:cs="Times New Roman" w:eastAsia="Times New Roman" w:hAnsi="Times New Roman"/>
          <w:sz w:val="16"/>
          <w:szCs w:val="16"/>
          <w:b w:val="1"/>
          <w:bCs w:val="1"/>
          <w:i w:val="1"/>
          <w:iCs w:val="1"/>
          <w:color w:val="231F20"/>
        </w:rPr>
        <w:t>We have relied and expect to continue to rely on third parties to conduct our preclinical studies and clinical trials. If those third parties do not perform as contractually required, fail to satisfy legal or regulatory requirements, miss deadlines or terminate the relationship, our development programs could be delayed, more costly or unsuccessful, and we may never be able to seek or obtain regulatory approval for or commercialize our product candidates.</w:t>
      </w:r>
    </w:p>
    <w:p>
      <w:pPr>
        <w:spacing w:after="0" w:line="171" w:lineRule="exact"/>
        <w:rPr>
          <w:sz w:val="20"/>
          <w:szCs w:val="20"/>
          <w:color w:val="auto"/>
        </w:rPr>
      </w:pPr>
    </w:p>
    <w:p>
      <w:pPr>
        <w:jc w:val="both"/>
        <w:ind w:left="40" w:right="259" w:firstLine="325"/>
        <w:spacing w:after="0" w:line="271" w:lineRule="auto"/>
        <w:rPr>
          <w:sz w:val="20"/>
          <w:szCs w:val="20"/>
          <w:color w:val="auto"/>
        </w:rPr>
      </w:pPr>
      <w:r>
        <w:rPr>
          <w:rFonts w:ascii="Times New Roman" w:cs="Times New Roman" w:eastAsia="Times New Roman" w:hAnsi="Times New Roman"/>
          <w:sz w:val="16"/>
          <w:szCs w:val="16"/>
          <w:color w:val="231F20"/>
        </w:rPr>
        <w:t>We rely and intend to continue to rely on third-party clinical investigators, CROs and clinical data management organizations to conduct, supervise and monitor preclinical studies and clinical trials of our current and future product candidates. Because of this reliance, we have less control over the timing, quality and other aspects of preclinical studies and clinical trials than if we conduct them ourselves. Third parties are not our employees and we have limited control over the amount of time and resources that they dedicate to our programs. Additionally, such parties have contractual relationships with other entities, some of which may be our competitors, which may divert time and resources from our programs.</w:t>
      </w:r>
    </w:p>
    <w:p>
      <w:pPr>
        <w:spacing w:after="0" w:line="169"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Our reliance on third parties reduces our control over our development activities. Nevertheless, we are responsible for ensuring that each of our clinical trials is conducted in accordance with the applicable trial protocol and legal, regulatory and scientific standards. For example, we remain responsible for ensuring that each of our preclinical studies are conducted in accordance with good laboratory practices (“GLPs”) and clinical trials are conducted in accordance with GCPs. Moreover, the FDA and comparable foreign regulatory authorities require us to comply with GCP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is submitted to the FDA) of trial sponsors, clinical investigators, trial sites and certain third parties including CROs. If we, our CROs,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7309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92" w:name="page93"/>
    <w:bookmarkEnd w:id="9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spacing w:after="0" w:line="267" w:lineRule="auto"/>
        <w:rPr>
          <w:sz w:val="20"/>
          <w:szCs w:val="20"/>
          <w:color w:val="auto"/>
        </w:rPr>
      </w:pPr>
      <w:r>
        <w:rPr>
          <w:rFonts w:ascii="Times New Roman" w:cs="Times New Roman" w:eastAsia="Times New Roman" w:hAnsi="Times New Roman"/>
          <w:sz w:val="16"/>
          <w:szCs w:val="16"/>
          <w:color w:val="231F20"/>
        </w:rPr>
        <w:t>clinical trial sites or other third parties fail to comply with applicable GCP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Moreover, our business may be significantly impacted if our CROs, clinical investigators or other third parties violate federal or state healthcare fraud and abuse or false claims laws and regulations or healthcare privacy and security laws.</w:t>
      </w:r>
    </w:p>
    <w:p>
      <w:pPr>
        <w:spacing w:after="0" w:line="173" w:lineRule="exact"/>
        <w:rPr>
          <w:sz w:val="20"/>
          <w:szCs w:val="20"/>
          <w:color w:val="auto"/>
        </w:rPr>
      </w:pPr>
    </w:p>
    <w:p>
      <w:pPr>
        <w:jc w:val="both"/>
        <w:ind w:left="40" w:right="259" w:firstLine="325"/>
        <w:spacing w:after="0" w:line="264" w:lineRule="auto"/>
        <w:rPr>
          <w:sz w:val="20"/>
          <w:szCs w:val="20"/>
          <w:color w:val="auto"/>
        </w:rPr>
      </w:pPr>
      <w:r>
        <w:rPr>
          <w:rFonts w:ascii="Times New Roman" w:cs="Times New Roman" w:eastAsia="Times New Roman" w:hAnsi="Times New Roman"/>
          <w:sz w:val="16"/>
          <w:szCs w:val="16"/>
          <w:color w:val="231F20"/>
        </w:rPr>
        <w:t>If our third party contractors do not successfully carry out their contractual duties, meet deadlines or conduct our clinical trials in accordance with regulatory requirements or our stated protocols, our clinical trials may need to be repeated, extended, delayed or terminated, we may not be able to obtain, or may be delayed in obtaining, marketing approvals for our product candidates,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w:t>
      </w:r>
    </w:p>
    <w:p>
      <w:pPr>
        <w:spacing w:after="0" w:line="165" w:lineRule="exact"/>
        <w:rPr>
          <w:sz w:val="20"/>
          <w:szCs w:val="20"/>
          <w:color w:val="auto"/>
        </w:rPr>
      </w:pPr>
    </w:p>
    <w:p>
      <w:pPr>
        <w:jc w:val="both"/>
        <w:ind w:left="40" w:right="259" w:firstLine="325"/>
        <w:spacing w:after="0" w:line="265" w:lineRule="auto"/>
        <w:rPr>
          <w:sz w:val="20"/>
          <w:szCs w:val="20"/>
          <w:color w:val="auto"/>
        </w:rPr>
      </w:pPr>
      <w:r>
        <w:rPr>
          <w:rFonts w:ascii="Times New Roman" w:cs="Times New Roman" w:eastAsia="Times New Roman" w:hAnsi="Times New Roman"/>
          <w:sz w:val="16"/>
          <w:szCs w:val="16"/>
          <w:color w:val="231F20"/>
        </w:rPr>
        <w:t>If any of our relationships with these third parties terminate, we may not be able to enter into alternative arrangements or do so on commercially reasonable terms. Switching or adding contractors involves cost, takes time and diverts management’s attention. In addition, there is a natural transition period when a new third party commences work. Delays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spacing w:after="0" w:line="165" w:lineRule="exact"/>
        <w:rPr>
          <w:sz w:val="20"/>
          <w:szCs w:val="20"/>
          <w:color w:val="auto"/>
        </w:rPr>
      </w:pPr>
    </w:p>
    <w:p>
      <w:pPr>
        <w:jc w:val="both"/>
        <w:ind w:left="40" w:right="239" w:firstLine="325"/>
        <w:spacing w:after="0" w:line="263" w:lineRule="auto"/>
        <w:rPr>
          <w:sz w:val="20"/>
          <w:szCs w:val="20"/>
          <w:color w:val="auto"/>
        </w:rPr>
      </w:pPr>
      <w:r>
        <w:rPr>
          <w:rFonts w:ascii="Times New Roman" w:cs="Times New Roman" w:eastAsia="Times New Roman" w:hAnsi="Times New Roman"/>
          <w:sz w:val="16"/>
          <w:szCs w:val="16"/>
          <w:color w:val="231F20"/>
        </w:rPr>
        <w:t>In addition, principal investigators for our clinical trials may serve as scientific advisors or consultants to us from time to time and receive compensation in connection with such services. We may be required to report some of these relationships to the FDA, and the FDA may conclude that a financial relationship between us and/or a principal investigator has created a conflict of interest or otherwise affects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spacing w:after="0" w:line="373" w:lineRule="exact"/>
        <w:rPr>
          <w:sz w:val="20"/>
          <w:szCs w:val="20"/>
          <w:color w:val="auto"/>
        </w:rPr>
      </w:pPr>
    </w:p>
    <w:p>
      <w:pPr>
        <w:jc w:val="both"/>
        <w:ind w:left="40" w:right="259"/>
        <w:spacing w:after="0" w:line="295" w:lineRule="auto"/>
        <w:rPr>
          <w:sz w:val="20"/>
          <w:szCs w:val="20"/>
          <w:color w:val="auto"/>
        </w:rPr>
      </w:pPr>
      <w:r>
        <w:rPr>
          <w:rFonts w:ascii="Times New Roman" w:cs="Times New Roman" w:eastAsia="Times New Roman" w:hAnsi="Times New Roman"/>
          <w:sz w:val="16"/>
          <w:szCs w:val="16"/>
          <w:b w:val="1"/>
          <w:bCs w:val="1"/>
          <w:i w:val="1"/>
          <w:iCs w:val="1"/>
          <w:color w:val="231F20"/>
        </w:rPr>
        <w:t>We may have conflicts with our current or future licensors or collaborators that could delay or prevent the development or commercialization of our product candidates.</w:t>
      </w:r>
    </w:p>
    <w:p>
      <w:pPr>
        <w:spacing w:after="0" w:line="138" w:lineRule="exact"/>
        <w:rPr>
          <w:sz w:val="20"/>
          <w:szCs w:val="20"/>
          <w:color w:val="auto"/>
        </w:rPr>
      </w:pPr>
    </w:p>
    <w:p>
      <w:pPr>
        <w:jc w:val="both"/>
        <w:ind w:left="40" w:right="259" w:firstLine="325"/>
        <w:spacing w:after="0" w:line="260" w:lineRule="auto"/>
        <w:rPr>
          <w:sz w:val="20"/>
          <w:szCs w:val="20"/>
          <w:color w:val="auto"/>
        </w:rPr>
      </w:pPr>
      <w:r>
        <w:rPr>
          <w:rFonts w:ascii="Times New Roman" w:cs="Times New Roman" w:eastAsia="Times New Roman" w:hAnsi="Times New Roman"/>
          <w:sz w:val="16"/>
          <w:szCs w:val="16"/>
          <w:color w:val="231F20"/>
        </w:rPr>
        <w:t>We are currently party to license and collaboration agreements with Xencor and BMS, and we expect to enter into similar strategic transactions in the future. Our current or any future collaborators may act in a manner that is adverse to our best interests and our interests may conflict with theirs, including concerning the interpretation of preclinical or clinical data, the achievement of milestones, the interpretation of contractual obligations, payments for services, development obligations or the ownership of intellectual property developed during our collaboration. Any disagreement could result in one or more of the following, each of which could delay or prevent the development or commercialization of our product candidates, and in turn prevent us from generating revenue: disputes regarding milestone payments or royalties; uncertainty regarding ownership of intellectual property rights arising from our collaborative activities, which could prevent us from entering into additional collaborations; unwillingness by the collaborator to cooperate in the development or manufacture of a product candidate, including providing us with data or materials; unwillingness on the part of a collaborator to keep us informed regarding the progress of its development and commercialization activities or to permit public disclosure of the results of those activities; initiating of litigation or alternative dispute resolution options by either party to resolve the dispute; or attempts by either party to terminate the agreement.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7309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93" w:name="page94"/>
    <w:bookmarkEnd w:id="9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40" w:right="259"/>
        <w:spacing w:after="0" w:line="273" w:lineRule="auto"/>
        <w:rPr>
          <w:sz w:val="20"/>
          <w:szCs w:val="20"/>
          <w:color w:val="auto"/>
        </w:rPr>
      </w:pPr>
      <w:r>
        <w:rPr>
          <w:rFonts w:ascii="Times New Roman" w:cs="Times New Roman" w:eastAsia="Times New Roman" w:hAnsi="Times New Roman"/>
          <w:sz w:val="16"/>
          <w:szCs w:val="16"/>
          <w:b w:val="1"/>
          <w:bCs w:val="1"/>
          <w:i w:val="1"/>
          <w:iCs w:val="1"/>
          <w:color w:val="231F20"/>
        </w:rPr>
        <w:t>Our rights to develop and commercialize our product candidates are subject, in large part, to the terms and conditions of licenses granted to us by others, such as Xencor. If we fail to comply with our obligations in the agreements under which we in-license or acquire development or commercialization rights to product candidates, or data from third parties, we could lose such rights that are important to our business.</w:t>
      </w:r>
    </w:p>
    <w:p>
      <w:pPr>
        <w:spacing w:after="0" w:line="155" w:lineRule="exact"/>
        <w:rPr>
          <w:sz w:val="20"/>
          <w:szCs w:val="20"/>
          <w:color w:val="auto"/>
        </w:rPr>
      </w:pPr>
    </w:p>
    <w:p>
      <w:pPr>
        <w:jc w:val="both"/>
        <w:ind w:left="40" w:right="259" w:firstLine="325"/>
        <w:spacing w:after="0" w:line="267" w:lineRule="auto"/>
        <w:rPr>
          <w:sz w:val="20"/>
          <w:szCs w:val="20"/>
          <w:color w:val="auto"/>
        </w:rPr>
      </w:pPr>
      <w:r>
        <w:rPr>
          <w:rFonts w:ascii="Times New Roman" w:cs="Times New Roman" w:eastAsia="Times New Roman" w:hAnsi="Times New Roman"/>
          <w:sz w:val="16"/>
          <w:szCs w:val="16"/>
          <w:color w:val="231F20"/>
        </w:rPr>
        <w:t>We are heavily reliant upon licenses to certain patent rights and other intellectual property that are important or necessary to the development of our current or future product candidates. For example, we depend on licenses from Xencor for certain intellectual property relating to the development and commercialization of obexelimab, ZB002 and ZB004. However, we have no development and commercialization rights for obexelimab in Japan, South Korea, Taiwan, Hong Kong, Singapore, and Australia, all of which rights have been sublicensed to BMS.</w:t>
      </w:r>
    </w:p>
    <w:p>
      <w:pPr>
        <w:spacing w:after="0" w:line="160"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Xencor may have relied upon, and any future licensors may rely upon, third-party companies, consultants or collaborators, or on funds from third parties such that our licensors are not the sole and exclusive owners of the patents we in-licensed. If our licensors, including Xencor, fail to prosecute, maintain, enforce, and defend such patents, or lose rights to those patents, the rights we have licensed may be reduced or eliminated, and our right to develop and commercialize our current or future product candidates that are or may be the subject of such licensed rights could be adversely affected. Further development and commercialization of our product candidates and development of any future product candidates may require us to enter into additional license or collaboration agreements. For example, our licensors or other third parties may obtain intellectual property covering our current or future product candidates which we have not licensed. Our future licenses may not provide us with exclusive rights to use the licensed patent rights and other intellectual property licensed thereunder, or may not provide us with exclusive rights to use such patent rights and intellectual property in all relevant fields of use and in all territories in which we wish to develop or commercialize our current or future product candidates.</w:t>
      </w:r>
    </w:p>
    <w:p>
      <w:pPr>
        <w:spacing w:after="0" w:line="162" w:lineRule="exact"/>
        <w:rPr>
          <w:sz w:val="20"/>
          <w:szCs w:val="20"/>
          <w:color w:val="auto"/>
        </w:rPr>
      </w:pPr>
    </w:p>
    <w:p>
      <w:pPr>
        <w:jc w:val="both"/>
        <w:ind w:left="40" w:right="259" w:firstLine="325"/>
        <w:spacing w:after="0" w:line="261" w:lineRule="auto"/>
        <w:rPr>
          <w:sz w:val="20"/>
          <w:szCs w:val="20"/>
          <w:color w:val="auto"/>
        </w:rPr>
      </w:pPr>
      <w:r>
        <w:rPr>
          <w:rFonts w:ascii="Times New Roman" w:cs="Times New Roman" w:eastAsia="Times New Roman" w:hAnsi="Times New Roman"/>
          <w:sz w:val="16"/>
          <w:szCs w:val="16"/>
          <w:color w:val="231F20"/>
        </w:rPr>
        <w:t>In spite of our efforts, Xencor or any future licensors might conclude that we are in material breach of obligations under our license agreements and may therefore have the right to terminate the license agreements, thereby removing our ability to develop and commercialize product candidates and technology covered by such license agreements. If such in-licenses are terminated, or if the underlying patents fail to provide the intended exclusivity, our competitors would have the freedom to seek regulatory approval of, and to market, products identical to our product candidates and the licensors to such in-licenses could prevent us from developing or commercializing product candidates that rely upon the patents or other intellectual property rights which were the subject matter of such terminated agreements.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and compete with our existing product candidates. Any of these events could adversely affect our business, financial condition, results of operations, and prospects.</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231F20"/>
        </w:rPr>
        <w:t>Disputes may arise regarding intellectual property subject to a licensing agreement, including:</w:t>
      </w:r>
    </w:p>
    <w:p>
      <w:pPr>
        <w:spacing w:after="0" w:line="207" w:lineRule="exact"/>
        <w:rPr>
          <w:sz w:val="20"/>
          <w:szCs w:val="20"/>
          <w:color w:val="auto"/>
        </w:rPr>
      </w:pPr>
    </w:p>
    <w:p>
      <w:pPr>
        <w:ind w:left="660" w:hanging="154"/>
        <w:spacing w:after="0"/>
        <w:tabs>
          <w:tab w:leader="none" w:pos="660" w:val="left"/>
        </w:tabs>
        <w:numPr>
          <w:ilvl w:val="0"/>
          <w:numId w:val="5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scope of rights granted under the license agreement and other interpretation-related issues;</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5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financial or other obligations under the license agreement;</w:t>
      </w:r>
    </w:p>
    <w:p>
      <w:pPr>
        <w:spacing w:after="0" w:line="108"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5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extent to which our processes infringe on intellectual property of the licensor that is not subject to the licensing agreement;</w:t>
      </w:r>
    </w:p>
    <w:p>
      <w:pPr>
        <w:spacing w:after="0" w:line="45"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5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sublicensing of patent and other rights under our collaborative development relationships;</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5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diligence obligations under the license agreement and what activities satisfy those obligations;</w:t>
      </w:r>
    </w:p>
    <w:p>
      <w:pPr>
        <w:spacing w:after="0" w:line="108"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5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inventorship or ownership of inventions and know-how resulting from the joint creation or use of intellectual property by our licensors and us and our partners; and</w:t>
      </w:r>
    </w:p>
    <w:p>
      <w:pPr>
        <w:spacing w:after="0" w:line="45"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5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priority of invention of patented technology.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94" w:name="page95"/>
    <w:bookmarkEnd w:id="9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firstLine="325"/>
        <w:spacing w:after="0" w:line="259" w:lineRule="auto"/>
        <w:rPr>
          <w:sz w:val="20"/>
          <w:szCs w:val="20"/>
          <w:color w:val="auto"/>
        </w:rPr>
      </w:pPr>
      <w:r>
        <w:rPr>
          <w:rFonts w:ascii="Times New Roman" w:cs="Times New Roman" w:eastAsia="Times New Roman" w:hAnsi="Times New Roman"/>
          <w:sz w:val="16"/>
          <w:szCs w:val="16"/>
          <w:color w:val="231F20"/>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increase what we believe to be our financial or other obligations under the relevant agreement, either of which could adversely affect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adversely affect our business, financial condition, results of operations, and prospects.</w:t>
      </w:r>
    </w:p>
    <w:p>
      <w:pPr>
        <w:spacing w:after="0" w:line="165" w:lineRule="exact"/>
        <w:rPr>
          <w:sz w:val="20"/>
          <w:szCs w:val="20"/>
          <w:color w:val="auto"/>
        </w:rPr>
      </w:pPr>
    </w:p>
    <w:p>
      <w:pPr>
        <w:jc w:val="both"/>
        <w:ind w:left="40" w:right="259"/>
        <w:spacing w:after="0" w:line="282" w:lineRule="auto"/>
        <w:rPr>
          <w:sz w:val="20"/>
          <w:szCs w:val="20"/>
          <w:color w:val="auto"/>
        </w:rPr>
      </w:pPr>
      <w:r>
        <w:rPr>
          <w:rFonts w:ascii="Times New Roman" w:cs="Times New Roman" w:eastAsia="Times New Roman" w:hAnsi="Times New Roman"/>
          <w:sz w:val="16"/>
          <w:szCs w:val="16"/>
          <w:b w:val="1"/>
          <w:bCs w:val="1"/>
          <w:i w:val="1"/>
          <w:iCs w:val="1"/>
          <w:color w:val="231F20"/>
        </w:rPr>
        <w:t>The operations of our suppliers, many of which are located outside of the United States, including our current sole CMO for drug substance and drug product, WuXi Biologics, which is located in China, are subject to additional risks that are beyond our control and that could harm our business, financial condition, results of operations and prospects.</w:t>
      </w:r>
    </w:p>
    <w:p>
      <w:pPr>
        <w:spacing w:after="0" w:line="149" w:lineRule="exact"/>
        <w:rPr>
          <w:sz w:val="20"/>
          <w:szCs w:val="20"/>
          <w:color w:val="auto"/>
        </w:rPr>
      </w:pPr>
    </w:p>
    <w:p>
      <w:pPr>
        <w:jc w:val="both"/>
        <w:ind w:left="40" w:right="259" w:firstLine="325"/>
        <w:spacing w:after="0" w:line="272" w:lineRule="auto"/>
        <w:rPr>
          <w:sz w:val="20"/>
          <w:szCs w:val="20"/>
          <w:color w:val="auto"/>
        </w:rPr>
      </w:pPr>
      <w:r>
        <w:rPr>
          <w:rFonts w:ascii="Times New Roman" w:cs="Times New Roman" w:eastAsia="Times New Roman" w:hAnsi="Times New Roman"/>
          <w:sz w:val="16"/>
          <w:szCs w:val="16"/>
          <w:color w:val="231F20"/>
        </w:rPr>
        <w:t>Currently, many of our suppliers primarily operate outside of the United States, including our current sole CMO, WuXi Biologics, which provides its services to us from facilities located in China. As a result, we are subject to risks associated with doing business abroad, including:</w:t>
      </w:r>
    </w:p>
    <w:p>
      <w:pPr>
        <w:spacing w:after="0" w:line="156" w:lineRule="exact"/>
        <w:rPr>
          <w:sz w:val="20"/>
          <w:szCs w:val="20"/>
          <w:color w:val="auto"/>
        </w:rPr>
      </w:pPr>
    </w:p>
    <w:p>
      <w:pPr>
        <w:ind w:left="660" w:right="279" w:hanging="154"/>
        <w:spacing w:after="0" w:line="289" w:lineRule="auto"/>
        <w:tabs>
          <w:tab w:leader="none" w:pos="660" w:val="left"/>
        </w:tabs>
        <w:numPr>
          <w:ilvl w:val="0"/>
          <w:numId w:val="5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geopolitical tensions, political unrest, terrorism, labor disputes and economic instability resulting in the disruption of trade from foreign countries in which our products are manufactured, particularly China;</w:t>
      </w:r>
    </w:p>
    <w:p>
      <w:pPr>
        <w:spacing w:after="0" w:line="45" w:lineRule="exact"/>
        <w:rPr>
          <w:rFonts w:ascii="Times New Roman" w:cs="Times New Roman" w:eastAsia="Times New Roman" w:hAnsi="Times New Roman"/>
          <w:sz w:val="16"/>
          <w:szCs w:val="16"/>
          <w:color w:val="231F20"/>
        </w:rPr>
      </w:pPr>
    </w:p>
    <w:p>
      <w:pPr>
        <w:jc w:val="both"/>
        <w:ind w:left="660" w:right="279" w:hanging="154"/>
        <w:spacing w:after="0" w:line="265" w:lineRule="auto"/>
        <w:tabs>
          <w:tab w:leader="none" w:pos="660" w:val="left"/>
        </w:tabs>
        <w:numPr>
          <w:ilvl w:val="0"/>
          <w:numId w:val="5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imposition of new laws and regulations, including those relating to labor conditions and safety standards, information and data transfer, imports, duties, taxes, and other charges on imports, as well as trade restrictions and restrictions on currency exchange or the transfer of funds, particularly new or increased tariffs imposed on imports from countries where our suppliers operate, including China, pursuant to our master services or commercial supply agreements with WuXi Biologics;</w:t>
      </w:r>
    </w:p>
    <w:p>
      <w:pPr>
        <w:spacing w:after="0" w:line="249"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5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greater challenges and increased costs with enforcing and periodically auditing or reviewing our suppliers’ and manufacturers’ compliance with cGMPs or status acceptable to the FDA or comparable foreign regulatory authorities;</w:t>
      </w:r>
    </w:p>
    <w:p>
      <w:pPr>
        <w:spacing w:after="0" w:line="45"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5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reduced protection for intellectual property rights, including trade secret protection, in some countries, particularly China;</w:t>
      </w:r>
    </w:p>
    <w:p>
      <w:pPr>
        <w:spacing w:after="0" w:line="108"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5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disruptions in operations due to global, regional, or local epidemics, pandemics and other public health crises, or other emergencies or natural disasters;</w:t>
      </w:r>
    </w:p>
    <w:p>
      <w:pPr>
        <w:spacing w:after="0" w:line="45"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5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disruptions or delays in shipments; and</w:t>
      </w:r>
    </w:p>
    <w:p>
      <w:pPr>
        <w:spacing w:after="0" w:line="84"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5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changes in local economic conditions in countries where our manufacturers or suppliers are located.</w:t>
      </w:r>
    </w:p>
    <w:p>
      <w:pPr>
        <w:spacing w:after="0" w:line="158" w:lineRule="exact"/>
        <w:rPr>
          <w:sz w:val="20"/>
          <w:szCs w:val="20"/>
          <w:color w:val="auto"/>
        </w:rPr>
      </w:pPr>
    </w:p>
    <w:p>
      <w:pPr>
        <w:jc w:val="both"/>
        <w:ind w:left="40" w:right="259" w:firstLine="325"/>
        <w:spacing w:after="0" w:line="272" w:lineRule="auto"/>
        <w:rPr>
          <w:sz w:val="20"/>
          <w:szCs w:val="20"/>
          <w:color w:val="auto"/>
        </w:rPr>
      </w:pPr>
      <w:r>
        <w:rPr>
          <w:rFonts w:ascii="Times New Roman" w:cs="Times New Roman" w:eastAsia="Times New Roman" w:hAnsi="Times New Roman"/>
          <w:sz w:val="16"/>
          <w:szCs w:val="16"/>
          <w:color w:val="231F20"/>
        </w:rPr>
        <w:t>If enacted, the BIOSECURE Act, which was introduced this year in Congress, would prohibit U.S. federal agencies from entering into or renewing a contract with any company that uses biotechnology equipment or services produced or provided by a “biotechnology company of concern” in the performance of that contract. This legislation would restrict the ability of biopharmaceutical companies that enter into contracts with or receive funding from U.S. federal agencies from purchasing services or equipment from certain Chinese biotechnology companies, including those that are specifically named in the proposed BIOSECURE Act. The current version of the BIOSECURE Act introduced in the House of Representatives names WuXi Biologics as a “biotechnology company of concern.”</w:t>
      </w:r>
    </w:p>
    <w:p>
      <w:pPr>
        <w:spacing w:after="0" w:line="360" w:lineRule="exact"/>
        <w:rPr>
          <w:sz w:val="20"/>
          <w:szCs w:val="20"/>
          <w:color w:val="auto"/>
        </w:rPr>
      </w:pPr>
    </w:p>
    <w:p>
      <w:pPr>
        <w:jc w:val="both"/>
        <w:ind w:left="40" w:right="259" w:firstLine="325"/>
        <w:spacing w:after="0" w:line="265" w:lineRule="auto"/>
        <w:rPr>
          <w:sz w:val="20"/>
          <w:szCs w:val="20"/>
          <w:color w:val="auto"/>
        </w:rPr>
      </w:pPr>
      <w:r>
        <w:rPr>
          <w:rFonts w:ascii="Times New Roman" w:cs="Times New Roman" w:eastAsia="Times New Roman" w:hAnsi="Times New Roman"/>
          <w:sz w:val="16"/>
          <w:szCs w:val="16"/>
          <w:color w:val="231F20"/>
        </w:rPr>
        <w:t>If adopted into law, the BIOSECURE Act in its current form would not prevent us from sourcing drug product from WuXi Biologics for clinical use, and we believe our current inventory of drug substance and drug product will be sufficient to complete our ongoing trials of obexelimab. Depending on the final language of the BIOSECURE Act, and how the law is interpreted by U.S. federal agencies, however, we could be potentially restricted from pursuing U.S. federal government business or government reimbursement for our products manufactured by WuXi Biologics or other suppliers or partners determined to be “biotechnology companies of concern.” Additionally, the legislation could adversely impact WuXi Biologics’ operations or financial position, which, in turn, could impact its ability to supply us with</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95" w:name="page96"/>
    <w:bookmarkEnd w:id="9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spacing w:after="0" w:line="280" w:lineRule="auto"/>
        <w:rPr>
          <w:sz w:val="20"/>
          <w:szCs w:val="20"/>
          <w:color w:val="auto"/>
        </w:rPr>
      </w:pPr>
      <w:r>
        <w:rPr>
          <w:rFonts w:ascii="Times New Roman" w:cs="Times New Roman" w:eastAsia="Times New Roman" w:hAnsi="Times New Roman"/>
          <w:sz w:val="16"/>
          <w:szCs w:val="16"/>
          <w:color w:val="231F20"/>
        </w:rPr>
        <w:t>product in the future. We may also face additional manufacturing and supply-chain risks due to the regulatory and political structure of China, or due to the deterioration of the relationship between China and the U.S., including but not limited to potential sanctions imposed by the U.S. government on WuXi Biologics, or any of the other countries in which our products are marketed.</w:t>
      </w:r>
    </w:p>
    <w:p>
      <w:pPr>
        <w:spacing w:after="0" w:line="149" w:lineRule="exact"/>
        <w:rPr>
          <w:sz w:val="20"/>
          <w:szCs w:val="20"/>
          <w:color w:val="auto"/>
        </w:rPr>
      </w:pPr>
    </w:p>
    <w:p>
      <w:pPr>
        <w:jc w:val="both"/>
        <w:ind w:left="40" w:right="259" w:firstLine="325"/>
        <w:spacing w:after="0" w:line="261" w:lineRule="auto"/>
        <w:rPr>
          <w:sz w:val="20"/>
          <w:szCs w:val="20"/>
          <w:color w:val="auto"/>
        </w:rPr>
      </w:pPr>
      <w:r>
        <w:rPr>
          <w:rFonts w:ascii="Times New Roman" w:cs="Times New Roman" w:eastAsia="Times New Roman" w:hAnsi="Times New Roman"/>
          <w:sz w:val="16"/>
          <w:szCs w:val="16"/>
          <w:color w:val="231F20"/>
        </w:rPr>
        <w:t>We also selected new CMOs in the United States to establish additional sources of supply for drug substance and drug product for both commercial and clinical use with third-party manufacturers that are not affiliated with WuXi Biologics or another “biotechnology company of concern” identified in the proposed BIOSECURE Act. However, establishing new manufacturers requires significant effort and time and any delay in securing, or inability to secure, a commercial supplier of drug substance or drug product for a product candidate, if approved, including as a result of delays in contracting, technology transfer, production of validation batches or obtaining an inspection by the FDA or other applicable foreign regulatory authorities, would delay commercialization timelines or prevent commercial sales if manufacturers cannot be qualified. For additional information on risks related to our current reliance on a sole manufacturer, please see “— Risks Related to Our Reliance on Third Parties — We currently rely on a single third-party manufacturer, WuXi Biologics, to supply our product candidates, including certain drug substances and drug products used in our product candidates. If we are unable to source these supplies on a timely basis, at sufficient quantities or at acceptable quality or prices, establish longer-term contracts with our CMOs, or our third-party manufacturers fails to comply with applicable regulatory requirements, we will not be able to complete our clinical trials on time and the development of our product candidates may be delayed.”</w:t>
      </w:r>
    </w:p>
    <w:p>
      <w:pPr>
        <w:spacing w:after="0" w:line="369" w:lineRule="exact"/>
        <w:rPr>
          <w:sz w:val="20"/>
          <w:szCs w:val="20"/>
          <w:color w:val="auto"/>
        </w:rPr>
      </w:pPr>
    </w:p>
    <w:p>
      <w:pPr>
        <w:jc w:val="both"/>
        <w:ind w:left="40" w:right="259" w:firstLine="325"/>
        <w:spacing w:after="0" w:line="280" w:lineRule="auto"/>
        <w:rPr>
          <w:sz w:val="20"/>
          <w:szCs w:val="20"/>
          <w:color w:val="auto"/>
        </w:rPr>
      </w:pPr>
      <w:r>
        <w:rPr>
          <w:rFonts w:ascii="Times New Roman" w:cs="Times New Roman" w:eastAsia="Times New Roman" w:hAnsi="Times New Roman"/>
          <w:sz w:val="16"/>
          <w:szCs w:val="16"/>
          <w:color w:val="231F20"/>
        </w:rPr>
        <w:t>These and other factors beyond our control could interrupt our suppliers’ production, influence the ability of our suppliers to export our clinical supplies cost-effectively or at all and inhibit our suppliers’ ability to procure certain materials, any of which could delay our clinical trials or otherwise harm our business, financial condition, results of operations and prospects.</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231F20"/>
        </w:rPr>
        <w:t>Risks Related to Ownership of Our Common Stock</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231F20"/>
        </w:rPr>
        <w:t>An active and liquid trading market for our common stock may not be sustained.</w:t>
      </w:r>
    </w:p>
    <w:p>
      <w:pPr>
        <w:spacing w:after="0" w:line="223"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Our common stock is listed on the Nasdaq Global Select Market under the symbol “ZBIO”. If an active or liquid trading market for our common stock is not sustained, it may be difficult for you to sell your shares of common stock at an attractive price or at all. It is possible that in one or more future periods our results of operations may be below the expectations of public market analysts and investors, and, as a result of these and other factors, the price of our common stock may fall. An inactive market may reduce the fair market value of your shares, impair our ability to raise capital by selling shares of our common stock in the future, and may impair our ability to enter into strategic collaborations or acquire companies or products by using our shares of common stock as consideration.</w:t>
      </w:r>
    </w:p>
    <w:p>
      <w:pPr>
        <w:spacing w:after="0" w:line="3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231F20"/>
        </w:rPr>
        <w:t>The market price of our common stock may be volatile, which could result in substantial losses for investors.</w:t>
      </w:r>
    </w:p>
    <w:p>
      <w:pPr>
        <w:spacing w:after="0" w:line="223" w:lineRule="exact"/>
        <w:rPr>
          <w:sz w:val="20"/>
          <w:szCs w:val="20"/>
          <w:color w:val="auto"/>
        </w:rPr>
      </w:pPr>
    </w:p>
    <w:p>
      <w:pPr>
        <w:jc w:val="both"/>
        <w:ind w:left="40" w:right="259" w:firstLine="325"/>
        <w:spacing w:after="0" w:line="272" w:lineRule="auto"/>
        <w:rPr>
          <w:sz w:val="20"/>
          <w:szCs w:val="20"/>
          <w:color w:val="auto"/>
        </w:rPr>
      </w:pPr>
      <w:r>
        <w:rPr>
          <w:rFonts w:ascii="Times New Roman" w:cs="Times New Roman" w:eastAsia="Times New Roman" w:hAnsi="Times New Roman"/>
          <w:sz w:val="16"/>
          <w:szCs w:val="16"/>
          <w:color w:val="231F20"/>
        </w:rPr>
        <w:t>Since shares of our common stock were sold in our IPO in September 2024 at a price of $17.00 per share and through October 31, 2024, the price per share of our common stock has ranged from $16.92 to $25.68. Some of the factors that may cause the market price of our common stock to fluctuate include:</w:t>
      </w:r>
    </w:p>
    <w:p>
      <w:pPr>
        <w:spacing w:after="0" w:line="156" w:lineRule="exact"/>
        <w:rPr>
          <w:sz w:val="20"/>
          <w:szCs w:val="20"/>
          <w:color w:val="auto"/>
        </w:rPr>
      </w:pPr>
    </w:p>
    <w:p>
      <w:pPr>
        <w:ind w:left="660" w:right="279" w:hanging="154"/>
        <w:spacing w:after="0" w:line="289" w:lineRule="auto"/>
        <w:tabs>
          <w:tab w:leader="none" w:pos="660" w:val="left"/>
        </w:tabs>
        <w:numPr>
          <w:ilvl w:val="0"/>
          <w:numId w:val="5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volatility in our operating results or the failure of our operating results to meet the expectations of investors or securities analysts;</w:t>
      </w:r>
    </w:p>
    <w:p>
      <w:pPr>
        <w:spacing w:after="0" w:line="45"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5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success of existing or new competitive product candidates or technologies;</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5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timing and results of preclinical and clinical studies for any product candidates that we may develop;</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5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failure or discontinuation of any of our product development and research programs;</w:t>
      </w:r>
    </w:p>
    <w:p>
      <w:pPr>
        <w:spacing w:after="0" w:line="121"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5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failure to commercialize our product candidates;</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5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success of the development of companion diagnostics, if required, for use with our product candidates;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96" w:name="page97"/>
    <w:bookmarkEnd w:id="9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279" w:hanging="154"/>
        <w:spacing w:after="0" w:line="289" w:lineRule="auto"/>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results of preclinical studies, clinical trials, or regulatory approvals of product candidates of our competitors, or announcements about new research programs or product candidates of our competitors;</w:t>
      </w:r>
    </w:p>
    <w:p>
      <w:pPr>
        <w:spacing w:after="0" w:line="57"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commencement or termination of collaborations for our product development and research programs;</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regulatory or legal developments in the United States and other countries;</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developments or disputes concerning patent applications, issued patents, or other proprietary rights;</w:t>
      </w:r>
    </w:p>
    <w:p>
      <w:pPr>
        <w:spacing w:after="0" w:line="121"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recruitment or departure of key personnel;</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level of expenses related to any of our research programs or product candidates that we may develop;</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results of our efforts to develop additional product candidates or products;</w:t>
      </w:r>
    </w:p>
    <w:p>
      <w:pPr>
        <w:spacing w:after="0" w:line="108"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actual or anticipated changes in estimates as to financial results, development timelines, or recommendations by securities analysts;</w:t>
      </w:r>
    </w:p>
    <w:p>
      <w:pPr>
        <w:spacing w:after="0" w:line="57"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announcement or expectation of additional financing efforts;</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sales or perceived potential sales of our common stock by us, our insiders or other stockholders;</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expiration of market stand-off or lock-up agreements;</w:t>
      </w:r>
    </w:p>
    <w:p>
      <w:pPr>
        <w:spacing w:after="0" w:line="121"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any changes to our relationship with manufacturers, suppliers, collaborators or other strategic partners;</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manufacturing or supply shortages;</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variations in our financial results or those of companies that are perceived to be similar to us;</w:t>
      </w:r>
    </w:p>
    <w:p>
      <w:pPr>
        <w:spacing w:after="0" w:line="121"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changes in estimates or recommendations by securities analysts, if any, that cover our stock;</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press reports, whether or not true, about our business;</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failure to meet the estimates and projections of the investment community or that we may otherwise provide to the public;</w:t>
      </w:r>
    </w:p>
    <w:p>
      <w:pPr>
        <w:spacing w:after="0" w:line="84"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changes in the structure of healthcare payment systems;</w:t>
      </w:r>
    </w:p>
    <w:p>
      <w:pPr>
        <w:spacing w:after="0" w:line="121"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fluctuations in the valuation of companies perceived by investors to be comparable to us;</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announcement or expectation of additional financing efforts;</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inability to obtain additional funding;</w:t>
      </w:r>
    </w:p>
    <w:p>
      <w:pPr>
        <w:spacing w:after="0" w:line="121"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market conditions in the pharmaceutical and biotechnology sectors;</w:t>
      </w:r>
    </w:p>
    <w:p>
      <w:pPr>
        <w:spacing w:after="0" w:line="108" w:lineRule="exact"/>
        <w:rPr>
          <w:rFonts w:ascii="Times New Roman" w:cs="Times New Roman" w:eastAsia="Times New Roman" w:hAnsi="Times New Roman"/>
          <w:sz w:val="16"/>
          <w:szCs w:val="16"/>
          <w:color w:val="231F20"/>
        </w:rPr>
      </w:pPr>
    </w:p>
    <w:p>
      <w:pPr>
        <w:jc w:val="both"/>
        <w:ind w:left="660" w:right="279" w:hanging="154"/>
        <w:spacing w:after="0" w:line="280" w:lineRule="auto"/>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general global economic, industry, political and market conditions, such as military conflict or war, inflation and financial institution instability, or pandemic or epidemic disease outbreaks, such as COVID-19, many of which are beyond our control; and</w:t>
      </w:r>
    </w:p>
    <w:p>
      <w:pPr>
        <w:spacing w:after="0" w:line="51"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6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other factors described in this “Risk Factors” section and elsewhere in this Quarterly Report, including those which are outside of our control.</w:t>
      </w:r>
    </w:p>
    <w:p>
      <w:pPr>
        <w:spacing w:after="0" w:line="69"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 market price of our common stock may decline, and you may lose some or all of your investment.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97" w:name="page98"/>
    <w:bookmarkEnd w:id="9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firstLine="325"/>
        <w:spacing w:after="0" w:line="305" w:lineRule="auto"/>
        <w:rPr>
          <w:sz w:val="20"/>
          <w:szCs w:val="20"/>
          <w:color w:val="auto"/>
        </w:rPr>
      </w:pPr>
      <w:r>
        <w:rPr>
          <w:rFonts w:ascii="Times New Roman" w:cs="Times New Roman" w:eastAsia="Times New Roman" w:hAnsi="Times New Roman"/>
          <w:sz w:val="16"/>
          <w:szCs w:val="16"/>
          <w:color w:val="231F20"/>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130"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Sales of a substantial number of shares of our common stock in the public market could occur at any time. These sales upon the expiration of the lock-up agreements entered into by holders of substantially all of our common stock outstanding immediately prior to our IPO, the early release of the lock-ups, or the perception in the market that the holders of a large number of shares of common stock intend to sell shares, could reduce the market price of our common stock. As of October 31, 2024, we have 41,791,037 shares of common stock outstanding. Of these shares, 15,220,588 shares sold in our IPO may be resold in the public market immediately, unless held by our affiliates. The remaining shares are currently restricted under securities laws or as a result of lock-up or other agreements, subject in some cases to applicable volume limitations under Rule 144 beginning after the close of trading on March 11, 2025.</w:t>
      </w:r>
    </w:p>
    <w:p>
      <w:pPr>
        <w:spacing w:after="0" w:line="163" w:lineRule="exact"/>
        <w:rPr>
          <w:sz w:val="20"/>
          <w:szCs w:val="20"/>
          <w:color w:val="auto"/>
        </w:rPr>
      </w:pPr>
    </w:p>
    <w:p>
      <w:pPr>
        <w:jc w:val="both"/>
        <w:ind w:left="40" w:right="259" w:firstLine="325"/>
        <w:spacing w:after="0" w:line="265" w:lineRule="auto"/>
        <w:rPr>
          <w:sz w:val="20"/>
          <w:szCs w:val="20"/>
          <w:color w:val="auto"/>
        </w:rPr>
      </w:pPr>
      <w:r>
        <w:rPr>
          <w:rFonts w:ascii="Times New Roman" w:cs="Times New Roman" w:eastAsia="Times New Roman" w:hAnsi="Times New Roman"/>
          <w:sz w:val="16"/>
          <w:szCs w:val="16"/>
          <w:color w:val="231F20"/>
        </w:rPr>
        <w:t>Moreover, holders of an aggregate of 26,557,087 shares of our common stock have rights, subject to conditions, to require us to file registration statements covering their shares or to include their shares in registration statements that we may file for ourselves or other stockholders. We also registered all shares of common stock that we may issue under our equity compensation plans or that are issuable upon exercise of outstanding options. These shares can be freely sold in the public market upon issuance and once vested, subject to volume limitations applicable to affiliates and the lock-up agreements entered into in connection with our IPO. If any of these additional shares are sold, or if it is perceived that they will be sold, in the public market, the market price of our common stock could decline.</w:t>
      </w:r>
    </w:p>
    <w:p>
      <w:pPr>
        <w:spacing w:after="0" w:line="161" w:lineRule="exact"/>
        <w:rPr>
          <w:sz w:val="20"/>
          <w:szCs w:val="20"/>
          <w:color w:val="auto"/>
        </w:rPr>
      </w:pPr>
    </w:p>
    <w:p>
      <w:pPr>
        <w:jc w:val="both"/>
        <w:ind w:left="40" w:right="259"/>
        <w:spacing w:after="0" w:line="295" w:lineRule="auto"/>
        <w:rPr>
          <w:sz w:val="20"/>
          <w:szCs w:val="20"/>
          <w:color w:val="auto"/>
        </w:rPr>
      </w:pPr>
      <w:r>
        <w:rPr>
          <w:rFonts w:ascii="Times New Roman" w:cs="Times New Roman" w:eastAsia="Times New Roman" w:hAnsi="Times New Roman"/>
          <w:sz w:val="16"/>
          <w:szCs w:val="16"/>
          <w:b w:val="1"/>
          <w:bCs w:val="1"/>
          <w:i w:val="1"/>
          <w:iCs w:val="1"/>
          <w:color w:val="231F20"/>
        </w:rPr>
        <w:t>Insiders have substantial influence over us, which could limit your ability to affect the outcome of key transactions, including a change of control.</w:t>
      </w:r>
    </w:p>
    <w:p>
      <w:pPr>
        <w:spacing w:after="0" w:line="150" w:lineRule="exact"/>
        <w:rPr>
          <w:sz w:val="20"/>
          <w:szCs w:val="20"/>
          <w:color w:val="auto"/>
        </w:rPr>
      </w:pPr>
    </w:p>
    <w:p>
      <w:pPr>
        <w:jc w:val="both"/>
        <w:ind w:left="40" w:right="259" w:firstLine="325"/>
        <w:spacing w:after="0" w:line="271" w:lineRule="auto"/>
        <w:rPr>
          <w:sz w:val="20"/>
          <w:szCs w:val="20"/>
          <w:color w:val="auto"/>
        </w:rPr>
      </w:pPr>
      <w:r>
        <w:rPr>
          <w:rFonts w:ascii="Times New Roman" w:cs="Times New Roman" w:eastAsia="Times New Roman" w:hAnsi="Times New Roman"/>
          <w:sz w:val="16"/>
          <w:szCs w:val="16"/>
          <w:color w:val="231F20"/>
        </w:rPr>
        <w:t>Our directors, executive officers and greater than 5% stockholders and their affiliates, in the aggregate, beneficially own shares representing approximately 49% of our outstanding common stock as of September 30, 2024. As a result, these stockholders, if they act together, will be able to influence our management and affairs and all matters requiring stockholder approval, including the election of directors and approval of significant corporate transactions. The interests of these holders may not always coincide with our corporate interests or the interests of other stockholders, and they may act in a manner with which you may not agree or that may not be in the best interests of our other stockholders. This concentration of ownership may have the effect of delaying or preventing a change in control of our company and might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98" w:name="page99"/>
    <w:bookmarkEnd w:id="9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40" w:right="259"/>
        <w:spacing w:after="0" w:line="311" w:lineRule="auto"/>
        <w:rPr>
          <w:sz w:val="20"/>
          <w:szCs w:val="20"/>
          <w:color w:val="auto"/>
        </w:rPr>
      </w:pPr>
      <w:r>
        <w:rPr>
          <w:rFonts w:ascii="Times New Roman" w:cs="Times New Roman" w:eastAsia="Times New Roman" w:hAnsi="Times New Roman"/>
          <w:sz w:val="16"/>
          <w:szCs w:val="16"/>
          <w:b w:val="1"/>
          <w:bCs w:val="1"/>
          <w:i w:val="1"/>
          <w:iCs w:val="1"/>
          <w:color w:val="231F20"/>
        </w:rPr>
        <w:t>Because we do not anticipate paying any cash dividends on our common stock in the foreseeable future, capital appreciation, if any, will be your sole source of gain.</w:t>
      </w:r>
    </w:p>
    <w:p>
      <w:pPr>
        <w:spacing w:after="0" w:line="125" w:lineRule="exact"/>
        <w:rPr>
          <w:sz w:val="20"/>
          <w:szCs w:val="20"/>
          <w:color w:val="auto"/>
        </w:rPr>
      </w:pPr>
    </w:p>
    <w:p>
      <w:pPr>
        <w:jc w:val="both"/>
        <w:ind w:left="40" w:right="259" w:firstLine="325"/>
        <w:spacing w:after="0" w:line="277" w:lineRule="auto"/>
        <w:rPr>
          <w:sz w:val="20"/>
          <w:szCs w:val="20"/>
          <w:color w:val="auto"/>
        </w:rPr>
      </w:pPr>
      <w:r>
        <w:rPr>
          <w:rFonts w:ascii="Times New Roman" w:cs="Times New Roman" w:eastAsia="Times New Roman" w:hAnsi="Times New Roman"/>
          <w:sz w:val="16"/>
          <w:szCs w:val="16"/>
          <w:color w:val="231F20"/>
        </w:rPr>
        <w:t>We have never declared or paid any cash dividends on our common stock. We currently anticipate that we will retain future earnings for the development, operation and expansion of our business and do not anticipate declaring or paying any cash dividends in the foreseeable future. As a result, capital appreciation, if any, of our common stock will be your sole source of gain on an investment in our common stock in the foreseeable future.</w:t>
      </w:r>
    </w:p>
    <w:p>
      <w:pPr>
        <w:spacing w:after="0" w:line="160" w:lineRule="exact"/>
        <w:rPr>
          <w:sz w:val="20"/>
          <w:szCs w:val="20"/>
          <w:color w:val="auto"/>
        </w:rPr>
      </w:pPr>
    </w:p>
    <w:p>
      <w:pPr>
        <w:jc w:val="both"/>
        <w:ind w:left="40" w:right="259"/>
        <w:spacing w:after="0" w:line="295" w:lineRule="auto"/>
        <w:rPr>
          <w:sz w:val="20"/>
          <w:szCs w:val="20"/>
          <w:color w:val="auto"/>
        </w:rPr>
      </w:pPr>
      <w:r>
        <w:rPr>
          <w:rFonts w:ascii="Times New Roman" w:cs="Times New Roman" w:eastAsia="Times New Roman" w:hAnsi="Times New Roman"/>
          <w:sz w:val="16"/>
          <w:szCs w:val="16"/>
          <w:b w:val="1"/>
          <w:bCs w:val="1"/>
          <w:i w:val="1"/>
          <w:iCs w:val="1"/>
          <w:color w:val="231F20"/>
        </w:rPr>
        <w:t>We are an “emerging growth company,” and the reduced disclosure requirements applicable to emerging growth companies may make our common stock less attractive to investors.</w:t>
      </w:r>
    </w:p>
    <w:p>
      <w:pPr>
        <w:spacing w:after="0" w:line="138" w:lineRule="exact"/>
        <w:rPr>
          <w:sz w:val="20"/>
          <w:szCs w:val="20"/>
          <w:color w:val="auto"/>
        </w:rPr>
      </w:pPr>
    </w:p>
    <w:p>
      <w:pPr>
        <w:jc w:val="both"/>
        <w:ind w:left="40" w:right="259" w:firstLine="325"/>
        <w:spacing w:after="0" w:line="268" w:lineRule="auto"/>
        <w:rPr>
          <w:sz w:val="20"/>
          <w:szCs w:val="20"/>
          <w:color w:val="auto"/>
        </w:rPr>
      </w:pPr>
      <w:r>
        <w:rPr>
          <w:rFonts w:ascii="Times New Roman" w:cs="Times New Roman" w:eastAsia="Times New Roman" w:hAnsi="Times New Roman"/>
          <w:sz w:val="16"/>
          <w:szCs w:val="16"/>
          <w:color w:val="231F20"/>
        </w:rPr>
        <w:t>We are an “emerging growth company,” as defined in the JOBS Act and we may remain an emerging growth company until December 31, 2029.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3" w:lineRule="exact"/>
        <w:rPr>
          <w:sz w:val="20"/>
          <w:szCs w:val="20"/>
          <w:color w:val="auto"/>
        </w:rPr>
      </w:pPr>
    </w:p>
    <w:p>
      <w:pPr>
        <w:jc w:val="both"/>
        <w:ind w:left="40" w:right="259" w:firstLine="325"/>
        <w:spacing w:after="0" w:line="271" w:lineRule="auto"/>
        <w:rPr>
          <w:sz w:val="20"/>
          <w:szCs w:val="20"/>
          <w:color w:val="auto"/>
        </w:rPr>
      </w:pPr>
      <w:r>
        <w:rPr>
          <w:rFonts w:ascii="Times New Roman" w:cs="Times New Roman" w:eastAsia="Times New Roman" w:hAnsi="Times New Roman"/>
          <w:sz w:val="16"/>
          <w:szCs w:val="16"/>
          <w:color w:val="231F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w:t>
      </w:r>
    </w:p>
    <w:p>
      <w:pPr>
        <w:spacing w:after="0" w:line="169" w:lineRule="exact"/>
        <w:rPr>
          <w:sz w:val="20"/>
          <w:szCs w:val="20"/>
          <w:color w:val="auto"/>
        </w:rPr>
      </w:pPr>
    </w:p>
    <w:p>
      <w:pPr>
        <w:ind w:left="160" w:right="259" w:firstLine="4"/>
        <w:spacing w:after="0" w:line="289" w:lineRule="auto"/>
        <w:tabs>
          <w:tab w:leader="none" w:pos="389" w:val="left"/>
        </w:tabs>
        <w:numPr>
          <w:ilvl w:val="0"/>
          <w:numId w:val="6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no longer qualify as an emerging growth company. Therefore, the reported results of operations contained in our financial statements may not be directly comparable to those of other public companies.</w:t>
      </w:r>
    </w:p>
    <w:p>
      <w:pPr>
        <w:spacing w:after="0" w:line="334" w:lineRule="exact"/>
        <w:rPr>
          <w:sz w:val="20"/>
          <w:szCs w:val="20"/>
          <w:color w:val="auto"/>
        </w:rPr>
      </w:pPr>
    </w:p>
    <w:p>
      <w:pPr>
        <w:jc w:val="both"/>
        <w:ind w:left="40" w:right="259"/>
        <w:spacing w:after="0" w:line="273" w:lineRule="auto"/>
        <w:rPr>
          <w:sz w:val="20"/>
          <w:szCs w:val="20"/>
          <w:color w:val="auto"/>
        </w:rPr>
      </w:pPr>
      <w:r>
        <w:rPr>
          <w:rFonts w:ascii="Times New Roman" w:cs="Times New Roman" w:eastAsia="Times New Roman" w:hAnsi="Times New Roman"/>
          <w:sz w:val="16"/>
          <w:szCs w:val="16"/>
          <w:b w:val="1"/>
          <w:bCs w:val="1"/>
          <w:i w:val="1"/>
          <w:iCs w:val="1"/>
          <w:color w:val="231F20"/>
        </w:rPr>
        <w:t>Provisions in our Second Restated Certificate of Incorporation (our “Restated Charter”), our Amended and Restated Bylaws (our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55" w:lineRule="exact"/>
        <w:rPr>
          <w:sz w:val="20"/>
          <w:szCs w:val="20"/>
          <w:color w:val="auto"/>
        </w:rPr>
      </w:pPr>
    </w:p>
    <w:p>
      <w:pPr>
        <w:jc w:val="both"/>
        <w:ind w:left="40" w:right="259" w:firstLine="325"/>
        <w:spacing w:after="0" w:line="298" w:lineRule="auto"/>
        <w:rPr>
          <w:sz w:val="20"/>
          <w:szCs w:val="20"/>
          <w:color w:val="auto"/>
        </w:rPr>
      </w:pPr>
      <w:r>
        <w:rPr>
          <w:rFonts w:ascii="Times New Roman" w:cs="Times New Roman" w:eastAsia="Times New Roman" w:hAnsi="Times New Roman"/>
          <w:sz w:val="15"/>
          <w:szCs w:val="15"/>
          <w:color w:val="231F20"/>
        </w:rPr>
        <w:t>Our Restated Charter and Restated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Restated Charter and Restated Bylaws include provisions that:</w:t>
      </w:r>
    </w:p>
    <w:p>
      <w:pPr>
        <w:spacing w:after="0" w:line="139" w:lineRule="exact"/>
        <w:rPr>
          <w:sz w:val="20"/>
          <w:szCs w:val="20"/>
          <w:color w:val="auto"/>
        </w:rPr>
      </w:pPr>
    </w:p>
    <w:p>
      <w:pPr>
        <w:ind w:left="660" w:right="279" w:hanging="154"/>
        <w:spacing w:after="0" w:line="289" w:lineRule="auto"/>
        <w:tabs>
          <w:tab w:leader="none" w:pos="660" w:val="left"/>
        </w:tabs>
        <w:numPr>
          <w:ilvl w:val="0"/>
          <w:numId w:val="6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authorize “blank check” preferred stock, which could be issued by our board of directors without stockholder approval and may contain voting, liquidation, dividend and other rights superior to our common stock;</w:t>
      </w:r>
    </w:p>
    <w:p>
      <w:pPr>
        <w:spacing w:after="0" w:line="45"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create a classified board of directors whose members serve staggered three-year terms;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7309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99" w:name="page100"/>
    <w:bookmarkEnd w:id="9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hanging="154"/>
        <w:spacing w:after="0"/>
        <w:tabs>
          <w:tab w:leader="none" w:pos="660" w:val="left"/>
        </w:tabs>
        <w:numPr>
          <w:ilvl w:val="0"/>
          <w:numId w:val="6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specify that special meetings of our stockholders can be called only by our board of directors;</w:t>
      </w:r>
    </w:p>
    <w:p>
      <w:pPr>
        <w:spacing w:after="0" w:line="121"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prohibit stockholder action by written consent;</w:t>
      </w:r>
    </w:p>
    <w:p>
      <w:pPr>
        <w:spacing w:after="0" w:line="108"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6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establish an advance notice procedure for stockholder approvals to be brought before an annual meeting of our stockholders, including proposed nominations of persons for election to our board of directors;</w:t>
      </w:r>
    </w:p>
    <w:p>
      <w:pPr>
        <w:spacing w:after="0" w:line="45"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6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provide that vacancies on our board of directors may be filled only by a majority of directors then in office, even though less than a quorum;</w:t>
      </w:r>
    </w:p>
    <w:p>
      <w:pPr>
        <w:spacing w:after="0" w:line="45"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provide that our directors may be removed only for cause;</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specify that no stockholder is permitted to cumulate votes at any election of directors;</w:t>
      </w:r>
    </w:p>
    <w:p>
      <w:pPr>
        <w:spacing w:after="0" w:line="108" w:lineRule="exact"/>
        <w:rPr>
          <w:rFonts w:ascii="Times New Roman" w:cs="Times New Roman" w:eastAsia="Times New Roman" w:hAnsi="Times New Roman"/>
          <w:sz w:val="16"/>
          <w:szCs w:val="16"/>
          <w:color w:val="231F20"/>
        </w:rPr>
      </w:pPr>
    </w:p>
    <w:p>
      <w:pPr>
        <w:ind w:left="660" w:hanging="154"/>
        <w:spacing w:after="0"/>
        <w:tabs>
          <w:tab w:leader="none" w:pos="660" w:val="left"/>
        </w:tabs>
        <w:numPr>
          <w:ilvl w:val="0"/>
          <w:numId w:val="6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expressly authorize our board of directors to modify, alter or repeal our Restated Bylaws; and</w:t>
      </w:r>
    </w:p>
    <w:p>
      <w:pPr>
        <w:spacing w:after="0" w:line="108" w:lineRule="exact"/>
        <w:rPr>
          <w:rFonts w:ascii="Times New Roman" w:cs="Times New Roman" w:eastAsia="Times New Roman" w:hAnsi="Times New Roman"/>
          <w:sz w:val="16"/>
          <w:szCs w:val="16"/>
          <w:color w:val="231F20"/>
        </w:rPr>
      </w:pPr>
    </w:p>
    <w:p>
      <w:pPr>
        <w:ind w:left="660" w:right="279" w:hanging="154"/>
        <w:spacing w:after="0" w:line="289" w:lineRule="auto"/>
        <w:tabs>
          <w:tab w:leader="none" w:pos="660" w:val="left"/>
        </w:tabs>
        <w:numPr>
          <w:ilvl w:val="0"/>
          <w:numId w:val="6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require supermajority votes of the holders of our common stock to amend specified provisions of our Restated Charter and Restated Bylaws.</w:t>
      </w:r>
    </w:p>
    <w:p>
      <w:pPr>
        <w:spacing w:after="0" w:line="82" w:lineRule="exact"/>
        <w:rPr>
          <w:sz w:val="20"/>
          <w:szCs w:val="20"/>
          <w:color w:val="auto"/>
        </w:rPr>
      </w:pPr>
    </w:p>
    <w:p>
      <w:pPr>
        <w:jc w:val="both"/>
        <w:ind w:left="40" w:right="259" w:firstLine="325"/>
        <w:spacing w:after="0" w:line="272" w:lineRule="auto"/>
        <w:rPr>
          <w:sz w:val="20"/>
          <w:szCs w:val="20"/>
          <w:color w:val="auto"/>
        </w:rPr>
      </w:pPr>
      <w:r>
        <w:rPr>
          <w:rFonts w:ascii="Times New Roman" w:cs="Times New Roman" w:eastAsia="Times New Roman" w:hAnsi="Times New Roman"/>
          <w:sz w:val="16"/>
          <w:szCs w:val="16"/>
          <w:color w:val="231F20"/>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p>
    <w:p>
      <w:pPr>
        <w:spacing w:after="0" w:line="156" w:lineRule="exact"/>
        <w:rPr>
          <w:sz w:val="20"/>
          <w:szCs w:val="20"/>
          <w:color w:val="auto"/>
        </w:rPr>
      </w:pPr>
    </w:p>
    <w:p>
      <w:pPr>
        <w:jc w:val="both"/>
        <w:ind w:left="40" w:right="259" w:firstLine="325"/>
        <w:spacing w:after="0" w:line="265" w:lineRule="auto"/>
        <w:rPr>
          <w:sz w:val="20"/>
          <w:szCs w:val="20"/>
          <w:color w:val="auto"/>
        </w:rPr>
      </w:pPr>
      <w:r>
        <w:rPr>
          <w:rFonts w:ascii="Times New Roman" w:cs="Times New Roman" w:eastAsia="Times New Roman" w:hAnsi="Times New Roman"/>
          <w:sz w:val="16"/>
          <w:szCs w:val="16"/>
          <w:color w:val="231F20"/>
        </w:rPr>
        <w:t>In addition, because we are incorporated in the State of Delaware, we are governed by the provisions of Section 203 of the General Corporation Law of the State of Delaware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359" w:lineRule="exact"/>
        <w:rPr>
          <w:sz w:val="20"/>
          <w:szCs w:val="20"/>
          <w:color w:val="auto"/>
        </w:rPr>
      </w:pPr>
    </w:p>
    <w:p>
      <w:pPr>
        <w:jc w:val="both"/>
        <w:ind w:left="40" w:right="259" w:firstLine="325"/>
        <w:spacing w:after="0" w:line="272" w:lineRule="auto"/>
        <w:rPr>
          <w:sz w:val="20"/>
          <w:szCs w:val="20"/>
          <w:color w:val="auto"/>
        </w:rPr>
      </w:pPr>
      <w:r>
        <w:rPr>
          <w:rFonts w:ascii="Times New Roman" w:cs="Times New Roman" w:eastAsia="Times New Roman" w:hAnsi="Times New Roman"/>
          <w:sz w:val="16"/>
          <w:szCs w:val="16"/>
          <w:color w:val="231F20"/>
        </w:rPr>
        <w:t>Any provision of our Restated Charter,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52" w:lineRule="exact"/>
        <w:rPr>
          <w:sz w:val="20"/>
          <w:szCs w:val="20"/>
          <w:color w:val="auto"/>
        </w:rPr>
      </w:pPr>
    </w:p>
    <w:p>
      <w:pPr>
        <w:jc w:val="both"/>
        <w:ind w:left="40" w:right="259"/>
        <w:spacing w:after="0" w:line="295" w:lineRule="auto"/>
        <w:rPr>
          <w:sz w:val="20"/>
          <w:szCs w:val="20"/>
          <w:color w:val="auto"/>
        </w:rPr>
      </w:pPr>
      <w:r>
        <w:rPr>
          <w:rFonts w:ascii="Times New Roman" w:cs="Times New Roman" w:eastAsia="Times New Roman" w:hAnsi="Times New Roman"/>
          <w:sz w:val="16"/>
          <w:szCs w:val="16"/>
          <w:b w:val="1"/>
          <w:bCs w:val="1"/>
          <w:i w:val="1"/>
          <w:iCs w:val="1"/>
          <w:color w:val="231F20"/>
        </w:rPr>
        <w:t>Our Restated Charter designates specific courts as the sole and exclusive forum for certain claims or causes of action that may be brought by our stockholders, which could discourage lawsuits against us and our directors and officers.</w:t>
      </w:r>
    </w:p>
    <w:p>
      <w:pPr>
        <w:spacing w:after="0" w:line="138"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Our Restated Charter provides that, subject to limited exceptions, the Court of Chancery of the State of Delaware (or, if, and only if, the Court of Chancery of the State of Delaware dismisses a Covered Claim (as defined below) for lack of subject matter jurisdiction, any other state or federal court in the State of Delaware that does have subject matter jurisdiction) will, to the fullest extent permitted by applicable law, be the sole and exclusive forum for the following types of claims: (i) any derivative claim brought in the right of the Company,</w:t>
      </w:r>
    </w:p>
    <w:p>
      <w:pPr>
        <w:spacing w:after="0" w:line="164" w:lineRule="exact"/>
        <w:rPr>
          <w:sz w:val="20"/>
          <w:szCs w:val="20"/>
          <w:color w:val="auto"/>
        </w:rPr>
      </w:pPr>
    </w:p>
    <w:p>
      <w:pPr>
        <w:jc w:val="both"/>
        <w:ind w:left="40" w:right="59" w:firstLine="2"/>
        <w:spacing w:after="0" w:line="260" w:lineRule="auto"/>
        <w:tabs>
          <w:tab w:leader="none" w:pos="298" w:val="left"/>
        </w:tabs>
        <w:numPr>
          <w:ilvl w:val="0"/>
          <w:numId w:val="6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any claim asserting a breach of a fiduciary duty to the Company or the Company’s stockholders owed by any current or former director, officer or other employee or stockholder of the Company, (iii) any claim against the Company arising pursuant to any provision of the DGCL, our Restated Charter or Restated Bylaws, (iv) any claim to interpret, apply, enforce or determine the validity of our Restated Charter or Restated Bylaws, (v) any claim against the Company governed by the internal affairs doctrine, and (vi) any other claim, not subject to exclusive federal jurisdiction and not asserting a cause of action arising under the Securities Act of 1933, as amended (the “Securities Act”), brought in any action asserting one or more of the claims specified in clauses (a)(i) through (v) herein above (each a “Covered Claim”). This provision does not apply to claims brought to enforce a duty or liability created by the Exchange Act.</w:t>
      </w:r>
    </w:p>
    <w:p>
      <w:pPr>
        <w:spacing w:after="0" w:line="362"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Our Restated Charter further provides that the federal district courts of the United States of America will be the exclusive forum for resolving any complaint asserting a cause of action arising under the Securities Act. In addition, our Restated Charter provides that any person or entity purchasing or otherwise acquiring any interest in the shares of capital stock of the Company will be deemed to have notice of and consented to these choice-of-forum provisions and waived any argument relating to the inconvenience of the forums in connection with any Covered Claim.</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00" w:name="page101"/>
    <w:bookmarkEnd w:id="10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firstLine="325"/>
        <w:spacing w:after="0" w:line="259" w:lineRule="auto"/>
        <w:rPr>
          <w:sz w:val="20"/>
          <w:szCs w:val="20"/>
          <w:color w:val="auto"/>
        </w:rPr>
      </w:pPr>
      <w:r>
        <w:rPr>
          <w:rFonts w:ascii="Times New Roman" w:cs="Times New Roman" w:eastAsia="Times New Roman" w:hAnsi="Times New Roman"/>
          <w:sz w:val="16"/>
          <w:szCs w:val="16"/>
          <w:color w:val="231F20"/>
        </w:rPr>
        <w:t>The choice of forum provisions contained in our Restated Charter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While the Delaware courts have determined that such choice of forum provisions are facially valid, it is possible that a court of law in another jurisdiction could rule that the choice of forum provisions contained in our Restated Charter are inapplicable or unenforceable if they are challenged in a proceeding or otherwise, which could cause us to incur additional costs associated with resolving such action in other jurisdictions. The choice of forum provisions may also impose additional litigation costs on stockholders who assert that the provisions are not enforceable or invalid.</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231F20"/>
        </w:rPr>
        <w:t>General Risk Factors</w:t>
      </w:r>
    </w:p>
    <w:p>
      <w:pPr>
        <w:spacing w:after="0" w:line="144" w:lineRule="exact"/>
        <w:rPr>
          <w:sz w:val="20"/>
          <w:szCs w:val="20"/>
          <w:color w:val="auto"/>
        </w:rPr>
      </w:pPr>
    </w:p>
    <w:p>
      <w:pPr>
        <w:jc w:val="both"/>
        <w:ind w:left="40" w:right="259"/>
        <w:spacing w:after="0" w:line="295" w:lineRule="auto"/>
        <w:rPr>
          <w:sz w:val="20"/>
          <w:szCs w:val="20"/>
          <w:color w:val="auto"/>
        </w:rPr>
      </w:pPr>
      <w:r>
        <w:rPr>
          <w:rFonts w:ascii="Times New Roman" w:cs="Times New Roman" w:eastAsia="Times New Roman" w:hAnsi="Times New Roman"/>
          <w:sz w:val="16"/>
          <w:szCs w:val="16"/>
          <w:b w:val="1"/>
          <w:bCs w:val="1"/>
          <w:i w:val="1"/>
          <w:iCs w:val="1"/>
          <w:color w:val="231F20"/>
        </w:rPr>
        <w:t>Unstable economic and market conditions may have serious adverse consequences on our business, financial condition and stock price.</w:t>
      </w:r>
    </w:p>
    <w:p>
      <w:pPr>
        <w:spacing w:after="0" w:line="150" w:lineRule="exact"/>
        <w:rPr>
          <w:sz w:val="20"/>
          <w:szCs w:val="20"/>
          <w:color w:val="auto"/>
        </w:rPr>
      </w:pPr>
    </w:p>
    <w:p>
      <w:pPr>
        <w:jc w:val="both"/>
        <w:ind w:left="40" w:right="259" w:firstLine="325"/>
        <w:spacing w:after="0" w:line="256" w:lineRule="auto"/>
        <w:rPr>
          <w:sz w:val="20"/>
          <w:szCs w:val="20"/>
          <w:color w:val="auto"/>
        </w:rPr>
      </w:pPr>
      <w:r>
        <w:rPr>
          <w:rFonts w:ascii="Times New Roman" w:cs="Times New Roman" w:eastAsia="Times New Roman" w:hAnsi="Times New Roman"/>
          <w:sz w:val="16"/>
          <w:szCs w:val="16"/>
          <w:color w:val="231F20"/>
        </w:rPr>
        <w:t>Global economic and business activities continue to face widespread uncertainties, and global credit and financial markets have experienced extreme volatility and disruptions in the past several years, including severely diminished liquidity and credit availability, rising inflation and monetary supply shifts, rising interest rates, labor shortages, declines in consumer confidence, declines in economic growth, increases in unemployment rates, recession risks, and uncertainty about economic and geopolitical stability (for example, related to the ongoing Russia-Ukraine conflict).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There can be no assurance that further deterioration in economic or market conditions will not occur, or how long these challenges will persist. If the current equity and credit markets further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168" w:lineRule="exact"/>
        <w:rPr>
          <w:sz w:val="20"/>
          <w:szCs w:val="20"/>
          <w:color w:val="auto"/>
        </w:rPr>
      </w:pPr>
    </w:p>
    <w:p>
      <w:pPr>
        <w:jc w:val="both"/>
        <w:ind w:left="40" w:right="259"/>
        <w:spacing w:after="0" w:line="311" w:lineRule="auto"/>
        <w:rPr>
          <w:sz w:val="20"/>
          <w:szCs w:val="20"/>
          <w:color w:val="auto"/>
        </w:rPr>
      </w:pPr>
      <w:r>
        <w:rPr>
          <w:rFonts w:ascii="Times New Roman" w:cs="Times New Roman" w:eastAsia="Times New Roman" w:hAnsi="Times New Roman"/>
          <w:sz w:val="16"/>
          <w:szCs w:val="16"/>
          <w:b w:val="1"/>
          <w:bCs w:val="1"/>
          <w:i w:val="1"/>
          <w:iCs w:val="1"/>
          <w:color w:val="231F20"/>
        </w:rPr>
        <w:t>If securities or industry analysts cease publishing research or reports about our business, or if they publish inaccurate or unfavorable research about our business, our stock price and trading volume could decline.</w:t>
      </w:r>
    </w:p>
    <w:p>
      <w:pPr>
        <w:spacing w:after="0" w:line="125" w:lineRule="exact"/>
        <w:rPr>
          <w:sz w:val="20"/>
          <w:szCs w:val="20"/>
          <w:color w:val="auto"/>
        </w:rPr>
      </w:pPr>
    </w:p>
    <w:p>
      <w:pPr>
        <w:jc w:val="both"/>
        <w:ind w:left="40" w:right="259" w:firstLine="325"/>
        <w:spacing w:after="0" w:line="260" w:lineRule="auto"/>
        <w:rPr>
          <w:sz w:val="20"/>
          <w:szCs w:val="20"/>
          <w:color w:val="auto"/>
        </w:rPr>
      </w:pPr>
      <w:r>
        <w:rPr>
          <w:rFonts w:ascii="Times New Roman" w:cs="Times New Roman" w:eastAsia="Times New Roman" w:hAnsi="Times New Roman"/>
          <w:sz w:val="16"/>
          <w:szCs w:val="16"/>
          <w:color w:val="231F20"/>
        </w:rPr>
        <w:t>The trading market for our common stock will be influenced in part by the research and reports that industry or securities analysts publish about us or our business. We do not have any control over the industry or securities analysts, or the content and opinions included in their reports and may never obtain research coverage by securities and industry analysts. If no or few securities or industry analysts continue to cover us, or if analysts cease coverage of us,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spacing w:after="0" w:line="163" w:lineRule="exact"/>
        <w:rPr>
          <w:sz w:val="20"/>
          <w:szCs w:val="20"/>
          <w:color w:val="auto"/>
        </w:rPr>
      </w:pPr>
    </w:p>
    <w:p>
      <w:pPr>
        <w:jc w:val="both"/>
        <w:ind w:left="40" w:right="259"/>
        <w:spacing w:after="0" w:line="295" w:lineRule="auto"/>
        <w:rPr>
          <w:sz w:val="20"/>
          <w:szCs w:val="20"/>
          <w:color w:val="auto"/>
        </w:rPr>
      </w:pPr>
      <w:r>
        <w:rPr>
          <w:rFonts w:ascii="Times New Roman" w:cs="Times New Roman" w:eastAsia="Times New Roman" w:hAnsi="Times New Roman"/>
          <w:sz w:val="16"/>
          <w:szCs w:val="16"/>
          <w:b w:val="1"/>
          <w:bCs w:val="1"/>
          <w:i w:val="1"/>
          <w:iCs w:val="1"/>
          <w:color w:val="231F20"/>
        </w:rPr>
        <w:t>We have incurred, and will incur, increased costs as a result of operating as a public company, and our management will be required to devote substantial time to new compliance initiatives and corporate governance practices.</w:t>
      </w:r>
    </w:p>
    <w:p>
      <w:pPr>
        <w:spacing w:after="0" w:line="138" w:lineRule="exact"/>
        <w:rPr>
          <w:sz w:val="20"/>
          <w:szCs w:val="20"/>
          <w:color w:val="auto"/>
        </w:rPr>
      </w:pPr>
    </w:p>
    <w:p>
      <w:pPr>
        <w:jc w:val="both"/>
        <w:ind w:left="40" w:right="259" w:firstLine="325"/>
        <w:spacing w:after="0" w:line="260" w:lineRule="auto"/>
        <w:rPr>
          <w:sz w:val="20"/>
          <w:szCs w:val="20"/>
          <w:color w:val="auto"/>
        </w:rPr>
      </w:pPr>
      <w:r>
        <w:rPr>
          <w:rFonts w:ascii="Times New Roman" w:cs="Times New Roman" w:eastAsia="Times New Roman" w:hAnsi="Times New Roman"/>
          <w:sz w:val="16"/>
          <w:szCs w:val="16"/>
          <w:color w:val="231F20"/>
        </w:rPr>
        <w:t>As a public company, we have incurred, and particularly after we are no longer an emerging growth company, we will incur significant legal, accounting and other expenses that we did not incur as a private company. The Securities Act, the Exchange Act,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7309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01" w:name="page102"/>
    <w:bookmarkEnd w:id="10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spacing w:after="0" w:line="271" w:lineRule="auto"/>
        <w:rPr>
          <w:sz w:val="20"/>
          <w:szCs w:val="20"/>
          <w:color w:val="auto"/>
        </w:rPr>
      </w:pPr>
      <w:r>
        <w:rPr>
          <w:rFonts w:ascii="Times New Roman" w:cs="Times New Roman" w:eastAsia="Times New Roman" w:hAnsi="Times New Roman"/>
          <w:sz w:val="16"/>
          <w:szCs w:val="16"/>
          <w:color w:val="231F20"/>
        </w:rPr>
        <w:t>other areas of our business.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54" w:lineRule="exact"/>
        <w:rPr>
          <w:sz w:val="20"/>
          <w:szCs w:val="20"/>
          <w:color w:val="auto"/>
        </w:rPr>
      </w:pPr>
    </w:p>
    <w:p>
      <w:pPr>
        <w:jc w:val="both"/>
        <w:ind w:left="40" w:right="259"/>
        <w:spacing w:after="0" w:line="274" w:lineRule="auto"/>
        <w:rPr>
          <w:sz w:val="20"/>
          <w:szCs w:val="20"/>
          <w:color w:val="auto"/>
        </w:rPr>
      </w:pPr>
      <w:r>
        <w:rPr>
          <w:rFonts w:ascii="Times New Roman" w:cs="Times New Roman" w:eastAsia="Times New Roman" w:hAnsi="Times New Roman"/>
          <w:sz w:val="16"/>
          <w:szCs w:val="16"/>
          <w:b w:val="1"/>
          <w:bCs w:val="1"/>
          <w:i w:val="1"/>
          <w:iCs w:val="1"/>
          <w:color w:val="231F20"/>
        </w:rPr>
        <w:t>Failure to establish and maintain effective internal control over financial reporting could adversely affect our business and if investors lose confidence in the accuracy and completeness of our financial reports, the market price of our common stock could be negatively affected.</w:t>
      </w:r>
    </w:p>
    <w:p>
      <w:pPr>
        <w:spacing w:after="0" w:line="167" w:lineRule="exact"/>
        <w:rPr>
          <w:sz w:val="20"/>
          <w:szCs w:val="20"/>
          <w:color w:val="auto"/>
        </w:rPr>
      </w:pPr>
    </w:p>
    <w:p>
      <w:pPr>
        <w:jc w:val="both"/>
        <w:ind w:left="40" w:right="259" w:firstLine="325"/>
        <w:spacing w:after="0" w:line="261" w:lineRule="auto"/>
        <w:rPr>
          <w:sz w:val="20"/>
          <w:szCs w:val="20"/>
          <w:color w:val="auto"/>
        </w:rPr>
      </w:pPr>
      <w:r>
        <w:rPr>
          <w:rFonts w:ascii="Times New Roman" w:cs="Times New Roman" w:eastAsia="Times New Roman" w:hAnsi="Times New Roman"/>
          <w:sz w:val="16"/>
          <w:szCs w:val="16"/>
          <w:color w:val="231F20"/>
        </w:rPr>
        <w:t>We will be required to comply with the SEC’s rules implementing Section 404 of the Sarbanes-Oxley Act, which requires management to certify financial and other information in our quarterly and annual reports and provide an annual management report on the effectiveness of internal control over financial reporting. Although we will be required to disclose changes made in our internal control over financial reporting on a quarterly basis, we will not be required to make our first annual assessment of our internal control over financial reporting until our second annual report on Form 10-K. However, as an emerging growth company, our independent registered public accounting firm will not be required to formally attest to the effectiveness of our internal control over financial reporting until the later of the year following our first annual report required to be filed with the SEC or the date we are no longer an emerging growth company. At such time, our independent registered public accounting firm would need to issue a report that is adverse in the event that there are material weaknesses in our internal control over financial reporting.</w:t>
      </w:r>
    </w:p>
    <w:p>
      <w:pPr>
        <w:spacing w:after="0" w:line="164" w:lineRule="exact"/>
        <w:rPr>
          <w:sz w:val="20"/>
          <w:szCs w:val="20"/>
          <w:color w:val="auto"/>
        </w:rPr>
      </w:pPr>
    </w:p>
    <w:p>
      <w:pPr>
        <w:jc w:val="both"/>
        <w:ind w:left="40" w:right="259" w:firstLine="325"/>
        <w:spacing w:after="0" w:line="266" w:lineRule="auto"/>
        <w:rPr>
          <w:sz w:val="20"/>
          <w:szCs w:val="20"/>
          <w:color w:val="auto"/>
        </w:rPr>
      </w:pPr>
      <w:r>
        <w:rPr>
          <w:rFonts w:ascii="Times New Roman" w:cs="Times New Roman" w:eastAsia="Times New Roman" w:hAnsi="Times New Roman"/>
          <w:sz w:val="16"/>
          <w:szCs w:val="16"/>
          <w:color w:val="231F20"/>
        </w:rPr>
        <w:t>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controls can divert our management’s attention from other matters that are important to the operation of our business.</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231F20"/>
        </w:rPr>
        <w:t>Our disclosure controls and procedures may not prevent or detect all errors or acts of fraud.</w:t>
      </w:r>
    </w:p>
    <w:p>
      <w:pPr>
        <w:spacing w:after="0" w:line="211"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Any disclosure controls and procedures, no matter how well- conceived and operated, can provide only reasonable, not absolute, assurance that the objectives of the control system are met.</w:t>
      </w:r>
    </w:p>
    <w:p>
      <w:pPr>
        <w:spacing w:after="0" w:line="164"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159" w:lineRule="exact"/>
        <w:rPr>
          <w:sz w:val="20"/>
          <w:szCs w:val="20"/>
          <w:color w:val="auto"/>
        </w:rPr>
      </w:pPr>
    </w:p>
    <w:p>
      <w:pPr>
        <w:jc w:val="both"/>
        <w:ind w:left="40" w:right="259"/>
        <w:spacing w:after="0" w:line="295" w:lineRule="auto"/>
        <w:rPr>
          <w:sz w:val="20"/>
          <w:szCs w:val="20"/>
          <w:color w:val="auto"/>
        </w:rPr>
      </w:pPr>
      <w:r>
        <w:rPr>
          <w:rFonts w:ascii="Times New Roman" w:cs="Times New Roman" w:eastAsia="Times New Roman" w:hAnsi="Times New Roman"/>
          <w:sz w:val="16"/>
          <w:szCs w:val="16"/>
          <w:b w:val="1"/>
          <w:bCs w:val="1"/>
          <w:i w:val="1"/>
          <w:iCs w:val="1"/>
          <w:color w:val="231F20"/>
        </w:rPr>
        <w:t>Our insurance policies are expensive and only protect us from some business risks, which will leave us exposed to significant uninsured liabilities.</w:t>
      </w:r>
    </w:p>
    <w:p>
      <w:pPr>
        <w:spacing w:after="0" w:line="138" w:lineRule="exact"/>
        <w:rPr>
          <w:sz w:val="20"/>
          <w:szCs w:val="20"/>
          <w:color w:val="auto"/>
        </w:rPr>
      </w:pPr>
    </w:p>
    <w:p>
      <w:pPr>
        <w:jc w:val="both"/>
        <w:ind w:left="40" w:right="259" w:firstLine="325"/>
        <w:spacing w:after="0" w:line="267" w:lineRule="auto"/>
        <w:rPr>
          <w:sz w:val="20"/>
          <w:szCs w:val="20"/>
          <w:color w:val="auto"/>
        </w:rPr>
      </w:pPr>
      <w:r>
        <w:rPr>
          <w:rFonts w:ascii="Times New Roman" w:cs="Times New Roman" w:eastAsia="Times New Roman" w:hAnsi="Times New Roman"/>
          <w:sz w:val="16"/>
          <w:szCs w:val="16"/>
          <w:color w:val="231F20"/>
        </w:rPr>
        <w:t>We do not carry insurance for all categories of risk that our business may encounter. Some of the policies we currently maintain include workers’ compensation, clinical trials, and directors’ and officers’ liability insurance. We do not know, however, if we will be able to maintain insurance with adequate levels of coverage. Any significant uninsured liability may require us to pay substantial amounts, which would adversely affect our business, financial condition, results of operations and prospects. We may be subject to securities litigation, which is expensive and could divert management attention.</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02" w:name="page103"/>
    <w:bookmarkEnd w:id="10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The market price of our common stock is likely to be volatile. The stock market in general, and Nasdaq and biopharmaceutical companies in particular, have experienced significant price and volume fluctuations that have often been unrelated or disproportionate to the operating performance of companies. In the past, companies that have experienced volatility in the market price of their stock have been subject to securities class action litigation. We may be the target of this type of litigation in the future. Securities litigation (including the cost to defend against, and any potential adverse outcome resulting from any such proceeding) can be expensive, time consuming, damage our reputation and divert our management’s attention from other business concerns, which could seriously harm our business.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231F20"/>
        </w:rPr>
        <w:t>We could be subject to securities class action litigation.</w:t>
      </w:r>
    </w:p>
    <w:p>
      <w:pPr>
        <w:spacing w:after="0" w:line="223" w:lineRule="exact"/>
        <w:rPr>
          <w:sz w:val="20"/>
          <w:szCs w:val="20"/>
          <w:color w:val="auto"/>
        </w:rPr>
      </w:pPr>
    </w:p>
    <w:p>
      <w:pPr>
        <w:jc w:val="both"/>
        <w:ind w:left="40" w:right="259" w:firstLine="325"/>
        <w:spacing w:after="0" w:line="263" w:lineRule="auto"/>
        <w:rPr>
          <w:sz w:val="20"/>
          <w:szCs w:val="20"/>
          <w:color w:val="auto"/>
        </w:rPr>
      </w:pPr>
      <w:r>
        <w:rPr>
          <w:rFonts w:ascii="Times New Roman" w:cs="Times New Roman" w:eastAsia="Times New Roman" w:hAnsi="Times New Roman"/>
          <w:sz w:val="16"/>
          <w:szCs w:val="16"/>
          <w:color w:val="231F20"/>
        </w:rPr>
        <w:t>In the past, securities class action litigation has often been instituted against companies following periods of volatility in the trading price of a company’s securities. This type of litigation, if instituted, could result in substantial costs and a diversion of management’s attention and resources, which would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160" w:lineRule="exact"/>
        <w:rPr>
          <w:sz w:val="20"/>
          <w:szCs w:val="20"/>
          <w:color w:val="auto"/>
        </w:rPr>
      </w:pPr>
    </w:p>
    <w:p>
      <w:pPr>
        <w:jc w:val="both"/>
        <w:ind w:left="40" w:right="259"/>
        <w:spacing w:after="0" w:line="295" w:lineRule="auto"/>
        <w:rPr>
          <w:sz w:val="20"/>
          <w:szCs w:val="20"/>
          <w:color w:val="auto"/>
        </w:rPr>
      </w:pPr>
      <w:r>
        <w:rPr>
          <w:rFonts w:ascii="Times New Roman" w:cs="Times New Roman" w:eastAsia="Times New Roman" w:hAnsi="Times New Roman"/>
          <w:sz w:val="16"/>
          <w:szCs w:val="16"/>
          <w:b w:val="1"/>
          <w:bCs w:val="1"/>
          <w:i w:val="1"/>
          <w:iCs w:val="1"/>
          <w:color w:val="231F20"/>
        </w:rPr>
        <w:t>We could be subject to changes in tax rates, the adoption of new tax legislation or could otherwise have exposure to additional tax liabilities, which could harm our business.</w:t>
      </w:r>
    </w:p>
    <w:p>
      <w:pPr>
        <w:spacing w:after="0" w:line="150" w:lineRule="exact"/>
        <w:rPr>
          <w:sz w:val="20"/>
          <w:szCs w:val="20"/>
          <w:color w:val="auto"/>
        </w:rPr>
      </w:pPr>
    </w:p>
    <w:p>
      <w:pPr>
        <w:jc w:val="both"/>
        <w:ind w:left="40" w:right="259" w:firstLine="325"/>
        <w:spacing w:after="0" w:line="261" w:lineRule="auto"/>
        <w:rPr>
          <w:sz w:val="20"/>
          <w:szCs w:val="20"/>
          <w:color w:val="auto"/>
        </w:rPr>
      </w:pPr>
      <w:r>
        <w:rPr>
          <w:rFonts w:ascii="Times New Roman" w:cs="Times New Roman" w:eastAsia="Times New Roman" w:hAnsi="Times New Roman"/>
          <w:sz w:val="16"/>
          <w:szCs w:val="16"/>
          <w:color w:val="231F20"/>
        </w:rPr>
        <w:t>Changes to tax laws or regulations in the jurisdictions in which we operate, or in the interpretation of such laws or regulations, could significantly increase our effective tax rate, and otherwise materially affect our financial condition. In addition, other factors or events, including business combinations and investments, changes in stock-based compensation,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 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 Sales of Unregistered Securities</w:t>
      </w:r>
    </w:p>
    <w:p>
      <w:pPr>
        <w:spacing w:after="0" w:line="111"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212529"/>
        </w:rPr>
        <w:t>From July 1, 2024 through September 30, 2024, we granted stock options to purchase an aggregate of 4,408,100 shares of our common stock at a weighted-average price of $17.00 to employees, directors and consultants.</w:t>
      </w:r>
    </w:p>
    <w:p>
      <w:pPr>
        <w:spacing w:after="0" w:line="45"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212529"/>
        </w:rPr>
        <w:t>Since July 1, 2024 through September 30, 2024, 3,263 shares of our common stock have been issued upon the exercise of stock options at a weighted-average exercise price of $9.30.</w:t>
      </w:r>
    </w:p>
    <w:p>
      <w:pPr>
        <w:spacing w:after="0" w:line="45"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6"/>
          <w:szCs w:val="16"/>
          <w:color w:val="212529"/>
        </w:rPr>
        <w:t>No underwriters were involved in the sales of the above securities and such issuances were exempt either pursuant to Rule 701, as transactions pursuant to compensatory benefit plan, or pursuant to Rule 4(a)(2), as transactions by an issuer not involving a public offering.</w:t>
      </w: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 Use of Proceeds from Public Offering of Common Stock</w:t>
      </w:r>
    </w:p>
    <w:p>
      <w:pPr>
        <w:spacing w:after="0" w:line="111"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The offer and sale of shares in our IPO were registered under the Securities Act pursuant to a registration statement on Form S-1 (File No. 333-281713), which was declared effective by the SEC on September 12, 2024 and a registration statement on Form S-1MEF (File No. 333-282082), which was automatically effective upon filing with the SEC on September 12, 2024. Following the sale of all of the shares offered in connection with the closing of our IPO, the offering terminated. Morgan Stanley &amp; Co. LLC, Jefferies LLC, Citigroup Global Markets Inc. and Guggenheim Securities, LLC acted as joint book-running managers for the IPO.</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03" w:name="page104"/>
    <w:bookmarkEnd w:id="10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We received aggregate gross proceeds from our IPO of $258.7 million, or aggregate net proceeds of $240.6 million after deducting underwriting discounts and commissions but before deducting other offering costs payable by us, which we estimate to be $6.2 million. None of the underwriting discounts and commissions or offering expenses were incurred or paid, directly or indirectly, to directors or officers of ours or their associates or to persons owning 10% or more of our common stock or to any of our affiliates.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There has been no material change in the planned use of proceeds from our IPO from that described in the IPO Prospectus.</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 Issuer Purchases of Equity Securities</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None.</w:t>
      </w:r>
    </w:p>
    <w:p>
      <w:pPr>
        <w:spacing w:after="0" w:line="4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209"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No “Rule 10b5-1 plans” or “non-Rule 10b5-1 trading arrangements”, as each term is defined in Item 408(a) of Regulation S-K, were adopted, modified, or terminated by officers or directors of the Company.</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04" w:name="page105"/>
    <w:bookmarkEnd w:id="10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1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440" w:type="dxa"/>
            <w:vAlign w:val="bottom"/>
            <w:gridSpan w:val="11"/>
          </w:tcPr>
          <w:p>
            <w:pPr>
              <w:ind w:left="44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403"/>
        </w:trPr>
        <w:tc>
          <w:tcPr>
            <w:tcW w:w="1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355"/>
        </w:trPr>
        <w:tc>
          <w:tcPr>
            <w:tcW w:w="1300" w:type="dxa"/>
            <w:vAlign w:val="bottom"/>
          </w:tcPr>
          <w:p>
            <w:pPr>
              <w:spacing w:after="0"/>
              <w:rPr>
                <w:sz w:val="24"/>
                <w:szCs w:val="24"/>
                <w:color w:val="auto"/>
              </w:rPr>
            </w:pPr>
          </w:p>
        </w:tc>
        <w:tc>
          <w:tcPr>
            <w:tcW w:w="7480" w:type="dxa"/>
            <w:vAlign w:val="bottom"/>
            <w:tcBorders>
              <w:bottom w:val="single" w:sz="8" w:color="0000EE"/>
            </w:tcBorders>
            <w:gridSpan w:val="10"/>
          </w:tcPr>
          <w:p>
            <w:pPr>
              <w:spacing w:after="0"/>
              <w:rPr>
                <w:rFonts w:ascii="Times New Roman" w:cs="Times New Roman" w:eastAsia="Times New Roman" w:hAnsi="Times New Roman"/>
                <w:sz w:val="16"/>
                <w:szCs w:val="16"/>
                <w:color w:val="0000EE"/>
              </w:rPr>
            </w:pPr>
            <w:hyperlink r:id="rId123">
              <w:r>
                <w:rPr>
                  <w:rFonts w:ascii="Times New Roman" w:cs="Times New Roman" w:eastAsia="Times New Roman" w:hAnsi="Times New Roman"/>
                  <w:sz w:val="16"/>
                  <w:szCs w:val="16"/>
                  <w:color w:val="0000EE"/>
                </w:rPr>
                <w:t>Second Restated Certificate of Incorporation of Zenas BioPharma, Inc. (incorporated by reference to Exhibit 3.1 to</w:t>
              </w:r>
            </w:hyperlink>
          </w:p>
        </w:tc>
        <w:tc>
          <w:tcPr>
            <w:tcW w:w="60" w:type="dxa"/>
            <w:vAlign w:val="bottom"/>
            <w:gridSpan w:val="2"/>
          </w:tcPr>
          <w:p>
            <w:pPr>
              <w:spacing w:after="0"/>
              <w:rPr>
                <w:sz w:val="24"/>
                <w:szCs w:val="24"/>
                <w:color w:val="auto"/>
              </w:rPr>
            </w:pPr>
          </w:p>
        </w:tc>
      </w:tr>
      <w:tr>
        <w:trPr>
          <w:trHeight w:val="175"/>
        </w:trPr>
        <w:tc>
          <w:tcPr>
            <w:tcW w:w="13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3.1</w:t>
            </w:r>
          </w:p>
        </w:tc>
        <w:tc>
          <w:tcPr>
            <w:tcW w:w="7540" w:type="dxa"/>
            <w:vAlign w:val="bottom"/>
            <w:gridSpan w:val="12"/>
          </w:tcPr>
          <w:p>
            <w:pPr>
              <w:spacing w:after="0" w:line="175" w:lineRule="exact"/>
              <w:rPr>
                <w:rFonts w:ascii="Times New Roman" w:cs="Times New Roman" w:eastAsia="Times New Roman" w:hAnsi="Times New Roman"/>
                <w:sz w:val="16"/>
                <w:szCs w:val="16"/>
                <w:color w:val="0000EE"/>
              </w:rPr>
            </w:pPr>
            <w:hyperlink r:id="rId123">
              <w:r>
                <w:rPr>
                  <w:rFonts w:ascii="Times New Roman" w:cs="Times New Roman" w:eastAsia="Times New Roman" w:hAnsi="Times New Roman"/>
                  <w:sz w:val="16"/>
                  <w:szCs w:val="16"/>
                  <w:color w:val="0000EE"/>
                </w:rPr>
                <w:t>the Form 8-K filed on September 16, 2024, File No. 001-42270)</w:t>
              </w:r>
            </w:hyperlink>
          </w:p>
        </w:tc>
      </w:tr>
      <w:tr>
        <w:trPr>
          <w:trHeight w:val="20"/>
        </w:trPr>
        <w:tc>
          <w:tcPr>
            <w:tcW w:w="130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00" w:type="dxa"/>
            <w:vAlign w:val="bottom"/>
          </w:tcPr>
          <w:p>
            <w:pPr>
              <w:spacing w:after="0"/>
              <w:rPr>
                <w:sz w:val="24"/>
                <w:szCs w:val="24"/>
                <w:color w:val="auto"/>
              </w:rPr>
            </w:pPr>
          </w:p>
        </w:tc>
        <w:tc>
          <w:tcPr>
            <w:tcW w:w="7540" w:type="dxa"/>
            <w:vAlign w:val="bottom"/>
            <w:tcBorders>
              <w:bottom w:val="single" w:sz="8" w:color="0000EE"/>
            </w:tcBorders>
            <w:gridSpan w:val="12"/>
          </w:tcPr>
          <w:p>
            <w:pPr>
              <w:spacing w:after="0"/>
              <w:rPr>
                <w:rFonts w:ascii="Times New Roman" w:cs="Times New Roman" w:eastAsia="Times New Roman" w:hAnsi="Times New Roman"/>
                <w:sz w:val="16"/>
                <w:szCs w:val="16"/>
                <w:color w:val="0000EE"/>
              </w:rPr>
            </w:pPr>
            <w:hyperlink r:id="rId124">
              <w:r>
                <w:rPr>
                  <w:rFonts w:ascii="Times New Roman" w:cs="Times New Roman" w:eastAsia="Times New Roman" w:hAnsi="Times New Roman"/>
                  <w:sz w:val="16"/>
                  <w:szCs w:val="16"/>
                  <w:color w:val="0000EE"/>
                </w:rPr>
                <w:t>Amended and Restated Bylaws of Zenas BioPharma, Inc. (incorporated by reference to Exhibit 3.2 to the Form 8-K</w:t>
              </w:r>
            </w:hyperlink>
          </w:p>
        </w:tc>
      </w:tr>
      <w:tr>
        <w:trPr>
          <w:trHeight w:val="175"/>
        </w:trPr>
        <w:tc>
          <w:tcPr>
            <w:tcW w:w="13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3.2</w:t>
            </w:r>
          </w:p>
        </w:tc>
        <w:tc>
          <w:tcPr>
            <w:tcW w:w="3260" w:type="dxa"/>
            <w:vAlign w:val="bottom"/>
            <w:tcBorders>
              <w:bottom w:val="single" w:sz="8" w:color="0000EE"/>
            </w:tcBorders>
            <w:gridSpan w:val="3"/>
          </w:tcPr>
          <w:p>
            <w:pPr>
              <w:spacing w:after="0" w:line="175" w:lineRule="exact"/>
              <w:rPr>
                <w:rFonts w:ascii="Times New Roman" w:cs="Times New Roman" w:eastAsia="Times New Roman" w:hAnsi="Times New Roman"/>
                <w:sz w:val="16"/>
                <w:szCs w:val="16"/>
                <w:color w:val="0000EE"/>
              </w:rPr>
            </w:pPr>
            <w:hyperlink r:id="rId124">
              <w:r>
                <w:rPr>
                  <w:rFonts w:ascii="Times New Roman" w:cs="Times New Roman" w:eastAsia="Times New Roman" w:hAnsi="Times New Roman"/>
                  <w:sz w:val="16"/>
                  <w:szCs w:val="16"/>
                  <w:color w:val="0000EE"/>
                </w:rPr>
                <w:t>filed on September 16, 2024, File No. 001-42270)</w:t>
              </w:r>
            </w:hyperlink>
          </w:p>
        </w:tc>
        <w:tc>
          <w:tcPr>
            <w:tcW w:w="4280" w:type="dxa"/>
            <w:vAlign w:val="bottom"/>
            <w:gridSpan w:val="9"/>
          </w:tcPr>
          <w:p>
            <w:pPr>
              <w:spacing w:after="0"/>
              <w:rPr>
                <w:sz w:val="15"/>
                <w:szCs w:val="15"/>
                <w:color w:val="auto"/>
              </w:rPr>
            </w:pPr>
          </w:p>
        </w:tc>
      </w:tr>
      <w:tr>
        <w:trPr>
          <w:trHeight w:val="371"/>
        </w:trPr>
        <w:tc>
          <w:tcPr>
            <w:tcW w:w="1300" w:type="dxa"/>
            <w:vAlign w:val="bottom"/>
          </w:tcPr>
          <w:p>
            <w:pPr>
              <w:spacing w:after="0"/>
              <w:rPr>
                <w:sz w:val="24"/>
                <w:szCs w:val="24"/>
                <w:color w:val="auto"/>
              </w:rPr>
            </w:pPr>
          </w:p>
        </w:tc>
        <w:tc>
          <w:tcPr>
            <w:tcW w:w="7460" w:type="dxa"/>
            <w:vAlign w:val="bottom"/>
            <w:tcBorders>
              <w:bottom w:val="single" w:sz="8" w:color="0000EE"/>
            </w:tcBorders>
            <w:gridSpan w:val="9"/>
          </w:tcPr>
          <w:p>
            <w:pPr>
              <w:spacing w:after="0"/>
              <w:rPr>
                <w:rFonts w:ascii="Times New Roman" w:cs="Times New Roman" w:eastAsia="Times New Roman" w:hAnsi="Times New Roman"/>
                <w:sz w:val="16"/>
                <w:szCs w:val="16"/>
                <w:color w:val="0000EE"/>
              </w:rPr>
            </w:pPr>
            <w:hyperlink r:id="rId125">
              <w:r>
                <w:rPr>
                  <w:rFonts w:ascii="Times New Roman" w:cs="Times New Roman" w:eastAsia="Times New Roman" w:hAnsi="Times New Roman"/>
                  <w:sz w:val="16"/>
                  <w:szCs w:val="16"/>
                  <w:color w:val="0000EE"/>
                </w:rPr>
                <w:t>Zenas BioPharma, Inc. 2024 Equity Incentive Plan (incorporated by reference to Exhibit 4.6 the Form S-8 filed on</w:t>
              </w:r>
            </w:hyperlink>
          </w:p>
        </w:tc>
        <w:tc>
          <w:tcPr>
            <w:tcW w:w="80" w:type="dxa"/>
            <w:vAlign w:val="bottom"/>
            <w:gridSpan w:val="3"/>
          </w:tcPr>
          <w:p>
            <w:pPr>
              <w:spacing w:after="0"/>
              <w:rPr>
                <w:sz w:val="24"/>
                <w:szCs w:val="24"/>
                <w:color w:val="auto"/>
              </w:rPr>
            </w:pPr>
          </w:p>
        </w:tc>
      </w:tr>
      <w:tr>
        <w:trPr>
          <w:trHeight w:val="175"/>
        </w:trPr>
        <w:tc>
          <w:tcPr>
            <w:tcW w:w="13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2800" w:type="dxa"/>
            <w:vAlign w:val="bottom"/>
            <w:tcBorders>
              <w:bottom w:val="single" w:sz="8" w:color="0000EE"/>
            </w:tcBorders>
            <w:gridSpan w:val="2"/>
          </w:tcPr>
          <w:p>
            <w:pPr>
              <w:spacing w:after="0" w:line="175" w:lineRule="exact"/>
              <w:rPr>
                <w:rFonts w:ascii="Times New Roman" w:cs="Times New Roman" w:eastAsia="Times New Roman" w:hAnsi="Times New Roman"/>
                <w:sz w:val="16"/>
                <w:szCs w:val="16"/>
                <w:color w:val="0000EE"/>
              </w:rPr>
            </w:pPr>
            <w:hyperlink r:id="rId125">
              <w:r>
                <w:rPr>
                  <w:rFonts w:ascii="Times New Roman" w:cs="Times New Roman" w:eastAsia="Times New Roman" w:hAnsi="Times New Roman"/>
                  <w:sz w:val="16"/>
                  <w:szCs w:val="16"/>
                  <w:color w:val="0000EE"/>
                </w:rPr>
                <w:t>September 16, 2024, File No. 333-282151)</w:t>
              </w:r>
            </w:hyperlink>
          </w:p>
        </w:tc>
        <w:tc>
          <w:tcPr>
            <w:tcW w:w="4740" w:type="dxa"/>
            <w:vAlign w:val="bottom"/>
            <w:gridSpan w:val="10"/>
          </w:tcPr>
          <w:p>
            <w:pPr>
              <w:spacing w:after="0"/>
              <w:rPr>
                <w:sz w:val="15"/>
                <w:szCs w:val="15"/>
                <w:color w:val="auto"/>
              </w:rPr>
            </w:pPr>
          </w:p>
        </w:tc>
      </w:tr>
      <w:tr>
        <w:trPr>
          <w:trHeight w:val="371"/>
        </w:trPr>
        <w:tc>
          <w:tcPr>
            <w:tcW w:w="1300" w:type="dxa"/>
            <w:vAlign w:val="bottom"/>
          </w:tcPr>
          <w:p>
            <w:pPr>
              <w:spacing w:after="0"/>
              <w:rPr>
                <w:sz w:val="24"/>
                <w:szCs w:val="24"/>
                <w:color w:val="auto"/>
              </w:rPr>
            </w:pPr>
          </w:p>
        </w:tc>
        <w:tc>
          <w:tcPr>
            <w:tcW w:w="7520" w:type="dxa"/>
            <w:vAlign w:val="bottom"/>
            <w:tcBorders>
              <w:bottom w:val="single" w:sz="8" w:color="0000EE"/>
            </w:tcBorders>
            <w:gridSpan w:val="11"/>
          </w:tcPr>
          <w:p>
            <w:pPr>
              <w:spacing w:after="0"/>
              <w:rPr>
                <w:rFonts w:ascii="Times New Roman" w:cs="Times New Roman" w:eastAsia="Times New Roman" w:hAnsi="Times New Roman"/>
                <w:sz w:val="16"/>
                <w:szCs w:val="16"/>
                <w:color w:val="0000EE"/>
              </w:rPr>
            </w:pPr>
            <w:hyperlink r:id="rId126">
              <w:r>
                <w:rPr>
                  <w:rFonts w:ascii="Times New Roman" w:cs="Times New Roman" w:eastAsia="Times New Roman" w:hAnsi="Times New Roman"/>
                  <w:sz w:val="16"/>
                  <w:szCs w:val="16"/>
                  <w:color w:val="0000EE"/>
                </w:rPr>
                <w:t>Zenas BioPharma, Inc. 2024 Employee Stock Purchase Plan (incorporated by reference to Exhibit 4.7 the Form S-8</w:t>
              </w:r>
            </w:hyperlink>
          </w:p>
        </w:tc>
        <w:tc>
          <w:tcPr>
            <w:tcW w:w="20" w:type="dxa"/>
            <w:vAlign w:val="bottom"/>
          </w:tcPr>
          <w:p>
            <w:pPr>
              <w:spacing w:after="0"/>
              <w:rPr>
                <w:sz w:val="24"/>
                <w:szCs w:val="24"/>
                <w:color w:val="auto"/>
              </w:rPr>
            </w:pPr>
          </w:p>
        </w:tc>
      </w:tr>
      <w:tr>
        <w:trPr>
          <w:trHeight w:val="175"/>
        </w:trPr>
        <w:tc>
          <w:tcPr>
            <w:tcW w:w="13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10.2</w:t>
            </w:r>
          </w:p>
        </w:tc>
        <w:tc>
          <w:tcPr>
            <w:tcW w:w="3340" w:type="dxa"/>
            <w:vAlign w:val="bottom"/>
            <w:tcBorders>
              <w:bottom w:val="single" w:sz="8" w:color="0000EE"/>
            </w:tcBorders>
            <w:gridSpan w:val="4"/>
          </w:tcPr>
          <w:p>
            <w:pPr>
              <w:spacing w:after="0" w:line="175" w:lineRule="exact"/>
              <w:rPr>
                <w:rFonts w:ascii="Times New Roman" w:cs="Times New Roman" w:eastAsia="Times New Roman" w:hAnsi="Times New Roman"/>
                <w:sz w:val="16"/>
                <w:szCs w:val="16"/>
                <w:color w:val="0000EE"/>
              </w:rPr>
            </w:pPr>
            <w:hyperlink r:id="rId126">
              <w:r>
                <w:rPr>
                  <w:rFonts w:ascii="Times New Roman" w:cs="Times New Roman" w:eastAsia="Times New Roman" w:hAnsi="Times New Roman"/>
                  <w:sz w:val="16"/>
                  <w:szCs w:val="16"/>
                  <w:color w:val="0000EE"/>
                </w:rPr>
                <w:t>filed on September 16, 2024, File No. 333-282151)</w:t>
              </w:r>
            </w:hyperlink>
          </w:p>
        </w:tc>
        <w:tc>
          <w:tcPr>
            <w:tcW w:w="4200" w:type="dxa"/>
            <w:vAlign w:val="bottom"/>
            <w:gridSpan w:val="8"/>
          </w:tcPr>
          <w:p>
            <w:pPr>
              <w:spacing w:after="0"/>
              <w:rPr>
                <w:sz w:val="15"/>
                <w:szCs w:val="15"/>
                <w:color w:val="auto"/>
              </w:rPr>
            </w:pP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65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rPr>
              <w:t>Certification of Chief Executive Officer Pursuant to Section 302 of the Sarbanes-Oxley Act of 2002</w:t>
            </w:r>
          </w:p>
        </w:tc>
        <w:tc>
          <w:tcPr>
            <w:tcW w:w="1040" w:type="dxa"/>
            <w:vAlign w:val="bottom"/>
            <w:gridSpan w:val="5"/>
          </w:tcPr>
          <w:p>
            <w:pPr>
              <w:spacing w:after="0"/>
              <w:rPr>
                <w:sz w:val="24"/>
                <w:szCs w:val="24"/>
                <w:color w:val="auto"/>
              </w:rPr>
            </w:pP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64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rPr>
              <w:t>Certification of Chief Financial Officer Pursuant to Section 302 of the Sarbanes-Oxley Act of 2002</w:t>
            </w:r>
          </w:p>
        </w:tc>
        <w:tc>
          <w:tcPr>
            <w:tcW w:w="1080" w:type="dxa"/>
            <w:vAlign w:val="bottom"/>
            <w:gridSpan w:val="6"/>
          </w:tcPr>
          <w:p>
            <w:pPr>
              <w:spacing w:after="0"/>
              <w:rPr>
                <w:sz w:val="24"/>
                <w:szCs w:val="24"/>
                <w:color w:val="auto"/>
              </w:rPr>
            </w:pPr>
          </w:p>
        </w:tc>
      </w:tr>
      <w:tr>
        <w:trPr>
          <w:trHeight w:val="371"/>
        </w:trPr>
        <w:tc>
          <w:tcPr>
            <w:tcW w:w="1300" w:type="dxa"/>
            <w:vAlign w:val="bottom"/>
          </w:tcPr>
          <w:p>
            <w:pPr>
              <w:spacing w:after="0"/>
              <w:rPr>
                <w:sz w:val="24"/>
                <w:szCs w:val="24"/>
                <w:color w:val="auto"/>
              </w:rPr>
            </w:pPr>
          </w:p>
        </w:tc>
        <w:tc>
          <w:tcPr>
            <w:tcW w:w="7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6"/>
                <w:szCs w:val="16"/>
                <w:color w:val="0000EE"/>
              </w:rPr>
              <w:t>Certification of Chief Executive Officer Pursuant to 18 U.S.C. Section 1350, as adopted pursuant to Section 906 of</w:t>
            </w:r>
          </w:p>
        </w:tc>
        <w:tc>
          <w:tcPr>
            <w:tcW w:w="60" w:type="dxa"/>
            <w:vAlign w:val="bottom"/>
            <w:gridSpan w:val="2"/>
          </w:tcPr>
          <w:p>
            <w:pPr>
              <w:spacing w:after="0"/>
              <w:rPr>
                <w:sz w:val="24"/>
                <w:szCs w:val="24"/>
                <w:color w:val="auto"/>
              </w:rPr>
            </w:pPr>
          </w:p>
        </w:tc>
      </w:tr>
      <w:tr>
        <w:trPr>
          <w:trHeight w:val="175"/>
        </w:trPr>
        <w:tc>
          <w:tcPr>
            <w:tcW w:w="13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32.1†*</w:t>
            </w:r>
          </w:p>
        </w:tc>
        <w:tc>
          <w:tcPr>
            <w:tcW w:w="2100" w:type="dxa"/>
            <w:vAlign w:val="bottom"/>
            <w:tcBorders>
              <w:bottom w:val="single" w:sz="8" w:color="0000EE"/>
            </w:tcBorders>
          </w:tcPr>
          <w:p>
            <w:pPr>
              <w:spacing w:after="0" w:line="175" w:lineRule="exact"/>
              <w:rPr>
                <w:sz w:val="20"/>
                <w:szCs w:val="20"/>
                <w:color w:val="auto"/>
              </w:rPr>
            </w:pPr>
            <w:r>
              <w:rPr>
                <w:rFonts w:ascii="Times New Roman" w:cs="Times New Roman" w:eastAsia="Times New Roman" w:hAnsi="Times New Roman"/>
                <w:sz w:val="16"/>
                <w:szCs w:val="16"/>
                <w:color w:val="0000EE"/>
              </w:rPr>
              <w:t>the Sarbanes-Oxley Act of 2002</w:t>
            </w:r>
          </w:p>
        </w:tc>
        <w:tc>
          <w:tcPr>
            <w:tcW w:w="5440" w:type="dxa"/>
            <w:vAlign w:val="bottom"/>
            <w:gridSpan w:val="11"/>
          </w:tcPr>
          <w:p>
            <w:pPr>
              <w:spacing w:after="0"/>
              <w:rPr>
                <w:sz w:val="15"/>
                <w:szCs w:val="15"/>
                <w:color w:val="auto"/>
              </w:rPr>
            </w:pPr>
          </w:p>
        </w:tc>
      </w:tr>
      <w:tr>
        <w:trPr>
          <w:trHeight w:val="371"/>
        </w:trPr>
        <w:tc>
          <w:tcPr>
            <w:tcW w:w="1300" w:type="dxa"/>
            <w:vAlign w:val="bottom"/>
          </w:tcPr>
          <w:p>
            <w:pPr>
              <w:spacing w:after="0"/>
              <w:rPr>
                <w:sz w:val="24"/>
                <w:szCs w:val="24"/>
                <w:color w:val="auto"/>
              </w:rPr>
            </w:pPr>
          </w:p>
        </w:tc>
        <w:tc>
          <w:tcPr>
            <w:tcW w:w="74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rPr>
              <w:t>Certification of Chief Financial Officer Pursuant to 18 U.S.C. Section 1350, as adopted pursuant to Section 906 of</w:t>
            </w:r>
          </w:p>
        </w:tc>
        <w:tc>
          <w:tcPr>
            <w:tcW w:w="100" w:type="dxa"/>
            <w:vAlign w:val="bottom"/>
            <w:gridSpan w:val="4"/>
          </w:tcPr>
          <w:p>
            <w:pPr>
              <w:spacing w:after="0"/>
              <w:rPr>
                <w:sz w:val="24"/>
                <w:szCs w:val="24"/>
                <w:color w:val="auto"/>
              </w:rPr>
            </w:pPr>
          </w:p>
        </w:tc>
      </w:tr>
      <w:tr>
        <w:trPr>
          <w:trHeight w:val="175"/>
        </w:trPr>
        <w:tc>
          <w:tcPr>
            <w:tcW w:w="13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32.2†*</w:t>
            </w:r>
          </w:p>
        </w:tc>
        <w:tc>
          <w:tcPr>
            <w:tcW w:w="2100" w:type="dxa"/>
            <w:vAlign w:val="bottom"/>
            <w:tcBorders>
              <w:bottom w:val="single" w:sz="8" w:color="0000EE"/>
            </w:tcBorders>
          </w:tcPr>
          <w:p>
            <w:pPr>
              <w:spacing w:after="0" w:line="175" w:lineRule="exact"/>
              <w:rPr>
                <w:sz w:val="20"/>
                <w:szCs w:val="20"/>
                <w:color w:val="auto"/>
              </w:rPr>
            </w:pPr>
            <w:r>
              <w:rPr>
                <w:rFonts w:ascii="Times New Roman" w:cs="Times New Roman" w:eastAsia="Times New Roman" w:hAnsi="Times New Roman"/>
                <w:sz w:val="16"/>
                <w:szCs w:val="16"/>
                <w:color w:val="0000EE"/>
              </w:rPr>
              <w:t>the Sarbanes-Oxley Act of 2002</w:t>
            </w:r>
          </w:p>
        </w:tc>
        <w:tc>
          <w:tcPr>
            <w:tcW w:w="5440" w:type="dxa"/>
            <w:vAlign w:val="bottom"/>
            <w:gridSpan w:val="11"/>
          </w:tcPr>
          <w:p>
            <w:pPr>
              <w:spacing w:after="0"/>
              <w:rPr>
                <w:sz w:val="15"/>
                <w:szCs w:val="15"/>
                <w:color w:val="auto"/>
              </w:rPr>
            </w:pPr>
          </w:p>
        </w:tc>
      </w:tr>
      <w:tr>
        <w:trPr>
          <w:trHeight w:val="391"/>
        </w:trPr>
        <w:tc>
          <w:tcPr>
            <w:tcW w:w="1300" w:type="dxa"/>
            <w:vAlign w:val="bottom"/>
          </w:tcPr>
          <w:p>
            <w:pPr>
              <w:spacing w:after="0"/>
              <w:rPr>
                <w:sz w:val="24"/>
                <w:szCs w:val="24"/>
                <w:color w:val="auto"/>
              </w:rPr>
            </w:pPr>
          </w:p>
        </w:tc>
        <w:tc>
          <w:tcPr>
            <w:tcW w:w="75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w:t>
            </w:r>
          </w:p>
        </w:tc>
      </w:tr>
      <w:tr>
        <w:trPr>
          <w:trHeight w:val="211"/>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75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tags are embedded within the Inline XBRL document</w:t>
            </w: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75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75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75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75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75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r>
        <w:trPr>
          <w:trHeight w:val="391"/>
        </w:trPr>
        <w:tc>
          <w:tcPr>
            <w:tcW w:w="13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754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in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170815</wp:posOffset>
            </wp:positionV>
            <wp:extent cx="141795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1417955" cy="7620"/>
                    </a:xfrm>
                    <a:prstGeom prst="rect">
                      <a:avLst/>
                    </a:prstGeom>
                    <a:noFill/>
                  </pic:spPr>
                </pic:pic>
              </a:graphicData>
            </a:graphic>
          </wp:anchor>
        </w:drawing>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Filed herewith.</w:t>
      </w:r>
    </w:p>
    <w:p>
      <w:pPr>
        <w:spacing w:after="0" w:line="207" w:lineRule="exact"/>
        <w:rPr>
          <w:sz w:val="20"/>
          <w:szCs w:val="20"/>
          <w:color w:val="auto"/>
        </w:rPr>
      </w:pPr>
    </w:p>
    <w:p>
      <w:pPr>
        <w:jc w:val="both"/>
        <w:ind w:left="340" w:right="59" w:hanging="298"/>
        <w:spacing w:after="0" w:line="266" w:lineRule="auto"/>
        <w:tabs>
          <w:tab w:leader="none" w:pos="33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567309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05" w:name="page106"/>
    <w:bookmarkEnd w:id="10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9" w:lineRule="exact"/>
        <w:rPr>
          <w:sz w:val="20"/>
          <w:szCs w:val="20"/>
          <w:color w:val="auto"/>
        </w:rPr>
      </w:pPr>
    </w:p>
    <w:p>
      <w:pPr>
        <w:ind w:left="40" w:right="59"/>
        <w:spacing w:after="0" w:line="28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duly authorized.</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Date: November 12, 2024</w:t>
      </w:r>
    </w:p>
    <w:p>
      <w:pPr>
        <w:spacing w:after="0" w:line="21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b w:val="1"/>
          <w:bCs w:val="1"/>
          <w:color w:val="auto"/>
        </w:rPr>
        <w:t>ZENAS BIOPHARMA, INC.</w:t>
      </w:r>
    </w:p>
    <w:p>
      <w:pPr>
        <w:spacing w:after="0" w:line="209" w:lineRule="exact"/>
        <w:rPr>
          <w:sz w:val="20"/>
          <w:szCs w:val="20"/>
          <w:color w:val="auto"/>
        </w:rPr>
      </w:pPr>
    </w:p>
    <w:tbl>
      <w:tblPr>
        <w:tblLayout w:type="fixed"/>
        <w:tblInd w:w="4000" w:type="dxa"/>
        <w:tblCellMar>
          <w:top w:w="0" w:type="dxa"/>
          <w:left w:w="0" w:type="dxa"/>
          <w:bottom w:w="0" w:type="dxa"/>
          <w:right w:w="0" w:type="dxa"/>
        </w:tblCellMar>
      </w:tblPr>
      <w:tr>
        <w:trPr>
          <w:trHeight w:val="211"/>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Leon O. Moulder, Jr.</w:t>
            </w:r>
          </w:p>
        </w:tc>
      </w:tr>
      <w:tr>
        <w:trPr>
          <w:trHeight w:val="172"/>
        </w:trPr>
        <w:tc>
          <w:tcPr>
            <w:tcW w:w="5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Name:</w:t>
            </w:r>
          </w:p>
        </w:tc>
        <w:tc>
          <w:tcPr>
            <w:tcW w:w="4440" w:type="dxa"/>
            <w:vAlign w:val="bottom"/>
          </w:tcPr>
          <w:p>
            <w:pPr>
              <w:ind w:left="20"/>
              <w:spacing w:after="0" w:line="172" w:lineRule="exact"/>
              <w:rPr>
                <w:sz w:val="20"/>
                <w:szCs w:val="20"/>
                <w:color w:val="auto"/>
              </w:rPr>
            </w:pPr>
            <w:r>
              <w:rPr>
                <w:rFonts w:ascii="Times New Roman" w:cs="Times New Roman" w:eastAsia="Times New Roman" w:hAnsi="Times New Roman"/>
                <w:sz w:val="16"/>
                <w:szCs w:val="16"/>
                <w:color w:val="auto"/>
              </w:rPr>
              <w:t>Leon O. Moulder, Jr.</w:t>
            </w:r>
          </w:p>
        </w:tc>
      </w:tr>
      <w:tr>
        <w:trPr>
          <w:trHeight w:val="195"/>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11"/>
        </w:trPr>
        <w:tc>
          <w:tcPr>
            <w:tcW w:w="520" w:type="dxa"/>
            <w:vAlign w:val="bottom"/>
          </w:tcPr>
          <w:p>
            <w:pPr>
              <w:spacing w:after="0"/>
              <w:rPr>
                <w:sz w:val="18"/>
                <w:szCs w:val="18"/>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610"/>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Jennifer Fox</w:t>
            </w:r>
          </w:p>
        </w:tc>
      </w:tr>
      <w:tr>
        <w:trPr>
          <w:trHeight w:val="172"/>
        </w:trPr>
        <w:tc>
          <w:tcPr>
            <w:tcW w:w="52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Name:</w:t>
            </w:r>
          </w:p>
        </w:tc>
        <w:tc>
          <w:tcPr>
            <w:tcW w:w="4440" w:type="dxa"/>
            <w:vAlign w:val="bottom"/>
          </w:tcPr>
          <w:p>
            <w:pPr>
              <w:ind w:left="20"/>
              <w:spacing w:after="0" w:line="172" w:lineRule="exact"/>
              <w:rPr>
                <w:sz w:val="20"/>
                <w:szCs w:val="20"/>
                <w:color w:val="auto"/>
              </w:rPr>
            </w:pPr>
            <w:r>
              <w:rPr>
                <w:rFonts w:ascii="Times New Roman" w:cs="Times New Roman" w:eastAsia="Times New Roman" w:hAnsi="Times New Roman"/>
                <w:sz w:val="16"/>
                <w:szCs w:val="16"/>
                <w:color w:val="auto"/>
              </w:rPr>
              <w:t>Jennifer Fox</w:t>
            </w:r>
          </w:p>
        </w:tc>
      </w:tr>
      <w:tr>
        <w:trPr>
          <w:trHeight w:val="195"/>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Business Officer and Chief Financial Officer</w:t>
            </w:r>
          </w:p>
        </w:tc>
      </w:tr>
      <w:tr>
        <w:trPr>
          <w:trHeight w:val="211"/>
        </w:trPr>
        <w:tc>
          <w:tcPr>
            <w:tcW w:w="520" w:type="dxa"/>
            <w:vAlign w:val="bottom"/>
          </w:tcPr>
          <w:p>
            <w:pPr>
              <w:spacing w:after="0"/>
              <w:rPr>
                <w:sz w:val="18"/>
                <w:szCs w:val="18"/>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327660</wp:posOffset>
            </wp:positionV>
            <wp:extent cx="5673090" cy="234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567309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06" w:name="page107"/>
    <w:bookmarkEnd w:id="106"/>
    <w:p>
      <w:pPr>
        <w:ind w:left="812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PURSUANT TO RULES 13a-14(a) AND 15d-14(a) UNDER THE SECURITIES EXCHANGE ACT OF</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1934, AS ADOPTED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Leon O. Moulder, Jr., certify that:</w:t>
      </w:r>
    </w:p>
    <w:p>
      <w:pPr>
        <w:spacing w:after="0" w:line="207" w:lineRule="exact"/>
        <w:rPr>
          <w:sz w:val="20"/>
          <w:szCs w:val="20"/>
          <w:color w:val="auto"/>
        </w:rPr>
      </w:pPr>
    </w:p>
    <w:p>
      <w:pPr>
        <w:ind w:left="620" w:hanging="285"/>
        <w:spacing w:after="0"/>
        <w:tabs>
          <w:tab w:leader="none" w:pos="6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Zenas BioPharma, Inc.;</w:t>
      </w:r>
    </w:p>
    <w:p>
      <w:pPr>
        <w:spacing w:after="0" w:line="206" w:lineRule="exact"/>
        <w:rPr>
          <w:rFonts w:ascii="Times New Roman" w:cs="Times New Roman" w:eastAsia="Times New Roman" w:hAnsi="Times New Roman"/>
          <w:sz w:val="16"/>
          <w:szCs w:val="16"/>
          <w:color w:val="auto"/>
        </w:rPr>
      </w:pPr>
    </w:p>
    <w:p>
      <w:pPr>
        <w:ind w:left="620" w:right="199" w:hanging="285"/>
        <w:spacing w:after="0" w:line="272" w:lineRule="auto"/>
        <w:tabs>
          <w:tab w:leader="none" w:pos="6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Times New Roman" w:cs="Times New Roman" w:eastAsia="Times New Roman" w:hAnsi="Times New Roman"/>
          <w:sz w:val="16"/>
          <w:szCs w:val="16"/>
          <w:color w:val="auto"/>
        </w:rPr>
      </w:pPr>
    </w:p>
    <w:p>
      <w:pPr>
        <w:ind w:left="620" w:right="279" w:hanging="285"/>
        <w:spacing w:after="0" w:line="272" w:lineRule="auto"/>
        <w:tabs>
          <w:tab w:leader="none" w:pos="6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Times New Roman" w:cs="Times New Roman" w:eastAsia="Times New Roman" w:hAnsi="Times New Roman"/>
          <w:sz w:val="16"/>
          <w:szCs w:val="16"/>
          <w:color w:val="auto"/>
        </w:rPr>
      </w:pPr>
    </w:p>
    <w:p>
      <w:pPr>
        <w:ind w:left="620" w:right="619" w:hanging="285"/>
        <w:spacing w:after="0" w:line="289" w:lineRule="auto"/>
        <w:tabs>
          <w:tab w:leader="none" w:pos="6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42" w:lineRule="exact"/>
        <w:rPr>
          <w:rFonts w:ascii="Times New Roman" w:cs="Times New Roman" w:eastAsia="Times New Roman" w:hAnsi="Times New Roman"/>
          <w:sz w:val="16"/>
          <w:szCs w:val="16"/>
          <w:color w:val="auto"/>
        </w:rPr>
      </w:pPr>
    </w:p>
    <w:p>
      <w:pPr>
        <w:ind w:left="1300" w:right="99" w:hanging="342"/>
        <w:spacing w:after="0" w:line="266" w:lineRule="auto"/>
        <w:tabs>
          <w:tab w:leader="none" w:pos="130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Times New Roman" w:cs="Times New Roman" w:eastAsia="Times New Roman" w:hAnsi="Times New Roman"/>
          <w:sz w:val="16"/>
          <w:szCs w:val="16"/>
          <w:color w:val="auto"/>
        </w:rPr>
      </w:pPr>
    </w:p>
    <w:p>
      <w:pPr>
        <w:ind w:left="1300" w:hanging="342"/>
        <w:spacing w:after="0"/>
        <w:tabs>
          <w:tab w:leader="none" w:pos="130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[Paragraph omitted pursuant to SEC Release Nos. 33-8238/34-47986 and 33-8392/34-49313];</w:t>
      </w:r>
    </w:p>
    <w:p>
      <w:pPr>
        <w:spacing w:after="0" w:line="206" w:lineRule="exact"/>
        <w:rPr>
          <w:rFonts w:ascii="Times New Roman" w:cs="Times New Roman" w:eastAsia="Times New Roman" w:hAnsi="Times New Roman"/>
          <w:sz w:val="16"/>
          <w:szCs w:val="16"/>
          <w:color w:val="auto"/>
        </w:rPr>
      </w:pPr>
    </w:p>
    <w:p>
      <w:pPr>
        <w:ind w:left="1300" w:right="179" w:hanging="342"/>
        <w:spacing w:after="0" w:line="272" w:lineRule="auto"/>
        <w:tabs>
          <w:tab w:leader="none" w:pos="130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Times New Roman" w:cs="Times New Roman" w:eastAsia="Times New Roman" w:hAnsi="Times New Roman"/>
          <w:sz w:val="16"/>
          <w:szCs w:val="16"/>
          <w:color w:val="auto"/>
        </w:rPr>
      </w:pPr>
    </w:p>
    <w:p>
      <w:pPr>
        <w:ind w:left="1300" w:right="79" w:hanging="342"/>
        <w:spacing w:after="0" w:line="266" w:lineRule="auto"/>
        <w:tabs>
          <w:tab w:leader="none" w:pos="130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16"/>
          <w:szCs w:val="16"/>
          <w:color w:val="auto"/>
        </w:rPr>
      </w:pPr>
    </w:p>
    <w:p>
      <w:pPr>
        <w:ind w:left="620" w:right="359" w:hanging="285"/>
        <w:spacing w:after="0" w:line="272" w:lineRule="auto"/>
        <w:tabs>
          <w:tab w:leader="none" w:pos="6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Times New Roman" w:cs="Times New Roman" w:eastAsia="Times New Roman" w:hAnsi="Times New Roman"/>
          <w:sz w:val="16"/>
          <w:szCs w:val="16"/>
          <w:color w:val="auto"/>
        </w:rPr>
      </w:pPr>
    </w:p>
    <w:p>
      <w:pPr>
        <w:ind w:left="1400" w:right="219" w:hanging="442"/>
        <w:spacing w:after="0" w:line="272" w:lineRule="auto"/>
        <w:tabs>
          <w:tab w:leader="none" w:pos="140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Times New Roman" w:cs="Times New Roman" w:eastAsia="Times New Roman" w:hAnsi="Times New Roman"/>
          <w:sz w:val="16"/>
          <w:szCs w:val="16"/>
          <w:color w:val="auto"/>
        </w:rPr>
      </w:pPr>
    </w:p>
    <w:p>
      <w:pPr>
        <w:ind w:left="1400" w:right="59" w:hanging="442"/>
        <w:spacing w:after="0" w:line="289" w:lineRule="auto"/>
        <w:tabs>
          <w:tab w:leader="none" w:pos="140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Dated: November 12, 2024</w:t>
            </w:r>
          </w:p>
        </w:tc>
        <w:tc>
          <w:tcPr>
            <w:tcW w:w="5800" w:type="dxa"/>
            <w:vAlign w:val="bottom"/>
            <w:gridSpan w:val="3"/>
          </w:tcPr>
          <w:p>
            <w:pPr>
              <w:ind w:left="1340"/>
              <w:spacing w:after="0"/>
              <w:rPr>
                <w:sz w:val="20"/>
                <w:szCs w:val="20"/>
                <w:color w:val="auto"/>
              </w:rPr>
            </w:pPr>
            <w:r>
              <w:rPr>
                <w:rFonts w:ascii="Times New Roman" w:cs="Times New Roman" w:eastAsia="Times New Roman" w:hAnsi="Times New Roman"/>
                <w:sz w:val="16"/>
                <w:szCs w:val="16"/>
                <w:color w:val="auto"/>
              </w:rPr>
              <w:t>By:/s/ Leon O. Moulder, Jr.</w:t>
            </w:r>
          </w:p>
        </w:tc>
      </w:tr>
      <w:tr>
        <w:trPr>
          <w:trHeight w:val="171"/>
        </w:trPr>
        <w:tc>
          <w:tcPr>
            <w:tcW w:w="3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Name:</w:t>
            </w:r>
          </w:p>
        </w:tc>
        <w:tc>
          <w:tcPr>
            <w:tcW w:w="3720" w:type="dxa"/>
            <w:vAlign w:val="bottom"/>
            <w:tcBorders>
              <w:top w:val="single" w:sz="8" w:color="auto"/>
            </w:tcBorders>
          </w:tcPr>
          <w:p>
            <w:pPr>
              <w:ind w:left="60"/>
              <w:spacing w:after="0" w:line="171" w:lineRule="exact"/>
              <w:rPr>
                <w:sz w:val="20"/>
                <w:szCs w:val="20"/>
                <w:color w:val="auto"/>
              </w:rPr>
            </w:pPr>
            <w:r>
              <w:rPr>
                <w:rFonts w:ascii="Times New Roman" w:cs="Times New Roman" w:eastAsia="Times New Roman" w:hAnsi="Times New Roman"/>
                <w:sz w:val="16"/>
                <w:szCs w:val="16"/>
                <w:color w:val="auto"/>
              </w:rPr>
              <w:t>Leon O. Moulder, Jr.</w:t>
            </w:r>
          </w:p>
        </w:tc>
      </w:tr>
      <w:tr>
        <w:trPr>
          <w:trHeight w:val="195"/>
        </w:trPr>
        <w:tc>
          <w:tcPr>
            <w:tcW w:w="3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11"/>
        </w:trPr>
        <w:tc>
          <w:tcPr>
            <w:tcW w:w="3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701"/>
        </w:trPr>
        <w:tc>
          <w:tcPr>
            <w:tcW w:w="3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7" w:name="page108"/>
    <w:bookmarkEnd w:id="107"/>
    <w:p>
      <w:pPr>
        <w:ind w:left="812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PURSUANT TO RULES 13a-14(a) AND 15d-14(a) UNDER THE SECURITIES EXCHANGE ACT OF</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1934, AS ADOPTED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Jennifer Fox, certify that:</w:t>
      </w:r>
    </w:p>
    <w:p>
      <w:pPr>
        <w:spacing w:after="0" w:line="207" w:lineRule="exact"/>
        <w:rPr>
          <w:sz w:val="20"/>
          <w:szCs w:val="20"/>
          <w:color w:val="auto"/>
        </w:rPr>
      </w:pPr>
    </w:p>
    <w:p>
      <w:pPr>
        <w:ind w:left="620" w:hanging="285"/>
        <w:spacing w:after="0"/>
        <w:tabs>
          <w:tab w:leader="none" w:pos="6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Zenas BioPharma, Inc.;</w:t>
      </w:r>
    </w:p>
    <w:p>
      <w:pPr>
        <w:spacing w:after="0" w:line="206" w:lineRule="exact"/>
        <w:rPr>
          <w:rFonts w:ascii="Times New Roman" w:cs="Times New Roman" w:eastAsia="Times New Roman" w:hAnsi="Times New Roman"/>
          <w:sz w:val="16"/>
          <w:szCs w:val="16"/>
          <w:color w:val="auto"/>
        </w:rPr>
      </w:pPr>
    </w:p>
    <w:p>
      <w:pPr>
        <w:ind w:left="620" w:right="199" w:hanging="285"/>
        <w:spacing w:after="0" w:line="272" w:lineRule="auto"/>
        <w:tabs>
          <w:tab w:leader="none" w:pos="6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Times New Roman" w:cs="Times New Roman" w:eastAsia="Times New Roman" w:hAnsi="Times New Roman"/>
          <w:sz w:val="16"/>
          <w:szCs w:val="16"/>
          <w:color w:val="auto"/>
        </w:rPr>
      </w:pPr>
    </w:p>
    <w:p>
      <w:pPr>
        <w:ind w:left="620" w:right="279" w:hanging="285"/>
        <w:spacing w:after="0" w:line="272" w:lineRule="auto"/>
        <w:tabs>
          <w:tab w:leader="none" w:pos="6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Times New Roman" w:cs="Times New Roman" w:eastAsia="Times New Roman" w:hAnsi="Times New Roman"/>
          <w:sz w:val="16"/>
          <w:szCs w:val="16"/>
          <w:color w:val="auto"/>
        </w:rPr>
      </w:pPr>
    </w:p>
    <w:p>
      <w:pPr>
        <w:ind w:left="620" w:right="619" w:hanging="285"/>
        <w:spacing w:after="0" w:line="289" w:lineRule="auto"/>
        <w:tabs>
          <w:tab w:leader="none" w:pos="6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42" w:lineRule="exact"/>
        <w:rPr>
          <w:rFonts w:ascii="Times New Roman" w:cs="Times New Roman" w:eastAsia="Times New Roman" w:hAnsi="Times New Roman"/>
          <w:sz w:val="16"/>
          <w:szCs w:val="16"/>
          <w:color w:val="auto"/>
        </w:rPr>
      </w:pPr>
    </w:p>
    <w:p>
      <w:pPr>
        <w:ind w:left="1320" w:right="79" w:hanging="301"/>
        <w:spacing w:after="0" w:line="266" w:lineRule="auto"/>
        <w:tabs>
          <w:tab w:leader="none" w:pos="132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Times New Roman" w:cs="Times New Roman" w:eastAsia="Times New Roman" w:hAnsi="Times New Roman"/>
          <w:sz w:val="16"/>
          <w:szCs w:val="16"/>
          <w:color w:val="auto"/>
        </w:rPr>
      </w:pPr>
    </w:p>
    <w:p>
      <w:pPr>
        <w:ind w:left="1320" w:hanging="301"/>
        <w:spacing w:after="0"/>
        <w:tabs>
          <w:tab w:leader="none" w:pos="132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[Paragraph omitted pursuant to SEC Release Nos. 33-8238/34-47986 and 33-8392/34-49313];</w:t>
      </w:r>
    </w:p>
    <w:p>
      <w:pPr>
        <w:spacing w:after="0" w:line="206" w:lineRule="exact"/>
        <w:rPr>
          <w:rFonts w:ascii="Times New Roman" w:cs="Times New Roman" w:eastAsia="Times New Roman" w:hAnsi="Times New Roman"/>
          <w:sz w:val="16"/>
          <w:szCs w:val="16"/>
          <w:color w:val="auto"/>
        </w:rPr>
      </w:pPr>
    </w:p>
    <w:p>
      <w:pPr>
        <w:ind w:left="1320" w:right="159" w:hanging="301"/>
        <w:spacing w:after="0" w:line="272" w:lineRule="auto"/>
        <w:tabs>
          <w:tab w:leader="none" w:pos="132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Times New Roman" w:cs="Times New Roman" w:eastAsia="Times New Roman" w:hAnsi="Times New Roman"/>
          <w:sz w:val="16"/>
          <w:szCs w:val="16"/>
          <w:color w:val="auto"/>
        </w:rPr>
      </w:pPr>
    </w:p>
    <w:p>
      <w:pPr>
        <w:ind w:left="1320" w:right="79" w:hanging="301"/>
        <w:spacing w:after="0" w:line="266" w:lineRule="auto"/>
        <w:tabs>
          <w:tab w:leader="none" w:pos="132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Times New Roman" w:cs="Times New Roman" w:eastAsia="Times New Roman" w:hAnsi="Times New Roman"/>
          <w:sz w:val="16"/>
          <w:szCs w:val="16"/>
          <w:color w:val="auto"/>
        </w:rPr>
      </w:pPr>
    </w:p>
    <w:p>
      <w:pPr>
        <w:ind w:left="620" w:right="359" w:hanging="285"/>
        <w:spacing w:after="0" w:line="272" w:lineRule="auto"/>
        <w:tabs>
          <w:tab w:leader="none" w:pos="6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Times New Roman" w:cs="Times New Roman" w:eastAsia="Times New Roman" w:hAnsi="Times New Roman"/>
          <w:sz w:val="16"/>
          <w:szCs w:val="16"/>
          <w:color w:val="auto"/>
        </w:rPr>
      </w:pPr>
    </w:p>
    <w:p>
      <w:pPr>
        <w:ind w:left="1320" w:right="319" w:hanging="301"/>
        <w:spacing w:after="0" w:line="272" w:lineRule="auto"/>
        <w:tabs>
          <w:tab w:leader="none" w:pos="132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Times New Roman" w:cs="Times New Roman" w:eastAsia="Times New Roman" w:hAnsi="Times New Roman"/>
          <w:sz w:val="16"/>
          <w:szCs w:val="16"/>
          <w:color w:val="auto"/>
        </w:rPr>
      </w:pPr>
    </w:p>
    <w:p>
      <w:pPr>
        <w:ind w:left="1320" w:right="159" w:hanging="301"/>
        <w:spacing w:after="0" w:line="289" w:lineRule="auto"/>
        <w:tabs>
          <w:tab w:leader="none" w:pos="132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Dated: November 12, 2024</w:t>
            </w:r>
          </w:p>
        </w:tc>
        <w:tc>
          <w:tcPr>
            <w:tcW w:w="5820" w:type="dxa"/>
            <w:vAlign w:val="bottom"/>
            <w:gridSpan w:val="3"/>
          </w:tcPr>
          <w:p>
            <w:pPr>
              <w:ind w:left="1360"/>
              <w:spacing w:after="0"/>
              <w:rPr>
                <w:sz w:val="20"/>
                <w:szCs w:val="20"/>
                <w:color w:val="auto"/>
              </w:rPr>
            </w:pPr>
            <w:r>
              <w:rPr>
                <w:rFonts w:ascii="Times New Roman" w:cs="Times New Roman" w:eastAsia="Times New Roman" w:hAnsi="Times New Roman"/>
                <w:sz w:val="16"/>
                <w:szCs w:val="16"/>
                <w:color w:val="auto"/>
              </w:rPr>
              <w:t>By:/s/ Jennifer Fox</w:t>
            </w:r>
          </w:p>
        </w:tc>
      </w:tr>
      <w:tr>
        <w:trPr>
          <w:trHeight w:val="171"/>
        </w:trPr>
        <w:tc>
          <w:tcPr>
            <w:tcW w:w="3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Name:</w:t>
            </w:r>
          </w:p>
        </w:tc>
        <w:tc>
          <w:tcPr>
            <w:tcW w:w="3720" w:type="dxa"/>
            <w:vAlign w:val="bottom"/>
            <w:tcBorders>
              <w:top w:val="single" w:sz="8" w:color="auto"/>
            </w:tcBorders>
          </w:tcPr>
          <w:p>
            <w:pPr>
              <w:ind w:left="60"/>
              <w:spacing w:after="0" w:line="171" w:lineRule="exact"/>
              <w:rPr>
                <w:sz w:val="20"/>
                <w:szCs w:val="20"/>
                <w:color w:val="auto"/>
              </w:rPr>
            </w:pPr>
            <w:r>
              <w:rPr>
                <w:rFonts w:ascii="Times New Roman" w:cs="Times New Roman" w:eastAsia="Times New Roman" w:hAnsi="Times New Roman"/>
                <w:sz w:val="16"/>
                <w:szCs w:val="16"/>
                <w:color w:val="auto"/>
              </w:rPr>
              <w:t>Jennifer Fox</w:t>
            </w:r>
          </w:p>
        </w:tc>
      </w:tr>
      <w:tr>
        <w:trPr>
          <w:trHeight w:val="195"/>
        </w:trPr>
        <w:tc>
          <w:tcPr>
            <w:tcW w:w="3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Chief Business Officer and Chief Financial Officer</w:t>
            </w:r>
          </w:p>
        </w:tc>
      </w:tr>
      <w:tr>
        <w:trPr>
          <w:trHeight w:val="211"/>
        </w:trPr>
        <w:tc>
          <w:tcPr>
            <w:tcW w:w="3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701"/>
        </w:trPr>
        <w:tc>
          <w:tcPr>
            <w:tcW w:w="3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8" w:name="page109"/>
    <w:bookmarkEnd w:id="108"/>
    <w:p>
      <w:pPr>
        <w:ind w:left="8120"/>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350,</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1" w:lineRule="exact"/>
        <w:rPr>
          <w:sz w:val="20"/>
          <w:szCs w:val="20"/>
          <w:color w:val="auto"/>
        </w:rPr>
      </w:pPr>
    </w:p>
    <w:p>
      <w:pPr>
        <w:ind w:left="40" w:right="819"/>
        <w:spacing w:after="0" w:line="289" w:lineRule="auto"/>
        <w:rPr>
          <w:sz w:val="20"/>
          <w:szCs w:val="20"/>
          <w:color w:val="auto"/>
        </w:rPr>
      </w:pPr>
      <w:r>
        <w:rPr>
          <w:rFonts w:ascii="Times New Roman" w:cs="Times New Roman" w:eastAsia="Times New Roman" w:hAnsi="Times New Roman"/>
          <w:sz w:val="16"/>
          <w:szCs w:val="16"/>
          <w:color w:val="auto"/>
        </w:rPr>
        <w:t>Pursuant to 18 U.S.C. § 1350, as created by Section 906 of the Sarbanes-Oxley Act of 2002, the undersigned officer of Zenas BioPharma, Inc. (the “Company”) hereby certifies, to the best of my knowledge, that:</w:t>
      </w:r>
    </w:p>
    <w:p>
      <w:pPr>
        <w:spacing w:after="0" w:line="143" w:lineRule="exact"/>
        <w:rPr>
          <w:sz w:val="20"/>
          <w:szCs w:val="20"/>
          <w:color w:val="auto"/>
        </w:rPr>
      </w:pPr>
    </w:p>
    <w:p>
      <w:pPr>
        <w:ind w:left="1300" w:right="99" w:hanging="342"/>
        <w:spacing w:after="0" w:line="272" w:lineRule="auto"/>
        <w:tabs>
          <w:tab w:leader="none" w:pos="13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accompanying Quarterly Report on Form 10-Q of the Company for the fiscal quarter ended September 30, 2024 (the “Report”) fully complies with the requirements of Section 13(a) or Section 15(d) of the Securities Exchange Act of 1934; and</w:t>
      </w:r>
    </w:p>
    <w:p>
      <w:pPr>
        <w:spacing w:after="0" w:line="155" w:lineRule="exact"/>
        <w:rPr>
          <w:rFonts w:ascii="Times New Roman" w:cs="Times New Roman" w:eastAsia="Times New Roman" w:hAnsi="Times New Roman"/>
          <w:sz w:val="16"/>
          <w:szCs w:val="16"/>
          <w:color w:val="auto"/>
        </w:rPr>
      </w:pPr>
    </w:p>
    <w:p>
      <w:pPr>
        <w:ind w:left="1300" w:right="179" w:hanging="342"/>
        <w:spacing w:after="0" w:line="289" w:lineRule="auto"/>
        <w:tabs>
          <w:tab w:leader="none" w:pos="13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Dated: November 12, 2024</w:t>
            </w:r>
          </w:p>
        </w:tc>
        <w:tc>
          <w:tcPr>
            <w:tcW w:w="5800" w:type="dxa"/>
            <w:vAlign w:val="bottom"/>
            <w:gridSpan w:val="3"/>
          </w:tcPr>
          <w:p>
            <w:pPr>
              <w:ind w:left="1340"/>
              <w:spacing w:after="0"/>
              <w:rPr>
                <w:sz w:val="20"/>
                <w:szCs w:val="20"/>
                <w:color w:val="auto"/>
              </w:rPr>
            </w:pPr>
            <w:r>
              <w:rPr>
                <w:rFonts w:ascii="Times New Roman" w:cs="Times New Roman" w:eastAsia="Times New Roman" w:hAnsi="Times New Roman"/>
                <w:sz w:val="16"/>
                <w:szCs w:val="16"/>
                <w:color w:val="auto"/>
              </w:rPr>
              <w:t>By:/s/ Leon O. Moulder, Jr.</w:t>
            </w:r>
          </w:p>
        </w:tc>
      </w:tr>
      <w:tr>
        <w:trPr>
          <w:trHeight w:val="171"/>
        </w:trPr>
        <w:tc>
          <w:tcPr>
            <w:tcW w:w="3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Name:</w:t>
            </w:r>
          </w:p>
        </w:tc>
        <w:tc>
          <w:tcPr>
            <w:tcW w:w="3720" w:type="dxa"/>
            <w:vAlign w:val="bottom"/>
            <w:tcBorders>
              <w:top w:val="single" w:sz="8" w:color="auto"/>
            </w:tcBorders>
          </w:tcPr>
          <w:p>
            <w:pPr>
              <w:ind w:left="60"/>
              <w:spacing w:after="0" w:line="171" w:lineRule="exact"/>
              <w:rPr>
                <w:sz w:val="20"/>
                <w:szCs w:val="20"/>
                <w:color w:val="auto"/>
              </w:rPr>
            </w:pPr>
            <w:r>
              <w:rPr>
                <w:rFonts w:ascii="Times New Roman" w:cs="Times New Roman" w:eastAsia="Times New Roman" w:hAnsi="Times New Roman"/>
                <w:sz w:val="16"/>
                <w:szCs w:val="16"/>
                <w:color w:val="auto"/>
              </w:rPr>
              <w:t>Leon O. Moulder, Jr.</w:t>
            </w:r>
          </w:p>
        </w:tc>
      </w:tr>
      <w:tr>
        <w:trPr>
          <w:trHeight w:val="195"/>
        </w:trPr>
        <w:tc>
          <w:tcPr>
            <w:tcW w:w="3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11"/>
        </w:trPr>
        <w:tc>
          <w:tcPr>
            <w:tcW w:w="3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701"/>
        </w:trPr>
        <w:tc>
          <w:tcPr>
            <w:tcW w:w="3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9" w:name="page110"/>
    <w:bookmarkEnd w:id="109"/>
    <w:p>
      <w:pPr>
        <w:ind w:left="8120"/>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209" w:lineRule="exact"/>
        <w:rPr>
          <w:sz w:val="20"/>
          <w:szCs w:val="20"/>
          <w:color w:val="auto"/>
        </w:rPr>
      </w:pPr>
    </w:p>
    <w:p>
      <w:pPr>
        <w:ind w:left="40" w:right="819"/>
        <w:spacing w:after="0" w:line="289" w:lineRule="auto"/>
        <w:rPr>
          <w:sz w:val="20"/>
          <w:szCs w:val="20"/>
          <w:color w:val="auto"/>
        </w:rPr>
      </w:pPr>
      <w:r>
        <w:rPr>
          <w:rFonts w:ascii="Times New Roman" w:cs="Times New Roman" w:eastAsia="Times New Roman" w:hAnsi="Times New Roman"/>
          <w:sz w:val="16"/>
          <w:szCs w:val="16"/>
          <w:color w:val="auto"/>
        </w:rPr>
        <w:t>Pursuant to 18 U.S.C. § 1350, as created by Section 906 of the Sarbanes-Oxley Act of 2002, the undersigned officer of Zenas BioPharma, Inc. (the “Company”) hereby certifies, to the best of my knowledge, that:</w:t>
      </w:r>
    </w:p>
    <w:p>
      <w:pPr>
        <w:spacing w:after="0" w:line="143" w:lineRule="exact"/>
        <w:rPr>
          <w:sz w:val="20"/>
          <w:szCs w:val="20"/>
          <w:color w:val="auto"/>
        </w:rPr>
      </w:pPr>
    </w:p>
    <w:p>
      <w:pPr>
        <w:ind w:left="1300" w:right="99" w:hanging="342"/>
        <w:spacing w:after="0" w:line="272" w:lineRule="auto"/>
        <w:tabs>
          <w:tab w:leader="none" w:pos="13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accompanying Quarterly Report on Form 10-Q of the Company for the fiscal quarter ended September 30, 2024 (the “Report”) fully complies with the requirements of Section 13(a) or Section 15(d) of the Securities Exchange Act of 1934; and</w:t>
      </w:r>
    </w:p>
    <w:p>
      <w:pPr>
        <w:spacing w:after="0" w:line="155" w:lineRule="exact"/>
        <w:rPr>
          <w:rFonts w:ascii="Times New Roman" w:cs="Times New Roman" w:eastAsia="Times New Roman" w:hAnsi="Times New Roman"/>
          <w:sz w:val="16"/>
          <w:szCs w:val="16"/>
          <w:color w:val="auto"/>
        </w:rPr>
      </w:pPr>
    </w:p>
    <w:p>
      <w:pPr>
        <w:ind w:left="1300" w:right="179" w:hanging="342"/>
        <w:spacing w:after="0" w:line="289" w:lineRule="auto"/>
        <w:tabs>
          <w:tab w:leader="none" w:pos="13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Dated: November 12, 2024</w:t>
            </w:r>
          </w:p>
        </w:tc>
        <w:tc>
          <w:tcPr>
            <w:tcW w:w="5800" w:type="dxa"/>
            <w:vAlign w:val="bottom"/>
            <w:gridSpan w:val="3"/>
          </w:tcPr>
          <w:p>
            <w:pPr>
              <w:ind w:left="1340"/>
              <w:spacing w:after="0"/>
              <w:rPr>
                <w:sz w:val="20"/>
                <w:szCs w:val="20"/>
                <w:color w:val="auto"/>
              </w:rPr>
            </w:pPr>
            <w:r>
              <w:rPr>
                <w:rFonts w:ascii="Times New Roman" w:cs="Times New Roman" w:eastAsia="Times New Roman" w:hAnsi="Times New Roman"/>
                <w:sz w:val="16"/>
                <w:szCs w:val="16"/>
                <w:color w:val="auto"/>
              </w:rPr>
              <w:t>By:/s/ Jennifer Fox</w:t>
            </w:r>
          </w:p>
        </w:tc>
      </w:tr>
      <w:tr>
        <w:trPr>
          <w:trHeight w:val="171"/>
        </w:trPr>
        <w:tc>
          <w:tcPr>
            <w:tcW w:w="3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Name:</w:t>
            </w:r>
          </w:p>
        </w:tc>
        <w:tc>
          <w:tcPr>
            <w:tcW w:w="3720" w:type="dxa"/>
            <w:vAlign w:val="bottom"/>
            <w:tcBorders>
              <w:top w:val="single" w:sz="8" w:color="auto"/>
            </w:tcBorders>
          </w:tcPr>
          <w:p>
            <w:pPr>
              <w:ind w:left="60"/>
              <w:spacing w:after="0" w:line="171" w:lineRule="exact"/>
              <w:rPr>
                <w:sz w:val="20"/>
                <w:szCs w:val="20"/>
                <w:color w:val="auto"/>
              </w:rPr>
            </w:pPr>
            <w:r>
              <w:rPr>
                <w:rFonts w:ascii="Times New Roman" w:cs="Times New Roman" w:eastAsia="Times New Roman" w:hAnsi="Times New Roman"/>
                <w:sz w:val="16"/>
                <w:szCs w:val="16"/>
                <w:color w:val="auto"/>
              </w:rPr>
              <w:t>Jennifer Fox</w:t>
            </w:r>
          </w:p>
        </w:tc>
      </w:tr>
      <w:tr>
        <w:trPr>
          <w:trHeight w:val="195"/>
        </w:trPr>
        <w:tc>
          <w:tcPr>
            <w:tcW w:w="3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Chief Business Officer and Chief Financial Officer</w:t>
            </w:r>
          </w:p>
        </w:tc>
      </w:tr>
      <w:tr>
        <w:trPr>
          <w:trHeight w:val="211"/>
        </w:trPr>
        <w:tc>
          <w:tcPr>
            <w:tcW w:w="3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701"/>
        </w:trPr>
        <w:tc>
          <w:tcPr>
            <w:tcW w:w="3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1."/>
      <w:numFmt w:val="decimal"/>
      <w:start w:val="2"/>
    </w:lvl>
  </w:abstractNum>
  <w:abstractNum w:abstractNumId="8">
    <w:nsid w:val="5E884ADC"/>
    <w:multiLevelType w:val="hybridMultilevel"/>
    <w:lvl w:ilvl="0">
      <w:lvlJc w:val="left"/>
      <w:lvlText w:val="%1."/>
      <w:numFmt w:val="decimal"/>
      <w:start w:val="3"/>
    </w:lvl>
  </w:abstractNum>
  <w:abstractNum w:abstractNumId="9">
    <w:nsid w:val="51EAD36B"/>
    <w:multiLevelType w:val="hybridMultilevel"/>
    <w:lvl w:ilvl="0">
      <w:lvlJc w:val="left"/>
      <w:lvlText w:val="%1."/>
      <w:numFmt w:val="decimal"/>
      <w:start w:val="4"/>
    </w:lvl>
  </w:abstractNum>
  <w:abstractNum w:abstractNumId="10">
    <w:nsid w:val="2D517796"/>
    <w:multiLevelType w:val="hybridMultilevel"/>
    <w:lvl w:ilvl="0">
      <w:lvlJc w:val="left"/>
      <w:lvlText w:val="%1."/>
      <w:numFmt w:val="decimal"/>
      <w:start w:val="7"/>
    </w:lvl>
  </w:abstractNum>
  <w:abstractNum w:abstractNumId="11">
    <w:nsid w:val="580BD78F"/>
    <w:multiLevelType w:val="hybridMultilevel"/>
    <w:lvl w:ilvl="0">
      <w:lvlJc w:val="left"/>
      <w:lvlText w:val="%1."/>
      <w:numFmt w:val="decimal"/>
      <w:start w:val="8"/>
    </w:lvl>
  </w:abstractNum>
  <w:abstractNum w:abstractNumId="12">
    <w:nsid w:val="153EA438"/>
    <w:multiLevelType w:val="hybridMultilevel"/>
    <w:lvl w:ilvl="0">
      <w:lvlJc w:val="left"/>
      <w:lvlText w:val="%1."/>
      <w:numFmt w:val="decimal"/>
      <w:start w:val="9"/>
    </w:lvl>
  </w:abstractNum>
  <w:abstractNum w:abstractNumId="13">
    <w:nsid w:val="3855585C"/>
    <w:multiLevelType w:val="hybridMultilevel"/>
    <w:lvl w:ilvl="0">
      <w:lvlJc w:val="left"/>
      <w:lvlText w:val="%1."/>
      <w:numFmt w:val="decimal"/>
      <w:start w:val="10"/>
    </w:lvl>
  </w:abstractNum>
  <w:abstractNum w:abstractNumId="14">
    <w:nsid w:val="70A64E2A"/>
    <w:multiLevelType w:val="hybridMultilevel"/>
    <w:lvl w:ilvl="0">
      <w:lvlJc w:val="left"/>
      <w:lvlText w:val="%1."/>
      <w:numFmt w:val="decimal"/>
      <w:start w:val="11"/>
    </w:lvl>
  </w:abstractNum>
  <w:abstractNum w:abstractNumId="15">
    <w:nsid w:val="6A2342EC"/>
    <w:multiLevelType w:val="hybridMultilevel"/>
    <w:lvl w:ilvl="0">
      <w:lvlJc w:val="left"/>
      <w:lvlText w:val="%1."/>
      <w:numFmt w:val="decimal"/>
      <w:start w:val="12"/>
    </w:lvl>
  </w:abstractNum>
  <w:abstractNum w:abstractNumId="16">
    <w:nsid w:val="2A487CB0"/>
    <w:multiLevelType w:val="hybridMultilevel"/>
    <w:lvl w:ilvl="0">
      <w:lvlJc w:val="left"/>
      <w:lvlText w:val="(%1)"/>
      <w:numFmt w:val="lowerLetter"/>
      <w:start w:val="1"/>
    </w:lvl>
  </w:abstractNum>
  <w:abstractNum w:abstractNumId="17">
    <w:nsid w:val="1D4ED43B"/>
    <w:multiLevelType w:val="hybridMultilevel"/>
    <w:lvl w:ilvl="0">
      <w:lvlJc w:val="left"/>
      <w:lvlText w:val="%1."/>
      <w:numFmt w:val="decimal"/>
      <w:start w:val="13"/>
    </w:lvl>
  </w:abstractNum>
  <w:abstractNum w:abstractNumId="18">
    <w:nsid w:val="725A06FB"/>
    <w:multiLevelType w:val="hybridMultilevel"/>
    <w:lvl w:ilvl="0">
      <w:lvlJc w:val="left"/>
      <w:lvlText w:val="%1."/>
      <w:numFmt w:val="decimal"/>
      <w:start w:val="14"/>
    </w:lvl>
  </w:abstractNum>
  <w:abstractNum w:abstractNumId="19">
    <w:nsid w:val="2CD89A32"/>
    <w:multiLevelType w:val="hybridMultilevel"/>
    <w:lvl w:ilvl="0">
      <w:lvlJc w:val="left"/>
      <w:lvlText w:val="%1."/>
      <w:numFmt w:val="decimal"/>
      <w:start w:val="15"/>
    </w:lvl>
  </w:abstractNum>
  <w:abstractNum w:abstractNumId="20">
    <w:nsid w:val="57E4CCAF"/>
    <w:multiLevelType w:val="hybridMultilevel"/>
    <w:lvl w:ilvl="0">
      <w:lvlJc w:val="left"/>
      <w:lvlText w:val="%1."/>
      <w:numFmt w:val="decimal"/>
      <w:start w:val="16"/>
    </w:lvl>
  </w:abstractNum>
  <w:abstractNum w:abstractNumId="21">
    <w:nsid w:val="7A6D8D3C"/>
    <w:multiLevelType w:val="hybridMultilevel"/>
    <w:lvl w:ilvl="0">
      <w:lvlJc w:val="left"/>
      <w:lvlText w:val="%1."/>
      <w:numFmt w:val="decimal"/>
      <w:start w:val="17"/>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lvl w:ilvl="1">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lvl w:ilvl="1">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1)"/>
      <w:numFmt w:val="lowerRoman"/>
      <w:start w:val="2"/>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1)"/>
      <w:numFmt w:val="lowerRoman"/>
      <w:start w:val="2"/>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lowerRoman"/>
      <w:start w:val="1"/>
    </w:lvl>
  </w:abstractNum>
  <w:abstractNum w:abstractNumId="68">
    <w:nsid w:val="6590700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23" Type="http://schemas.openxmlformats.org/officeDocument/2006/relationships/hyperlink" Target="https://www.sec.gov/Archives/edgar/data/0001953926/000110465924100177/tm2332800d24_ex3-1.htm" TargetMode="External"/><Relationship Id="rId124" Type="http://schemas.openxmlformats.org/officeDocument/2006/relationships/hyperlink" Target="https://www.sec.gov/Archives/edgar/data/0001953926/000110465924100177/tm2332800d24_ex3-2.htm" TargetMode="External"/><Relationship Id="rId125" Type="http://schemas.openxmlformats.org/officeDocument/2006/relationships/hyperlink" Target="https://www.sec.gov/Archives/edgar/data/1953926/000110465924100244/tm2332800d22_ex4-6.htm" TargetMode="External"/><Relationship Id="rId126" Type="http://schemas.openxmlformats.org/officeDocument/2006/relationships/hyperlink" Target="https://www.sec.gov/Archives/edgar/data/1953926/000110465924100244/tm2332800d22_ex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2024-11-12T09:12:11Z</dcterms:created>
  <dcterms:modified xsi:type="dcterms:W3CDTF">2024-11-12T09:12:11Z</dcterms:modified>
</cp:coreProperties>
</file>