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-183515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3540" w:right="1079" w:hanging="2470"/>
        <w:spacing w:after="0" w:line="282" w:lineRule="auto"/>
        <w:tabs>
          <w:tab w:leader="none" w:pos="172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4" w:lineRule="exact"/>
        <w:rPr>
          <w:sz w:val="24"/>
          <w:szCs w:val="24"/>
          <w:color w:val="auto"/>
        </w:rPr>
      </w:pPr>
    </w:p>
    <w:p>
      <w:pPr>
        <w:ind w:left="3540" w:right="1059" w:hanging="2488"/>
        <w:spacing w:after="0" w:line="366" w:lineRule="auto"/>
        <w:tabs>
          <w:tab w:leader="none" w:pos="170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000"/>
        <w:spacing w:after="0"/>
        <w:tabs>
          <w:tab w:leader="none" w:pos="53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2953385</wp:posOffset>
            </wp:positionH>
            <wp:positionV relativeFrom="paragraph">
              <wp:posOffset>-4445</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001-42270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46355</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97790</wp:posOffset>
            </wp:positionV>
            <wp:extent cx="111442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Zenas BioPharma,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13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Delaware</w:t>
      </w:r>
    </w:p>
    <w:p>
      <w:pPr>
        <w:ind w:left="1500"/>
        <w:spacing w:after="0" w:line="237" w:lineRule="auto"/>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4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659"/>
        <w:spacing w:after="0"/>
        <w:rPr>
          <w:sz w:val="20"/>
          <w:szCs w:val="20"/>
          <w:color w:val="auto"/>
        </w:rPr>
      </w:pPr>
      <w:r>
        <w:rPr>
          <w:rFonts w:ascii="Times New Roman" w:cs="Times New Roman" w:eastAsia="Times New Roman" w:hAnsi="Times New Roman"/>
          <w:sz w:val="13"/>
          <w:szCs w:val="13"/>
          <w:color w:val="auto"/>
        </w:rPr>
        <w:t>93-2749244</w:t>
      </w:r>
    </w:p>
    <w:p>
      <w:pPr>
        <w:jc w:val="center"/>
        <w:ind w:right="1659"/>
        <w:spacing w:after="0" w:line="216" w:lineRule="auto"/>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659"/>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76" w:lineRule="exact"/>
        <w:rPr>
          <w:sz w:val="24"/>
          <w:szCs w:val="24"/>
          <w:color w:val="auto"/>
        </w:rPr>
      </w:pPr>
    </w:p>
    <w:p>
      <w:pPr>
        <w:sectPr>
          <w:pgSz w:w="11900" w:h="16838" w:orient="portrait"/>
          <w:cols w:equalWidth="0" w:num="2">
            <w:col w:w="5380" w:space="720"/>
            <w:col w:w="2919"/>
          </w:cols>
          <w:pgMar w:left="1440" w:top="66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852 Winter Street, Suite 250</w:t>
      </w:r>
    </w:p>
    <w:p>
      <w:pPr>
        <w:jc w:val="center"/>
        <w:ind w:right="19"/>
        <w:spacing w:after="0" w:line="219" w:lineRule="auto"/>
        <w:rPr>
          <w:sz w:val="20"/>
          <w:szCs w:val="20"/>
          <w:color w:val="auto"/>
        </w:rPr>
      </w:pPr>
      <w:r>
        <w:rPr>
          <w:rFonts w:ascii="Times New Roman" w:cs="Times New Roman" w:eastAsia="Times New Roman" w:hAnsi="Times New Roman"/>
          <w:sz w:val="13"/>
          <w:szCs w:val="13"/>
          <w:b w:val="1"/>
          <w:bCs w:val="1"/>
          <w:color w:val="auto"/>
        </w:rPr>
        <w:t>Waltham, MA 02451</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271-2954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36195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p>
      <w:pPr>
        <w:spacing w:after="0" w:line="120" w:lineRule="exact"/>
        <w:rPr>
          <w:sz w:val="24"/>
          <w:szCs w:val="24"/>
          <w:color w:val="auto"/>
        </w:rPr>
      </w:pPr>
    </w:p>
    <w:p>
      <w:pPr>
        <w:ind w:left="60" w:right="239"/>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60"/>
        <w:spacing w:after="0" w:line="150" w:lineRule="exact"/>
        <w:tabs>
          <w:tab w:leader="none" w:pos="580" w:val="left"/>
        </w:tabs>
        <w:rPr>
          <w:sz w:val="20"/>
          <w:szCs w:val="20"/>
          <w:color w:val="auto"/>
        </w:rPr>
      </w:pPr>
      <w:r>
        <w:rPr>
          <w:rFonts w:ascii="Times New Roman" w:cs="Times New Roman" w:eastAsia="Times New Roman" w:hAnsi="Times New Roman"/>
          <w:sz w:val="13"/>
          <w:szCs w:val="13"/>
          <w:color w:val="auto"/>
        </w:rPr>
        <w:t>90 days.</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559"/>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ind w:left="60" w:right="99"/>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2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5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Accelerated filer</w:t>
            </w:r>
          </w:p>
        </w:tc>
        <w:tc>
          <w:tcPr>
            <w:tcW w:w="98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240" w:type="dxa"/>
            <w:vAlign w:val="bottom"/>
          </w:tcPr>
          <w:p>
            <w:pPr>
              <w:spacing w:after="0"/>
              <w:rPr>
                <w:sz w:val="13"/>
                <w:szCs w:val="13"/>
                <w:color w:val="auto"/>
              </w:rPr>
            </w:pPr>
          </w:p>
        </w:tc>
        <w:tc>
          <w:tcPr>
            <w:tcW w:w="36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2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5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8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2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jc w:val="both"/>
        <w:ind w:left="60" w:right="21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60"/>
        <w:spacing w:after="0" w:line="150" w:lineRule="exact"/>
        <w:tabs>
          <w:tab w:leader="none" w:pos="5880" w:val="left"/>
          <w:tab w:leader="none" w:pos="63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4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19"/>
        </w:trPr>
        <w:tc>
          <w:tcPr>
            <w:tcW w:w="9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2040" w:type="dxa"/>
            <w:vAlign w:val="bottom"/>
          </w:tcPr>
          <w:p>
            <w:pPr>
              <w:spacing w:after="0"/>
              <w:rPr>
                <w:sz w:val="19"/>
                <w:szCs w:val="19"/>
                <w:color w:val="auto"/>
              </w:rPr>
            </w:pPr>
          </w:p>
        </w:tc>
        <w:tc>
          <w:tcPr>
            <w:tcW w:w="2340" w:type="dxa"/>
            <w:vAlign w:val="bottom"/>
            <w:gridSpan w:val="2"/>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r>
      <w:tr>
        <w:trPr>
          <w:trHeight w:val="20"/>
        </w:trPr>
        <w:tc>
          <w:tcPr>
            <w:tcW w:w="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60"/>
        </w:trPr>
        <w:tc>
          <w:tcPr>
            <w:tcW w:w="4020" w:type="dxa"/>
            <w:vAlign w:val="bottom"/>
            <w:gridSpan w:val="3"/>
          </w:tcPr>
          <w:p>
            <w:pPr>
              <w:jc w:val="center"/>
              <w:ind w:right="1060"/>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2340" w:type="dxa"/>
            <w:vAlign w:val="bottom"/>
            <w:gridSpan w:val="2"/>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w w:val="98"/>
              </w:rPr>
              <w:t>ZBIO</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Nasdaq Global Select Market</w:t>
            </w:r>
          </w:p>
        </w:tc>
      </w:tr>
    </w:tbl>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As of October 31, 2025, there were 53,679,166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593725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62230</wp:posOffset>
            </wp:positionV>
            <wp:extent cx="5657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105410</wp:posOffset>
            </wp:positionV>
            <wp:extent cx="565785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34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2025 and December 31, 2024</w:t>
            </w:r>
          </w:p>
        </w:tc>
        <w:tc>
          <w:tcPr>
            <w:tcW w:w="740" w:type="dxa"/>
            <w:vAlign w:val="bottom"/>
            <w:gridSpan w:val="4"/>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nine</w:t>
            </w:r>
          </w:p>
        </w:tc>
        <w:tc>
          <w:tcPr>
            <w:tcW w:w="3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2025 and 2024</w:t>
            </w:r>
          </w:p>
        </w:tc>
        <w:tc>
          <w:tcPr>
            <w:tcW w:w="220" w:type="dxa"/>
            <w:vAlign w:val="bottom"/>
            <w:gridSpan w:val="2"/>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(Deficit) for the three and nine</w:t>
            </w:r>
          </w:p>
        </w:tc>
        <w:tc>
          <w:tcPr>
            <w:tcW w:w="68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2025 and 2024</w:t>
            </w:r>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w:t>
            </w:r>
          </w:p>
        </w:tc>
        <w:tc>
          <w:tcPr>
            <w:tcW w:w="3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200" w:type="dxa"/>
            <w:vAlign w:val="bottom"/>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20" w:type="dxa"/>
            <w:vAlign w:val="bottom"/>
            <w:gridSpan w:val="8"/>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II</w:t>
            </w:r>
          </w:p>
        </w:tc>
        <w:tc>
          <w:tcPr>
            <w:tcW w:w="700" w:type="dxa"/>
            <w:vAlign w:val="bottom"/>
            <w:gridSpan w:val="4"/>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40" w:type="dxa"/>
            <w:vAlign w:val="bottom"/>
          </w:tcPr>
          <w:p>
            <w:pPr>
              <w:spacing w:after="0"/>
              <w:rPr>
                <w:sz w:val="24"/>
                <w:szCs w:val="24"/>
                <w:color w:val="auto"/>
              </w:rPr>
            </w:pP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700" w:type="dxa"/>
            <w:vAlign w:val="bottom"/>
            <w:gridSpan w:val="4"/>
          </w:tcPr>
          <w:p>
            <w:pPr>
              <w:spacing w:after="0"/>
              <w:rPr>
                <w:sz w:val="24"/>
                <w:szCs w:val="24"/>
                <w:color w:val="auto"/>
              </w:rPr>
            </w:pPr>
          </w:p>
        </w:tc>
        <w:tc>
          <w:tcPr>
            <w:tcW w:w="14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80" w:type="dxa"/>
            <w:vAlign w:val="bottom"/>
            <w:gridSpan w:val="14"/>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580" w:type="dxa"/>
            <w:vAlign w:val="bottom"/>
            <w:gridSpan w:val="3"/>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580" w:type="dxa"/>
            <w:vAlign w:val="bottom"/>
            <w:gridSpan w:val="3"/>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56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0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4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87"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opportunities stemming from the development of our product candidates for multiple immunology and inflammation (“I&amp;I”) diseases;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if approved, ultimately commercialize our product candidates and, with partners, our other programs;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orphan drug designation for certain of our product candidates;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clinical development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differentiation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that have broad therapeutic potential;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business development strategy and expertise to build a balanced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collaborations and strategic partnerships to maximize the value of our portfolio;</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our operational and commercial capabilities for supplying and marketing our products, if approved, in key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drug substance and drug product for use in our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healthcare reforms, including those affecting the delivery of or payment for healthcare products and services;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federal, state and foreign regulatory requirements;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governmental legislation and regulation, as well as adverse effects from the U.S. government shutdown;</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and our needs for or ability to obtain additional financing;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cash and the sufficiency of our existing cash and proceeds from future capital-raising efforts, if any, to fund our future operating expenses and capital expenditure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and smaller reporting company under the Jumpstart Our Business Startups Act of 2012, as amended (the “JOBS Act”);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tariffs and other trade measures, or pandemic or epidemic disease outbreaks, many of which are beyond our control;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included in the section titled “Risk Factors.”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Quarterly Report may prove incorrect. These forward-looking statements speak only as of the date of this Quarterly Report and are subject to a number of known and unknown risks, uncertainties and assumptions, including those described under the sections titled “Risk Factors” and “Management’s Discussion and Analysis of Financial Condition and Results of Operations” and elsewhere in this Quarterly Report.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of which investors should be aware before making an investment decision. These risks are discussed more fully in Part II, Item 1A. “Risk Factors” in this Quarterly Report. These risks include the following:</w:t>
      </w:r>
    </w:p>
    <w:p>
      <w:pPr>
        <w:spacing w:after="0" w:line="216"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imposing restrictions on our operations or require us to relinquish rights to our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and dosing of patients in clinical trials, delay or prevent receipt of necessary regulatory approvals;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of our current or future collaborations or licensing arrangements and may be unsuccessful in consummating future partnerships;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our organization, and we may experience difficulties in managing our growth and expanding our operations, which could adversely affect our business;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to obtain marketing approval, or to provide commercial supply of our products, if approved, could be delayed or halted;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large part, to the terms and conditions of licenses granted to us by others, such as Xencor, Inc. (“Xencor”) and InnoCare Pharma Inc. (“InnoCare”).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our suppliers, many of which are located outside of the U.S., including our current sole contract manufacturing organization (“CMO”) for obexelimab drug substance and drug product, WuXi Biologics (Hong Kong) Limited (“WuXi Biologics”) and our collaboration partner, InnoCare, which are both located in China, are subject to additional risks that are beyond our control and that could harm our business, financial condition, results of operations and prospects;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not be sustained;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which could result in substantial losses for investors.</w:t>
      </w:r>
    </w:p>
    <w:p>
      <w:pPr>
        <w:spacing w:after="0" w:line="200" w:lineRule="exact"/>
        <w:rPr>
          <w:sz w:val="20"/>
          <w:szCs w:val="20"/>
          <w:color w:val="auto"/>
        </w:rPr>
      </w:pPr>
    </w:p>
    <w:p>
      <w:pPr>
        <w:spacing w:after="0" w:line="22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results of operations, financial condition and prospects may be harmed.</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Zenas BioPharma word mark, logo mark, and the “lightning bolt” design are trademarks of Zenas BioPharma, Inc. or its affiliated companies.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in certain cases, omitted the ® and ™ designations for these trademarks used in this Quarterly Report. Nevertheless, all rights to such trademarks are owned by Zenas BioPharma, Inc. Other trademarks referenced in this Quarterly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319,742</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175,319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31,024</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w:t>
            </w:r>
          </w:p>
        </w:tc>
      </w:tr>
      <w:tr>
        <w:trPr>
          <w:trHeight w:val="196"/>
        </w:trPr>
        <w:tc>
          <w:tcPr>
            <w:tcW w:w="6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296,642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355,923</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12,856</w:t>
            </w:r>
          </w:p>
        </w:tc>
      </w:tr>
      <w:tr>
        <w:trPr>
          <w:trHeight w:val="23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322,018</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r>
      <w:tr>
        <w:trPr>
          <w:trHeight w:val="183"/>
        </w:trPr>
        <w:tc>
          <w:tcPr>
            <w:tcW w:w="6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39,371</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57,292</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Royalty obligation</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19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19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57,510</w:t>
            </w:r>
          </w:p>
        </w:tc>
      </w:tr>
      <w:tr>
        <w:trPr>
          <w:trHeight w:val="19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9"/>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par value $0.0001 per share; 25,000,000 shares authorized and no shares issued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outstanding as of September 30, 2025 and December 31, 2024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par value $0.0001 per share; 175,000,000 shares authorized; 42,213,465 and</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41,793,412 shares issued and outstanding as of September 30, 2025 and December 31, 2024,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721,179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699,651</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7"/>
                <w:szCs w:val="17"/>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(524,686)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(387,391)</w:t>
            </w:r>
          </w:p>
        </w:tc>
      </w:tr>
      <w:tr>
        <w:trPr>
          <w:trHeight w:val="196"/>
        </w:trPr>
        <w:tc>
          <w:tcPr>
            <w:tcW w:w="6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196,428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312,458</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322,018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r>
      <w:tr>
        <w:trPr>
          <w:trHeight w:val="20"/>
        </w:trPr>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155,073</w:t>
            </w: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108,265</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(145,073)</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(108,265)</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(104,384)</w:t>
            </w:r>
          </w:p>
        </w:tc>
        <w:tc>
          <w:tcPr>
            <w:tcW w:w="0" w:type="dxa"/>
            <w:vAlign w:val="bottom"/>
          </w:tcPr>
          <w:p>
            <w:pPr>
              <w:spacing w:after="0"/>
              <w:rPr>
                <w:sz w:val="1"/>
                <w:szCs w:val="1"/>
                <w:color w:val="auto"/>
              </w:rPr>
            </w:pPr>
          </w:p>
        </w:tc>
      </w:tr>
      <w:tr>
        <w:trPr>
          <w:trHeight w:val="151"/>
        </w:trPr>
        <w:tc>
          <w:tcPr>
            <w:tcW w:w="49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common stockholders - basic and</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0" w:type="dxa"/>
            <w:vAlign w:val="bottom"/>
          </w:tcPr>
          <w:p>
            <w:pPr>
              <w:spacing w:after="0"/>
              <w:rPr>
                <w:sz w:val="1"/>
                <w:szCs w:val="1"/>
                <w:color w:val="auto"/>
              </w:rPr>
            </w:pPr>
          </w:p>
        </w:tc>
      </w:tr>
      <w:tr>
        <w:trPr>
          <w:trHeight w:val="22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42,159,340</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7,697,695</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41,943,160</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3,621,276</w:t>
            </w:r>
          </w:p>
        </w:tc>
        <w:tc>
          <w:tcPr>
            <w:tcW w:w="0" w:type="dxa"/>
            <w:vAlign w:val="bottom"/>
          </w:tcPr>
          <w:p>
            <w:pPr>
              <w:spacing w:after="0"/>
              <w:rPr>
                <w:sz w:val="1"/>
                <w:szCs w:val="1"/>
                <w:color w:val="auto"/>
              </w:rPr>
            </w:pPr>
          </w:p>
        </w:tc>
      </w:tr>
      <w:tr>
        <w:trPr>
          <w:trHeight w:val="197"/>
        </w:trPr>
        <w:tc>
          <w:tcPr>
            <w:tcW w:w="4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(51,499)$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(38,606)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84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41,793,412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699,651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(387,391)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312,458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common stock options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41,821,887</w:t>
            </w:r>
          </w:p>
        </w:tc>
        <w:tc>
          <w:tcPr>
            <w:tcW w:w="320" w:type="dxa"/>
            <w:vAlign w:val="bottom"/>
            <w:tcBorders>
              <w:top w:val="single" w:sz="8" w:color="CCEEFF"/>
              <w:bottom w:val="single" w:sz="8" w:color="CCEEFF"/>
            </w:tcBorders>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top w:val="single" w:sz="8" w:color="CCEEFF"/>
              <w:bottom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705,136</w:t>
            </w:r>
          </w:p>
        </w:tc>
        <w:tc>
          <w:tcPr>
            <w:tcW w:w="2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20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(420,964)</w:t>
            </w:r>
          </w:p>
        </w:tc>
        <w:tc>
          <w:tcPr>
            <w:tcW w:w="300" w:type="dxa"/>
            <w:vAlign w:val="bottom"/>
            <w:tcBorders>
              <w:top w:val="single" w:sz="8" w:color="CCEEFF"/>
              <w:bottom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284,317</w:t>
            </w: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Exercises of common stock options</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gridSpan w:val="2"/>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266,810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1,722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1,722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42,088,697</w:t>
            </w:r>
          </w:p>
        </w:tc>
        <w:tc>
          <w:tcPr>
            <w:tcW w:w="320" w:type="dxa"/>
            <w:vAlign w:val="bottom"/>
            <w:tcBorders>
              <w:top w:val="single" w:sz="8" w:color="CCEEFF"/>
              <w:bottom w:val="single" w:sz="8" w:color="CCEEFF"/>
            </w:tcBorders>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top w:val="single" w:sz="8" w:color="CCEEFF"/>
              <w:bottom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712,903</w:t>
            </w:r>
          </w:p>
        </w:tc>
        <w:tc>
          <w:tcPr>
            <w:tcW w:w="2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(473,187)</w:t>
            </w:r>
          </w:p>
        </w:tc>
        <w:tc>
          <w:tcPr>
            <w:tcW w:w="300" w:type="dxa"/>
            <w:vAlign w:val="bottom"/>
            <w:tcBorders>
              <w:top w:val="single" w:sz="8" w:color="CCEEFF"/>
              <w:bottom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239,626</w:t>
            </w: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Exercises of common stock options</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gridSpan w:val="2"/>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82,000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Purchases of common stock under the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42,768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71"/>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(51,499)</w:t>
            </w:r>
          </w:p>
        </w:tc>
        <w:tc>
          <w:tcPr>
            <w:tcW w:w="0" w:type="dxa"/>
            <w:vAlign w:val="bottom"/>
          </w:tcPr>
          <w:p>
            <w:pPr>
              <w:spacing w:after="0"/>
              <w:rPr>
                <w:sz w:val="1"/>
                <w:szCs w:val="1"/>
                <w:color w:val="auto"/>
              </w:rPr>
            </w:pPr>
          </w:p>
        </w:tc>
      </w:tr>
      <w:tr>
        <w:trPr>
          <w:trHeight w:val="142"/>
        </w:trPr>
        <w:tc>
          <w:tcPr>
            <w:tcW w:w="2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42,213,465</w:t>
            </w:r>
          </w:p>
        </w:tc>
        <w:tc>
          <w:tcPr>
            <w:tcW w:w="320" w:type="dxa"/>
            <w:vAlign w:val="bottom"/>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721,179</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(524,686)</w:t>
            </w:r>
          </w:p>
        </w:tc>
        <w:tc>
          <w:tcPr>
            <w:tcW w:w="3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9"/>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w w:val="96"/>
              </w:rPr>
              <w:t>Convertible Preferred Stock</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w w:val="96"/>
              </w:rPr>
              <w:t>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Borders>
              <w:bottom w:val="single" w:sz="8" w:color="auto"/>
            </w:tcBorders>
            <w:gridSpan w:val="4"/>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Seed Series</w:t>
            </w:r>
          </w:p>
        </w:tc>
        <w:tc>
          <w:tcPr>
            <w:tcW w:w="60" w:type="dxa"/>
            <w:vAlign w:val="bottom"/>
          </w:tcPr>
          <w:p>
            <w:pPr>
              <w:spacing w:after="0"/>
              <w:rPr>
                <w:sz w:val="11"/>
                <w:szCs w:val="11"/>
                <w:color w:val="auto"/>
              </w:rPr>
            </w:pPr>
          </w:p>
        </w:tc>
        <w:tc>
          <w:tcPr>
            <w:tcW w:w="1140" w:type="dxa"/>
            <w:vAlign w:val="bottom"/>
            <w:tcBorders>
              <w:bottom w:val="single" w:sz="8" w:color="auto"/>
            </w:tcBorders>
            <w:gridSpan w:val="4"/>
          </w:tcPr>
          <w:p>
            <w:pPr>
              <w:jc w:val="right"/>
              <w:ind w:right="302"/>
              <w:spacing w:after="0" w:line="129" w:lineRule="exact"/>
              <w:rPr>
                <w:sz w:val="20"/>
                <w:szCs w:val="20"/>
                <w:color w:val="auto"/>
              </w:rPr>
            </w:pPr>
            <w:r>
              <w:rPr>
                <w:rFonts w:ascii="Times New Roman" w:cs="Times New Roman" w:eastAsia="Times New Roman" w:hAnsi="Times New Roman"/>
                <w:sz w:val="12"/>
                <w:szCs w:val="12"/>
                <w:b w:val="1"/>
                <w:bCs w:val="1"/>
                <w:color w:val="auto"/>
              </w:rPr>
              <w:t>Series A</w:t>
            </w:r>
          </w:p>
        </w:tc>
        <w:tc>
          <w:tcPr>
            <w:tcW w:w="80" w:type="dxa"/>
            <w:vAlign w:val="bottom"/>
          </w:tcPr>
          <w:p>
            <w:pPr>
              <w:spacing w:after="0"/>
              <w:rPr>
                <w:sz w:val="11"/>
                <w:szCs w:val="11"/>
                <w:color w:val="auto"/>
              </w:rPr>
            </w:pPr>
          </w:p>
        </w:tc>
        <w:tc>
          <w:tcPr>
            <w:tcW w:w="1200" w:type="dxa"/>
            <w:vAlign w:val="bottom"/>
            <w:tcBorders>
              <w:bottom w:val="single" w:sz="8" w:color="auto"/>
            </w:tcBorders>
            <w:gridSpan w:val="5"/>
          </w:tcPr>
          <w:p>
            <w:pPr>
              <w:jc w:val="right"/>
              <w:ind w:right="342"/>
              <w:spacing w:after="0" w:line="129" w:lineRule="exact"/>
              <w:rPr>
                <w:sz w:val="20"/>
                <w:szCs w:val="20"/>
                <w:color w:val="auto"/>
              </w:rPr>
            </w:pPr>
            <w:r>
              <w:rPr>
                <w:rFonts w:ascii="Times New Roman" w:cs="Times New Roman" w:eastAsia="Times New Roman" w:hAnsi="Times New Roman"/>
                <w:sz w:val="12"/>
                <w:szCs w:val="12"/>
                <w:b w:val="1"/>
                <w:bCs w:val="1"/>
                <w:color w:val="auto"/>
              </w:rPr>
              <w:t>Series B</w:t>
            </w:r>
          </w:p>
        </w:tc>
        <w:tc>
          <w:tcPr>
            <w:tcW w:w="60" w:type="dxa"/>
            <w:vAlign w:val="bottom"/>
          </w:tcPr>
          <w:p>
            <w:pPr>
              <w:spacing w:after="0"/>
              <w:rPr>
                <w:sz w:val="11"/>
                <w:szCs w:val="11"/>
                <w:color w:val="auto"/>
              </w:rPr>
            </w:pPr>
          </w:p>
        </w:tc>
        <w:tc>
          <w:tcPr>
            <w:tcW w:w="1280" w:type="dxa"/>
            <w:vAlign w:val="bottom"/>
            <w:tcBorders>
              <w:bottom w:val="single" w:sz="8" w:color="auto"/>
              <w:right w:val="single" w:sz="8" w:color="auto"/>
            </w:tcBorders>
            <w:gridSpan w:val="5"/>
          </w:tcPr>
          <w:p>
            <w:pPr>
              <w:jc w:val="right"/>
              <w:ind w:right="382"/>
              <w:spacing w:after="0" w:line="129" w:lineRule="exact"/>
              <w:rPr>
                <w:sz w:val="20"/>
                <w:szCs w:val="20"/>
                <w:color w:val="auto"/>
              </w:rPr>
            </w:pPr>
            <w:r>
              <w:rPr>
                <w:rFonts w:ascii="Times New Roman" w:cs="Times New Roman" w:eastAsia="Times New Roman" w:hAnsi="Times New Roman"/>
                <w:sz w:val="12"/>
                <w:szCs w:val="12"/>
                <w:b w:val="1"/>
                <w:bCs w:val="1"/>
                <w:color w:val="auto"/>
              </w:rPr>
              <w:t>Series C</w:t>
            </w:r>
          </w:p>
        </w:tc>
        <w:tc>
          <w:tcPr>
            <w:tcW w:w="160" w:type="dxa"/>
            <w:vAlign w:val="bottom"/>
          </w:tcPr>
          <w:p>
            <w:pPr>
              <w:spacing w:after="0"/>
              <w:rPr>
                <w:sz w:val="11"/>
                <w:szCs w:val="11"/>
                <w:color w:val="auto"/>
              </w:rPr>
            </w:pPr>
          </w:p>
        </w:tc>
        <w:tc>
          <w:tcPr>
            <w:tcW w:w="980" w:type="dxa"/>
            <w:vAlign w:val="bottom"/>
            <w:tcBorders>
              <w:bottom w:val="single" w:sz="8" w:color="auto"/>
            </w:tcBorders>
            <w:gridSpan w:val="4"/>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560" w:type="dxa"/>
            <w:vAlign w:val="bottom"/>
            <w:gridSpan w:val="6"/>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 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60" w:type="dxa"/>
            <w:vAlign w:val="bottom"/>
          </w:tcPr>
          <w:p>
            <w:pPr>
              <w:spacing w:after="0"/>
              <w:rPr>
                <w:sz w:val="12"/>
                <w:szCs w:val="12"/>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2"/>
                <w:szCs w:val="12"/>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60" w:type="dxa"/>
            <w:vAlign w:val="bottom"/>
          </w:tcPr>
          <w:p>
            <w:pPr>
              <w:spacing w:after="0"/>
              <w:rPr>
                <w:sz w:val="12"/>
                <w:szCs w:val="12"/>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6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4"/>
              </w:rPr>
              <w:t>Income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(Deficit)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w w:val="94"/>
              </w:rPr>
              <w:t>Balance as of</w:t>
            </w: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right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December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1,785,714</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17,589,380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55,840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81,242,587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193,290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1,576,854</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(230,403)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(225,721)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Repurchase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of unvested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restricted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awards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(21,172)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Exercises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common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Stock-based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w w:val="98"/>
              </w:rPr>
              <w:t>compensation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Foreign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currency</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translation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(27,800)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(27,800)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w w:val="94"/>
              </w:rPr>
              <w:t>Balance as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1,785,714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956</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17,589,380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55,840</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81,242,587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193,290</w:t>
            </w:r>
          </w:p>
        </w:tc>
        <w:tc>
          <w:tcPr>
            <w:tcW w:w="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1,562,717</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vMerge w:val="continue"/>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240" w:type="dxa"/>
            <w:vAlign w:val="bottom"/>
            <w:gridSpan w:val="2"/>
            <w:shd w:val="clear" w:color="auto" w:fill="CCEEFF"/>
          </w:tcPr>
          <w:p>
            <w:pPr>
              <w:ind w:left="1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vMerge w:val="continue"/>
            <w:shd w:val="clear" w:color="auto" w:fill="CCEEFF"/>
          </w:tcPr>
          <w:p>
            <w:pPr>
              <w:spacing w:after="0"/>
              <w:rPr>
                <w:sz w:val="11"/>
                <w:szCs w:val="11"/>
                <w:color w:val="auto"/>
              </w:rPr>
            </w:pP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shd w:val="clear" w:color="auto" w:fill="CCEEFF"/>
          </w:tcPr>
          <w:p>
            <w:pPr>
              <w:spacing w:after="0"/>
              <w:rPr>
                <w:sz w:val="11"/>
                <w:szCs w:val="11"/>
                <w:color w:val="auto"/>
              </w:rPr>
            </w:pPr>
          </w:p>
        </w:tc>
        <w:tc>
          <w:tcPr>
            <w:tcW w:w="18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spacing w:after="0" w:line="121" w:lineRule="exact"/>
              <w:rPr>
                <w:sz w:val="20"/>
                <w:szCs w:val="20"/>
                <w:color w:val="auto"/>
              </w:rPr>
            </w:pPr>
            <w:r>
              <w:rPr>
                <w:rFonts w:ascii="Times New Roman" w:cs="Times New Roman" w:eastAsia="Times New Roman" w:hAnsi="Times New Roman"/>
                <w:sz w:val="12"/>
                <w:szCs w:val="12"/>
                <w:color w:val="auto"/>
              </w:rPr>
              <w:t>Issuance of</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Series C</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convertible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preferred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stock, net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w w:val="97"/>
              </w:rPr>
              <w:t>$619 issuance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116,275,239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199,526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Exercises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common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15,655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Stock-based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w w:val="98"/>
              </w:rPr>
              <w:t>compensation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Foreign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currency</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translation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(37,977)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(37,977)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w w:val="94"/>
              </w:rPr>
              <w:t>Balance as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1,785,714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956</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17,589,380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55,840</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81,242,587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193,290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116,275,239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right w:val="single" w:sz="8" w:color="auto"/>
            </w:tcBorders>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199,526</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1,578,372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(296,180)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(288,782)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vMerge w:val="continue"/>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right w:val="single" w:sz="8" w:color="auto"/>
            </w:tcBorders>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240" w:type="dxa"/>
            <w:vAlign w:val="bottom"/>
            <w:gridSpan w:val="2"/>
            <w:shd w:val="clear" w:color="auto" w:fill="CCEEFF"/>
          </w:tcPr>
          <w:p>
            <w:pPr>
              <w:ind w:left="1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vMerge w:val="continue"/>
            <w:shd w:val="clear" w:color="auto" w:fill="CCEEFF"/>
          </w:tcPr>
          <w:p>
            <w:pPr>
              <w:spacing w:after="0"/>
              <w:rPr>
                <w:sz w:val="11"/>
                <w:szCs w:val="11"/>
                <w:color w:val="auto"/>
              </w:rPr>
            </w:pP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shd w:val="clear" w:color="auto" w:fill="CCEEFF"/>
          </w:tcPr>
          <w:p>
            <w:pPr>
              <w:spacing w:after="0"/>
              <w:rPr>
                <w:sz w:val="11"/>
                <w:szCs w:val="11"/>
                <w:color w:val="auto"/>
              </w:rPr>
            </w:pPr>
          </w:p>
        </w:tc>
        <w:tc>
          <w:tcPr>
            <w:tcW w:w="18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spacing w:after="0" w:line="121" w:lineRule="exact"/>
              <w:rPr>
                <w:sz w:val="20"/>
                <w:szCs w:val="20"/>
                <w:color w:val="auto"/>
              </w:rPr>
            </w:pPr>
            <w:r>
              <w:rPr>
                <w:rFonts w:ascii="Times New Roman" w:cs="Times New Roman" w:eastAsia="Times New Roman" w:hAnsi="Times New Roman"/>
                <w:sz w:val="12"/>
                <w:szCs w:val="12"/>
                <w:color w:val="auto"/>
              </w:rPr>
              <w:t>Conversion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w w:val="98"/>
              </w:rPr>
              <w:t>of convertible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preferred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stock upon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closing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initial public</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offering</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(1,785,714)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(17,589,380)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(55,840)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(81,242,587)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(193,290)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(116,275,239)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97"/>
              </w:rPr>
              <w:t>(199,526)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24,978,715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449,610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449,612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Issuance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common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stock from</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initial public</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offer, net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underwriting</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discounts,</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commissions</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and other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4"/>
              </w:rPr>
              <w:t>issuance costs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15,220,588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234,386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Exercises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common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3,263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Stock-based</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5"/>
              </w:rPr>
              <w:t>compensation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Foreign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currency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translation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(38,606)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(38,606)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line="105" w:lineRule="exact"/>
              <w:rPr>
                <w:sz w:val="20"/>
                <w:szCs w:val="20"/>
                <w:color w:val="auto"/>
              </w:rPr>
            </w:pPr>
            <w:r>
              <w:rPr>
                <w:rFonts w:ascii="Times New Roman" w:cs="Times New Roman" w:eastAsia="Times New Roman" w:hAnsi="Times New Roman"/>
                <w:sz w:val="12"/>
                <w:szCs w:val="12"/>
                <w:b w:val="1"/>
                <w:bCs w:val="1"/>
                <w:color w:val="auto"/>
                <w:w w:val="94"/>
              </w:rPr>
              <w:t>Balance as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September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right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41,780,938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694,163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(334,786)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359,435</w:t>
            </w:r>
          </w:p>
        </w:tc>
        <w:tc>
          <w:tcPr>
            <w:tcW w:w="0" w:type="dxa"/>
            <w:vAlign w:val="bottom"/>
          </w:tcPr>
          <w:p>
            <w:pPr>
              <w:spacing w:after="0"/>
              <w:rPr>
                <w:sz w:val="1"/>
                <w:szCs w:val="1"/>
                <w:color w:val="auto"/>
              </w:rPr>
            </w:pPr>
          </w:p>
        </w:tc>
      </w:tr>
      <w:tr>
        <w:trPr>
          <w:trHeight w:val="132"/>
        </w:trPr>
        <w:tc>
          <w:tcPr>
            <w:tcW w:w="6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30, 2024</w:t>
            </w:r>
          </w:p>
        </w:tc>
        <w:tc>
          <w:tcPr>
            <w:tcW w:w="540" w:type="dxa"/>
            <w:vAlign w:val="bottom"/>
            <w:vMerge w:val="continue"/>
          </w:tcPr>
          <w:p>
            <w:pPr>
              <w:spacing w:after="0"/>
              <w:rPr>
                <w:sz w:val="11"/>
                <w:szCs w:val="11"/>
                <w:color w:val="auto"/>
              </w:rPr>
            </w:pPr>
          </w:p>
        </w:tc>
        <w:tc>
          <w:tcPr>
            <w:tcW w:w="1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40" w:type="dxa"/>
            <w:vAlign w:val="bottom"/>
            <w:gridSpan w:val="2"/>
          </w:tcPr>
          <w:p>
            <w:pPr>
              <w:ind w:left="1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vMerge w:val="continue"/>
          </w:tcPr>
          <w:p>
            <w:pPr>
              <w:spacing w:after="0"/>
              <w:rPr>
                <w:sz w:val="11"/>
                <w:szCs w:val="11"/>
                <w:color w:val="auto"/>
              </w:rPr>
            </w:pPr>
          </w:p>
        </w:tc>
        <w:tc>
          <w:tcPr>
            <w:tcW w:w="18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tcPr>
          <w:p>
            <w:pPr>
              <w:spacing w:after="0"/>
              <w:rPr>
                <w:sz w:val="11"/>
                <w:szCs w:val="11"/>
                <w:color w:val="auto"/>
              </w:rPr>
            </w:pPr>
          </w:p>
        </w:tc>
        <w:tc>
          <w:tcPr>
            <w:tcW w:w="18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tcPr>
          <w:p>
            <w:pPr>
              <w:spacing w:after="0"/>
              <w:rPr>
                <w:sz w:val="11"/>
                <w:szCs w:val="11"/>
                <w:color w:val="auto"/>
              </w:rPr>
            </w:pPr>
          </w:p>
        </w:tc>
        <w:tc>
          <w:tcPr>
            <w:tcW w:w="1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780"/>
          </w:cols>
          <w:pgMar w:left="1220" w:top="513" w:right="899" w:bottom="1440" w:gutter="0" w:footer="0" w:header="0"/>
        </w:sectPr>
      </w:pPr>
    </w:p>
    <w:p>
      <w:pPr>
        <w:spacing w:after="0" w:line="1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780"/>
          </w:cols>
          <w:pgMar w:left="1220" w:top="513" w:right="89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(137,295)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(104,384)</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expense</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amortization of premiums and accretion of discounts on investments</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(1,510)</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interest expense on royalty obligation</w:t>
            </w: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4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0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(11,159)</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6,319</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w:t>
            </w:r>
          </w:p>
        </w:tc>
        <w:tc>
          <w:tcPr>
            <w:tcW w:w="0" w:type="dxa"/>
            <w:vAlign w:val="bottom"/>
          </w:tcPr>
          <w:p>
            <w:pPr>
              <w:spacing w:after="0"/>
              <w:rPr>
                <w:sz w:val="1"/>
                <w:szCs w:val="1"/>
                <w:color w:val="auto"/>
              </w:rPr>
            </w:pPr>
          </w:p>
        </w:tc>
      </w:tr>
      <w:tr>
        <w:trPr>
          <w:trHeight w:val="20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(657)</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4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(284,862)</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(26,760)</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investments</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candidate license acquisitions</w:t>
            </w:r>
          </w:p>
        </w:tc>
        <w:tc>
          <w:tcPr>
            <w:tcW w:w="4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(158,522)</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(26,817)</w:t>
            </w:r>
          </w:p>
        </w:tc>
        <w:tc>
          <w:tcPr>
            <w:tcW w:w="0" w:type="dxa"/>
            <w:vAlign w:val="bottom"/>
          </w:tcPr>
          <w:p>
            <w:pPr>
              <w:spacing w:after="0"/>
              <w:rPr>
                <w:sz w:val="1"/>
                <w:szCs w:val="1"/>
                <w:color w:val="auto"/>
              </w:rPr>
            </w:pPr>
          </w:p>
        </w:tc>
      </w:tr>
      <w:tr>
        <w:trPr>
          <w:trHeight w:val="19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Series C convertible preferred stock, net of issuance costs</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178,381</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4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(3,324)</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royalty obligation</w:t>
            </w: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 and commissions</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234,387</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411,105</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303,184</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56,943</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115,565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360,127</w:t>
            </w:r>
          </w:p>
        </w:tc>
        <w:tc>
          <w:tcPr>
            <w:tcW w:w="0" w:type="dxa"/>
            <w:vAlign w:val="bottom"/>
          </w:tcPr>
          <w:p>
            <w:pPr>
              <w:spacing w:after="0"/>
              <w:rPr>
                <w:sz w:val="1"/>
                <w:szCs w:val="1"/>
                <w:color w:val="auto"/>
              </w:rPr>
            </w:pPr>
          </w:p>
        </w:tc>
      </w:tr>
      <w:tr>
        <w:trPr>
          <w:trHeight w:val="183"/>
        </w:trPr>
        <w:tc>
          <w:tcPr>
            <w:tcW w:w="5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under operating lease arrangements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Conversion of BMS Note into Series C convertible preferred stock</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tcBorders>
              <w:bottom w:val="single" w:sz="8" w:color="CCEEFF"/>
            </w:tcBorders>
            <w:vMerge w:val="continue"/>
          </w:tcPr>
          <w:p>
            <w:pPr>
              <w:spacing w:after="0"/>
              <w:rPr>
                <w:sz w:val="19"/>
                <w:szCs w:val="19"/>
                <w:color w:val="auto"/>
              </w:rPr>
            </w:pPr>
          </w:p>
        </w:tc>
        <w:tc>
          <w:tcPr>
            <w:tcW w:w="42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CCEEFF"/>
            </w:tcBorders>
            <w:vMerge w:val="continue"/>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21,146</w:t>
            </w:r>
          </w:p>
        </w:tc>
        <w:tc>
          <w:tcPr>
            <w:tcW w:w="0" w:type="dxa"/>
            <w:vAlign w:val="bottom"/>
          </w:tcPr>
          <w:p>
            <w:pPr>
              <w:spacing w:after="0"/>
              <w:rPr>
                <w:sz w:val="1"/>
                <w:szCs w:val="1"/>
                <w:color w:val="auto"/>
              </w:rPr>
            </w:pPr>
          </w:p>
        </w:tc>
      </w:tr>
      <w:tr>
        <w:trPr>
          <w:trHeight w:val="18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offering costs in accounts payable and accrued expenses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115,565</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360,038</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115,565</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360,127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goal is to build an immunology and inflammation (“I&amp;I”) focused biopharmaceutical company.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its wholly owned subsidiaries which include Zenas BioPharma (HK) Limited (“Zenas HK”), Zenas BioPharma (USA) LLC, Shanghai Zenas Biotechnology Co. Limited, Zenas BioPharma Securities Corp., and Zenas BioPharma GmbH.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Since its inception, the Company has devoted its efforts principally to research and development and raising capital. The Company is subject to risks and uncertainties common to clinical 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and collaboration agreement with Bristol-Myers Squibb Company (“BMS”), novation agreement with Tenacia Biotechnology (Hong Kong) Co., Limited (“Tenacia”), license agreement with Zai Lab (Hong Kong) Limited (“Zai”), and a royalty purchase agreement with Royalty Pharma Investments (“Royalty Pharma”) (please see </w:t>
      </w:r>
      <w:r>
        <w:rPr>
          <w:rFonts w:ascii="Times New Roman" w:cs="Times New Roman" w:eastAsia="Times New Roman" w:hAnsi="Times New Roman"/>
          <w:sz w:val="18"/>
          <w:szCs w:val="18"/>
          <w:i w:val="1"/>
          <w:iCs w:val="1"/>
          <w:color w:val="auto"/>
        </w:rPr>
        <w:t>Note 7, License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Revenue and Note 9, Royalty Obligation</w:t>
      </w:r>
      <w:r>
        <w:rPr>
          <w:rFonts w:ascii="Times New Roman" w:cs="Times New Roman" w:eastAsia="Times New Roman" w:hAnsi="Times New Roman"/>
          <w:sz w:val="18"/>
          <w:szCs w:val="18"/>
          <w:color w:val="auto"/>
        </w:rPr>
        <w:t>, to these condensed consolidated financial statements).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completed its initial public offering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$234.3 million in net proceeds after deducting underwriting discounts, commissions and other offering expenses. In connection with the IPO, all outstanding shares of convertible preferred stock converted into 24,978,715 shares of the Company’s common stock.</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and prior to, the Company’s IPO, the Company effected a 1-for-8.6831 reverse stock split of the Company’s issued and outstanding common stock and adjusted the conversion ratio of all the Company’s outstanding convertible preferred stock. Accordingly, all share and per share amounts for all periods presented in the accompanying condensed consolidated financial statements and notes thereto have been retroactively adjusted, where applicable, to reflect the reverse stock split and the adjustment of the preferred stock conversion ratios.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since its inception, including net losses of $51.5 million and $38.6 million for the three months ended September 30, 2025 and 2024, respectively, and $137.3 million and</w:t>
      </w:r>
    </w:p>
    <w:p>
      <w:pPr>
        <w:sectPr>
          <w:pgSz w:w="11900" w:h="16838" w:orient="portrait"/>
          <w:cols w:equalWidth="0" w:num="1">
            <w:col w:w="9019"/>
          </w:cols>
          <w:pgMar w:left="1440" w:top="1265"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2" w:name="page13"/>
    <w:bookmarkEnd w:id="12"/>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$104.4 million for the nine months ended September 30, 2025 and 2024, respectively. As of September 30, 2025, the Company had an accumulated deficit of $524.7 million. Management expects operating losses and negative operating cash flows to continue for the foreseeable future.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investments of $301.6 million as of September 30, 2025, together with the $120.0 million of gross proceeds from the Private Investment in Public Equity (“PIPE”) received in October 2025 (</w:t>
      </w:r>
      <w:r>
        <w:rPr>
          <w:rFonts w:ascii="Times New Roman" w:cs="Times New Roman" w:eastAsia="Times New Roman" w:hAnsi="Times New Roman"/>
          <w:sz w:val="18"/>
          <w:szCs w:val="18"/>
          <w:i w:val="1"/>
          <w:iCs w:val="1"/>
          <w:color w:val="auto"/>
        </w:rPr>
        <w:t>Note 16, Subsequent Events</w:t>
      </w:r>
      <w:r>
        <w:rPr>
          <w:rFonts w:ascii="Times New Roman" w:cs="Times New Roman" w:eastAsia="Times New Roman" w:hAnsi="Times New Roman"/>
          <w:sz w:val="18"/>
          <w:szCs w:val="18"/>
          <w:color w:val="auto"/>
        </w:rPr>
        <w:t>) will be sufficient to fund its operating and capital expenditures into the fourth quarter of 2026, however it will not be sufficient to fund its operating expenses and capital expenditure requirements for at least twelve months from the date these condensed consolidated financial statements were issued. Therefore, the Company has concluded that substantial doubt exists with respect to its ability to continue as a going concern. As a result, the Company will need to raise additional capital to finance its operations. The Company’s ability to fund operations is subject to substantial risks and uncertainties.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Until such time that the Company can generate significant revenue from product sales, if ever, it expects to finance its operations through a combination of private or public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If the Company is unable to obtain sufficient capital, the Company will be forced to delay, reduce or eliminate some or all of its research and development programs, product portfolio expansion or future commercialization efforts, which could adversely affect its business prospects, and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any adjustments relating to the recoverability and classification of recorded asset amounts or the amounts and classification of liabilities that might result from the outcome of this uncertainty. Accordingly, the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79" w:lineRule="exact"/>
        <w:rPr>
          <w:sz w:val="20"/>
          <w:szCs w:val="20"/>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audited consolidated financial statements for the year ended December 31, 2024, and notes thereto, included in the Company’s Annual Report on Form 10-K that was filed with the SEC on March 11, 2025. Since the date of those financial statements, other than disclosed herein, there have been no material changes to the Company’s significant accounting policies.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operations of the Company and its wholly-owned subsidiaries. All intercompany accounts, transactions, and balances have been eliminated in consolidation. The accompanying condensed consolidated financial statements have been prepared in accordance with U.S. generally accepted accounting principles (“GAAP”) and pursuant to the rules and regulations of the Securities and Exchange Commission (“SEC”). Any reference in these notes to applicable guidance is meant to refer to the authoritative GAAP as found in the Accounting Standards Codification (“ASC”) and Accounting Standards Update (“ASU”) of the Financial Accounting Standards Board (“FASB”). Certain information and footnote disclosures normally included in financial statements prepared in accordance with GAAP have been or omitted pursuant to such rules and regulations.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2025, and the results of operations and its cash flows for the three and nine months ended September 30, 2025 and 2024. The financial</w:t>
      </w:r>
    </w:p>
    <w:p>
      <w:pPr>
        <w:sectPr>
          <w:pgSz w:w="11900" w:h="16838" w:orient="portrait"/>
          <w:cols w:equalWidth="0" w:num="1">
            <w:col w:w="9019"/>
          </w:cols>
          <w:pgMar w:left="1440" w:top="1269"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3" w:name="page14"/>
    <w:bookmarkEnd w:id="13"/>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data and other information disclosed in these notes related to the three and nine months ended September 30, 2025 and 2024 are not necessarily indicative of the results to be expected for the year ending December 31, 2025, any other interim periods, or any future year or period. These interim financial statements should be read in conjunction with the audited financial statements as of and for the year ended December 31, 2024, and the notes thereto, which are included in the Company’s Annual Report on Form 10-K as filed with the SEC, on March 11,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liabilities, expenses, and related disclosures. The Company bases its estimates on historical experience, known trends and other market-specific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 assumptions. Significant estimates in these condensed consolidated financial statements include estimates made in connection with accrued research and development expenses, stock-based compensation, pre-initial public offering (“IPO”) valuations of common stock and the liability related to the sale of future royalties including the estimation of future payments and the related non-cash interest expense.</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judgement. As of the date of the issuance of these financial statements, the Company is not aware of any specific event or circumstance that would require the Company to update its estimates, assumptions and judgements or revise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Royalty Obligation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2025, the Company and Royalty Pharma Investments 2019 ICAV (“Royalty Pharma”) entered into the Revenue Participation Right Purchase and Sale Agreement (the “Royalty Purchase Agreement”). See </w:t>
      </w:r>
      <w:r>
        <w:rPr>
          <w:rFonts w:ascii="Times New Roman" w:cs="Times New Roman" w:eastAsia="Times New Roman" w:hAnsi="Times New Roman"/>
          <w:sz w:val="18"/>
          <w:szCs w:val="18"/>
          <w:i w:val="1"/>
          <w:iCs w:val="1"/>
          <w:color w:val="auto"/>
        </w:rPr>
        <w:t>Note 9,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for further details of the agreement.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When the Company maintains significant continuing involvement in generating the underlying cash flows, royalty financings are recognized as obligations. Payments received are recorded as the principal amount of the obligation on the consolidated balance sheet as long-term liabilities. The carrying amount of the obligation is accreted to reflect the total expected royalty and related payments due to Royalty Pharma, using the effective interest method. As royalties and other related payments are made, the outstanding royalty obligation will be reduced over the estimated term of the arrangement.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royalty obligation, effective interest rate, and corresponding interest expense are determined based on the Company’s estimate of future anticipated royalty payments under the arrangement. These estimates are reassessed at the end of each reporting period according to the Company’s latest projections. Should these estimated cash flows change as a result of this review, the Company will recalculate the effective interest rate and adjust the accretion of interest on the royalty obligation prospectively. Any additional funding received from Royalty Pharma will also be treated as an obligation, with a prospective adjustment to the effective interest rate applied upon receipt of such funds.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2023-09”)</w:t>
      </w:r>
      <w:r>
        <w:rPr>
          <w:rFonts w:ascii="Times New Roman" w:cs="Times New Roman" w:eastAsia="Times New Roman" w:hAnsi="Times New Roman"/>
          <w:sz w:val="18"/>
          <w:szCs w:val="18"/>
          <w:color w:val="auto"/>
        </w:rPr>
        <w:t>, which requires a company to expand its existing income tax disclosures, specifically related to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income taxes paid. ASU 2023-09 is effective for the Company beginning in fiscal year 2025, with early adoption permitted. ASU 2023-09 may be applied retrospectively or prospectively to the financial statements. The Company is currently evaluating the impact of ASU 2023-09 on the consolidated financial statements and related disclosures.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4" w:name="page15"/>
    <w:bookmarkEnd w:id="14"/>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 (“ASU 2024-03”)</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disclose additional information about specific expense categories in the notes to the financial statements. ASU 2024-03 is effective annual periods beginning after December 15, 2026 and for interim periods within fiscal years beginning after December 15, 2027, with early adoption permitted. ASU 2024-03 may be applied retrospectively or prospectively to the financial statements. The Company is currently evaluating the impact of ASU 2024-03 on the consolidated financial statements and related disclosures.</w:t>
      </w:r>
    </w:p>
    <w:p>
      <w:pPr>
        <w:spacing w:after="0" w:line="185" w:lineRule="exact"/>
        <w:rPr>
          <w:sz w:val="20"/>
          <w:szCs w:val="20"/>
          <w:color w:val="auto"/>
        </w:rPr>
      </w:pPr>
    </w:p>
    <w:p>
      <w:pPr>
        <w:jc w:val="both"/>
        <w:ind w:left="60" w:right="59" w:firstLine="5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we adopt as of the specified effective date. Unless otherwise discussed, we do not believe that the adoption of recently issued standards have or may have a material impact on our condensed consolidated statements or disclosures.</w:t>
      </w:r>
    </w:p>
    <w:p>
      <w:pPr>
        <w:spacing w:after="0" w:line="172"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regularly measured and carried at fair value and indicate the level within the fair value hierarchy of the valuation techniques the Company utilized to determine such fair value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83"/>
        </w:trPr>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Carrying</w:t>
            </w: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3"/>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100,852</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36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130,037</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130,037</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4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301,601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256,319</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39"/>
        </w:trPr>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3"/>
        </w:trPr>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Carrying</w:t>
            </w:r>
          </w:p>
        </w:tc>
        <w:tc>
          <w:tcPr>
            <w:tcW w:w="3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3"/>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300,672</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36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4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350,766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338,850</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as of September 30, 2025 and December 31, 2024. In addition, there have been no changes in valuation techniques as of September 30, 2025 and</w:t>
      </w:r>
    </w:p>
    <w:p>
      <w:pPr>
        <w:sectPr>
          <w:pgSz w:w="11900" w:h="16838" w:orient="portrait"/>
          <w:cols w:equalWidth="0" w:num="1">
            <w:col w:w="9019"/>
          </w:cols>
          <w:pgMar w:left="1440" w:top="126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type w:val="continuous"/>
        </w:sectPr>
      </w:pPr>
    </w:p>
    <w:bookmarkStart w:id="15" w:name="page16"/>
    <w:bookmarkEnd w:id="15"/>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December 31, 2024. The fair value of Level 1 instruments classified as money market funds and government securities are valued using quoted market prices in active markets. The fair value of Level 2 instruments classified as short-term investments was determined using other than quoted prices in active markets, which are either directly or indirectly observable as of the reporting date and fair value is determined using models or other valuation methodologies. During the nine months ended September 30, 2025 and year ended December 31, 2024, there were no transfers between levels.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short and long-term investments are classified as available-for-sale securities. As of September 30, 2025, the remaining contractual maturities of the available-for-sale securities were 1 to 16 months, and the balance in the Company’s accumulated other comprehensive income was comprised of activity related to the Company’s available-for-sale securities. There were no realized gains or losses recognized on the sale or maturity of available-for-sale securities during the three and nine months ended September 30, 2025 and 2024. As a result, the Company did not reclassify any amounts out of accumulated other comprehensive income for the same period. The Company had a limited number of available-for-sale securities in insignificant loss positions as of September 30, 2025, which the Company does not intend to sell and has concluded it will not be required to sell before recovery of amortized cost for the investment maturity.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 of September 30, 2025</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0"/>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5"/>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2"/>
        </w:trPr>
        <w:tc>
          <w:tcPr>
            <w:tcW w:w="2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140,754</w:t>
            </w:r>
          </w:p>
        </w:tc>
      </w:tr>
      <w:tr>
        <w:trPr>
          <w:trHeight w:val="209"/>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185,928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186,036</w:t>
            </w:r>
          </w:p>
        </w:tc>
      </w:tr>
      <w:tr>
        <w:trPr>
          <w:trHeight w:val="20"/>
        </w:trPr>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0"/>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09"/>
        </w:trPr>
        <w:tc>
          <w:tcPr>
            <w:tcW w:w="2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w:t>
            </w:r>
          </w:p>
        </w:tc>
      </w:tr>
      <w:tr>
        <w:trPr>
          <w:trHeight w:val="20"/>
        </w:trPr>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short-term debt securities with original maturities of less than 90 days are included in cash and cash equivalents on the condensed consolidated balance sheets and are not included in the table above.</w:t>
      </w:r>
    </w:p>
    <w:p>
      <w:pPr>
        <w:spacing w:after="0" w:line="171"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deposits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20" w:type="dxa"/>
            <w:vAlign w:val="bottom"/>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8"/>
                <w:szCs w:val="18"/>
                <w:color w:val="auto"/>
              </w:rPr>
            </w:pPr>
          </w:p>
        </w:tc>
      </w:tr>
      <w:tr>
        <w:trPr>
          <w:trHeight w:val="21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ind w:right="1552"/>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9" w:right="1440" w:bottom="1440" w:gutter="0" w:footer="0" w:header="0"/>
        </w:sectPr>
      </w:pPr>
    </w:p>
    <w:bookmarkStart w:id="16" w:name="page17"/>
    <w:bookmarkEnd w:id="16"/>
    <w:p>
      <w:pPr>
        <w:spacing w:after="0" w:line="271"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development and manufacturing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0"/>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39,371</w:t>
            </w: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various leases for office space, which are accounted for as operating leases and generally have terms of less than two years in length, some of which have the option to renew. The Company recognizes monthly operating lease expense on a straight-line basis over the term of the lease as general and administrative expenses in the condensed consolidated statements of operations and comprehensive loss. Variable lease expense relates primarily to office lease common area maintenance, insurance, and property taxes, and it is expensed as incurred. Variable lease expense is also excluded from the calculation of lease liabilities and right-of-use-assets.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minimum lease payments under the Company’s operating leases are expected to be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80" w:type="dxa"/>
            <w:vAlign w:val="bottom"/>
          </w:tcPr>
          <w:p>
            <w:pPr>
              <w:spacing w:after="0"/>
              <w:rPr>
                <w:sz w:val="18"/>
                <w:szCs w:val="18"/>
                <w:color w:val="auto"/>
              </w:rPr>
            </w:pPr>
          </w:p>
        </w:tc>
        <w:tc>
          <w:tcPr>
            <w:tcW w:w="222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6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5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Bristol-Myers Squibb</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August 2023, the Company entered into a license and collaboration agreement (the “BMS Agreement”) with BMS,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BMS Agreement, BMS paid the Company a one-time non-refundable upfront cash payment of $50.0 million. The Company is entitled to receive further separate development, regulatory milestone payments from BMS of up to approximately $79.5 million. The Company is also entitled to receive one-time sales milestone payments up to $70.0 million upon BMS achieving certain net sales milestones in a given year in the BMS Territory. The Company is also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eligible to receive tiered high single-digit to low double-digit royalties on net sales in the BMS Territory, subject to specified reductions.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will continue to perform and oversee the ongoing Phase 3 trial of obexelimab in the IgG4-RD indication and BMS will participate in the performance of the study.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with a customer and reimbursement payments received by the Company for global development activities are accounted for as a reduction of the related research and development expenses.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September 30, 2025 and 2024, the Company recorded $1.3 million and $1.8 million, respectively, as a receivable included in prepaid expenses and other current assets. The Company recorded $1.3 million and $1.8 million for the three months ended September 30, 2025 and 2024, respectively, as a reduction to research and development expense for global development costs to be reimbursed by BMS. The Company recorded $4.2 million and $3.9 million for the nine months ended September 30, 2025 and 2024, respectively, as a reduction of research and development expense for global development costs to be reimbursed by BMS. The Company did not recognize revenue related to the BMS Agreement during the three and nine months ended September 30, 2025 and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Tenacia Biotechnology Co. Novation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a novation agreement with Tenacia Biotechnology (Hong Kong) Co., Limited (“Tenacia”), under which the Company transferred its rights and obligations under the agreements with Dianthus to Tenacia (the “Tenacia Agreement”). Pursuant to the Tenacia Agreement, the Company, transferred all the ZB005 inventory, analytical methods and manufacturing records generated, under the Dianthus Option Agreement and License Agreement (collectively the “Dianthus Agreements”) to Tenacia, for the exclusive right to research, develop, manufacture and commercialize products within China, Hong Kong, Macau and Taiwan (“greater China”). As a result of the Tenacia Agreement, the Company has no further obligations to Dianthus pursuant to the Dianthus Agreements.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Tenacia Agreement, Tenacia paid the Company a one-time non-refundable upfront cash payment of $5.0 million, which was recognized as revenue in the fourth quarter of 2024. The Company is entitled to receive further development, regulatory and sales milestones from Tenacia of up to approximately $86.0 million if certain milestones are successfully achieved. The Company did not recognize revenue related to the Tenacia Agreement during the nine months ended September 30, 2025 and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Zai Lab (Hong Kong) Limited</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January 2025, the Company entered into a license agreement (the “Zai License Agreement”), with Zai, under which the Company granted Zai an exclusive sublicense to develop, manufacture and commercialize ZB001 and related programs in greater China. Under the Zai Agreement, Zai will be responsible for conducting all research and development activities, manufacturing, regulatory and commercialization in greater China.</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Zai Agreement, Zai paid the Company a one-time non-refundable upfront cash payment of $10.0 million. The Company is entitled to receive further development, regulatory and sales milestones from Zai up to approximately $117.0 million if certain milestones are successfully achieved, with passthrough obligations of $21.0 million due to Viridian. The Company is also eligible to receive tiered royalties on net sales in greater China, ranging from the low to mid-single digits, net of passthrough obligations due to Viridian.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evaluated the terms of the Zai Agreement and determined it is within the scope of ASC 606. The Company identified the following promises in the Zai Agreement that were evaluated under the scope of ASC 606: (i) transfer of the license for ZB001, (ii) licensed technology transfer (iii) licensed material transfer and (iv) continued licensed technology transfer. The Company also evaluated whether certain options outlined in the Zai Agreement represented material rights that would give rise to a performance obligation and concluded that none of the options conveyed a material right to Zai or were immaterial and, therefore, are not considered separate performance obligations within the Zai Agreement.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8" w:name="page19"/>
    <w:bookmarkEnd w:id="18"/>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assessed the above promises and determined that the license for ZB001 and technology transfer are a combined distinct performance obligation within the scope of ASC 606. The licensed material transfer and the continued technology know-how transfer services are promises that are separately identifiable and considered to be distinct. The Company determined the transfer of the licensed materials and continued technology know-how transfer services were immaterial in the context of the contract based on the minimal resources required to fulfill the obligations and the estimated standalone selling price of the licensed materials. Therefore, the sublicense and technology transfer represent a single performance obligation at contract inception.</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concluded that the transaction price of $10.0 million was allocated to the combined performance obligation, which was recognized upon delivery prior to March 31, 2025. The Company used the most likely amount method to estimate variable consideration and estimated that the most likely amount for each potential developmental and regulatory variable consideration milestone payment under the agreement is zero, as achievement of those milestones is uncertain and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and royalty based milestones structured on the level of sales, were also excluded from the transaction price, as the license is deemed to be the predominant item to which the transaction price relates. The Company will recognize such milestone and royalty revenue at the later of (i) when the related sales occur, or (ii) when the performance obligation to which some or all of the royalty has been allocated has been satisfied (or partially satisfied).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2025, no milestones were achieved or deemed probable of achievement.</w:t>
      </w:r>
    </w:p>
    <w:p>
      <w:pPr>
        <w:spacing w:after="0" w:line="221"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Agreements with Xencor, Inc.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Xencor Agreement</w:t>
      </w:r>
    </w:p>
    <w:p>
      <w:pPr>
        <w:spacing w:after="0" w:line="20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September 2020, the Company entered into a license agreement (the “2020 Xencor Agreement”) with Xencor, Inc. (“Xencor”), under which the Company is required to pay Xencor tiered royalties on annual net sales of successfully commercialized products, including ZB002 and ZB004. The royalty percentage rates vary by geographic areas as defined in the 2020 Xencor Agreement and range from the mid-single digits to mid-teens. The Company is also obligated to reimburse Xencor for third-party costs incurred for certain patent filings, prosecution and maintenance as further specified in the 2020 Xencor Agreement. During the nine months ended September 30, 2025 and 2024, the Company incurred no such reimbursable costs.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Xencor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May 2021, the Company entered into a license agreement with Xencor (the “2021 Xencor Agreement”), under which the Company obtained an exclusive, royalty-bearing, sublicensable worldwide license to research, develop, manufacture, market and sell obexelimab. The Company is also obligated to make regulatory milestone payments up to $75.0 million and one-time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percentages varying based on regions and ranging from the mid-single digits to the mid-teens.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2025 and 2024, the Company recorded no reimbursable patent-related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Viridian Therapeutics, Inc.</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October 2020, the Company entered into a license agreement with Viridian Therapeutics, Inc. (the “Viridian Agreement”) to obtain an exclusive, royalty-bearing, sublicensable license to research, develop, manufacture, market and sell certain antibody product candidates based on Viridian’s proprietary technology. The Company’s license rights are limited to non-oncology indications and are limited to China, Hong Kong, Macau and Taiwan (“Zenas Territories”). Viridian retains its rights to develop and commercialize such product candidates outside of the Zenas Territories.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9" w:name="page20"/>
    <w:bookmarkEnd w:id="19"/>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December 2021, the Company and Viridian entered into two letter agreements to authorize initiation of certain manufacturing and development activities related to the licensed product candidate, ZB001. Under the terms of the letter agreements, Viridian engaged a third-party contract manufacturer to initiate certain work related to ZB001. In May 2022, the Company entered into a manufacturing development and supply agreement (“Viridian Supply Agreement”). In January 2025, the Company entered into a third amendment to the Viridian Agreement, under which the Company is obligated to make development and sales milestone payments to Viridian, totaling $21.0 million, based on achievement of certain specified development and sales milestones, and royalties on net sales.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Company entered the Zai License Agreement under which the Company granted Zai an exclusive sublicense to develop, manufacture and commercialize ZB001 and related programs in greater China. In connection with the Zai License Agreement, the Company assigned the Viridian Supply Agreement to Zai. For additional information on the Zai Agreement, please see </w:t>
      </w:r>
      <w:r>
        <w:rPr>
          <w:rFonts w:ascii="Times New Roman" w:cs="Times New Roman" w:eastAsia="Times New Roman" w:hAnsi="Times New Roman"/>
          <w:sz w:val="18"/>
          <w:szCs w:val="18"/>
          <w:i w:val="1"/>
          <w:iCs w:val="1"/>
          <w:color w:val="auto"/>
        </w:rPr>
        <w:t>License Agreement with Zai Lab (Hong Kong) Limited</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7 – License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to these condensed consolidated financial statements.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no expense related to Viridian contract manufacturing organization (“CMO”) costs. During the three and nine months ended September 30, 2024, the Company recognized no expense and $0.1 million in expense related to Viridian CMO costs, respectively. Viridian has agreed to reimburse the Company for certain services the Company performs on Viridian’s behalf, with reimbursements being recorded as a reduction in research and development expenses. During the three and nine months ended September 30, 2025, the Company recorded an immaterial amount and $0.2 million in reimbursable expenses, respectively. During the three and nine months ended September 30, 2024, the Company recorded $0.5 million and $1.5 million in reimbursable expenses, respectively. Additionally, during the nine months ended September 30, 2025 and 2024, no milestones were achieved.</w:t>
      </w:r>
    </w:p>
    <w:p>
      <w:pPr>
        <w:spacing w:after="0" w:line="184" w:lineRule="exact"/>
        <w:rPr>
          <w:sz w:val="20"/>
          <w:szCs w:val="20"/>
          <w:color w:val="auto"/>
        </w:rPr>
      </w:pPr>
    </w:p>
    <w:p>
      <w:pPr>
        <w:ind w:left="700" w:hanging="650"/>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Obligation</w:t>
      </w:r>
    </w:p>
    <w:p>
      <w:pPr>
        <w:spacing w:after="0" w:line="25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2025, the Company and Royalty Pharma entered into the Royalty Purchase Agreement. Pursuant to the Royalty Purchase Agreement, the Company received a $75.0 million upfront payment in exchange for which Royalty Pharma purchased the right to receive, for each calendar quarter, (i) 5.5% of net sales of obexelimab products sold by the Company and its affiliates worldwide, (ii) 5.5% of net sales of obexelimab products sold by licensees of Zenas and its affiliates in the U.S., the United Kingdom and the European Union, (iii) 25% of royalty income payable to Zenas or any of its affiliates on sales of obexelimab products in countries other than the U.S., the United Kingdom, and in the European Union by its licensees pursuant to out-licenses less royalty payments payable by Zenas to Xencor Inc. and (iv) 25% of non-royalty income attributable to obexelimab products payable to Zenas or any of its affiliates by its licensees (other than certain milestone payments payable by Bristol-Myers Squibb) pursuant to out-licenses and allocated to countries other than the U.S., the United Kingdom and in the European Union.</w:t>
      </w:r>
    </w:p>
    <w:p>
      <w:pPr>
        <w:spacing w:after="0" w:line="23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Royalty Purchase Agreement provides for an additional $225.0 million of payments to be paid to the Company by Royalty Pharma upon the occurrence of certain triggering events which includes (1) $75.0 million payable upon the achievement of certain milestones with respect to Zenas’ INDIGO Phase 3 Trial of obexelimab for the treatment of patients with IgG4-Related Disease on or before a specified date, (2) $75.0 million payable following receipt of marketing approval for obexelimab from the U.S. Food and Drug Administration (the “FDA”) for the treatment of IgG4-Related Disease on or before a specified date and (3) $75.0 million payable following receipt of marketing approval for obexelimab from the FDA for the treatment of systemic lupus erythematosus on or before a specified date.</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accounted for the Royalty Purchase Agreement as a debt financing, primarily because it has significant continuing involvement in generating the future revenue on which the royalty payments are based. The $75.0 million upfront payment received was recorded as a liability, net of issuance costs of $3.7 million. The effective interest rate was determined based on the Company’s projections of future royalty payments. The Company will evaluate the estimated timing and amount of future royalty payments for each reporting period and will revise the effective interest rate prospectively if those estimates change materially.</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the liability approximates the carrying value and was determined based on the current estimate of the timing and amount of expected future royalty payments expected to be paid over the estimated term of the Royalty</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0" w:name="page21"/>
    <w:bookmarkEnd w:id="20"/>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Purchase Agreement, which are subject to significant estimation uncertainty and are based on various assumptions made by the Company. These assumption inputs are determined to be Level 3 inputs in the fair value hierarchy as they involve significant unobservable inputs and judgment.</w:t>
      </w:r>
    </w:p>
    <w:p>
      <w:pPr>
        <w:spacing w:after="0" w:line="1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for the royalty obligation during the three and nine months ended September 30, 2025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royalty obligation</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5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to royalty obligation</w:t>
            </w:r>
          </w:p>
        </w:tc>
        <w:tc>
          <w:tcPr>
            <w:tcW w:w="54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Royalty obligation as of September 30, 2025</w:t>
            </w:r>
          </w:p>
        </w:tc>
        <w:tc>
          <w:tcPr>
            <w:tcW w:w="540" w:type="dxa"/>
            <w:vAlign w:val="bottom"/>
            <w:tcBorders>
              <w:bottom w:val="single" w:sz="8" w:color="CCEEFF"/>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72,989</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Effective interest rate</w:t>
            </w:r>
          </w:p>
        </w:tc>
        <w:tc>
          <w:tcPr>
            <w:tcW w:w="5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r>
    </w:tbl>
    <w:p>
      <w:pPr>
        <w:spacing w:after="0" w:line="200" w:lineRule="exact"/>
        <w:rPr>
          <w:sz w:val="20"/>
          <w:szCs w:val="20"/>
          <w:color w:val="auto"/>
        </w:rPr>
      </w:pPr>
    </w:p>
    <w:p>
      <w:pPr>
        <w:spacing w:after="0" w:line="237" w:lineRule="exact"/>
        <w:rPr>
          <w:sz w:val="20"/>
          <w:szCs w:val="20"/>
          <w:color w:val="auto"/>
        </w:rPr>
      </w:pPr>
    </w:p>
    <w:p>
      <w:pPr>
        <w:ind w:left="700" w:hanging="650"/>
        <w:spacing w:after="0"/>
        <w:tabs>
          <w:tab w:leader="none" w:pos="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September 2024, upon the completion of the IPO, the Company restated its certificate of incorporation, pursuant to which the Company is authorized to issue 175,000,000 shares of common stock $0.0001 par value. The voting, dividend and liquidation rights of the holders of the Company’s common stock were subject to and qualified by the rights, powers and preference of the holders of any preferred stock then issued and outstanding.</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(and written actions in lieu of meetings), and there are no cumulative voting rights.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had reserved the following shares of common stock for the potential conversion of outstanding stock options: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10,507,497</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shares reserved for future issuance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507,134</w:t>
            </w:r>
          </w:p>
        </w:tc>
        <w:tc>
          <w:tcPr>
            <w:tcW w:w="1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359,399</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525,350</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773,122</w:t>
            </w:r>
          </w:p>
        </w:tc>
        <w:tc>
          <w:tcPr>
            <w:tcW w:w="16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397,956</w:t>
            </w:r>
          </w:p>
        </w:tc>
      </w:tr>
      <w:tr>
        <w:trPr>
          <w:trHeight w:val="21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12,313,103</w:t>
            </w:r>
          </w:p>
        </w:tc>
        <w:tc>
          <w:tcPr>
            <w:tcW w:w="1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9,463,552</w:t>
            </w:r>
          </w:p>
        </w:tc>
      </w:tr>
      <w:tr>
        <w:trPr>
          <w:trHeight w:val="20"/>
        </w:trPr>
        <w:tc>
          <w:tcPr>
            <w:tcW w:w="50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0" w:right="6219" w:hanging="10"/>
        <w:spacing w:after="0" w:line="456" w:lineRule="auto"/>
        <w:tabs>
          <w:tab w:leader="none" w:pos="70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2024 Plan</w:t>
      </w: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3, 2024, the Board of Directors (the “Board”) adopted the 2024 Equity Incentive Plan (the “2024 Plan”), which became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w:t>
      </w:r>
    </w:p>
    <w:p>
      <w:pPr>
        <w:spacing w:after="0" w:line="15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number of shares reserved and available for issuance under the 2024 Plan will automatically increase each January 1, beginning on January 1, 2025 through January 1, 2034, by the number of shares equal to the lesser of (i) five percent of the aggregate number of shares of common stock outstanding as of such date, and (ii) a number of shares as may be determined by the Board on or prior to such date. In January 2025, the number of shares of common stock available for issuance under the Company’s 2024 Plan, was increased by 2,089,670 shares of common stock due to the automatic annual provision to increase shares of common stock available under the 2024 Plan. As of September 30, 2025, 507,134 shares of common stock were available for issuance under the 2024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granted stock-based awards with either service or performance based vesting conditions. Compensation</w:t>
      </w:r>
    </w:p>
    <w:p>
      <w:pPr>
        <w:spacing w:after="0" w:line="2" w:lineRule="exact"/>
        <w:rPr>
          <w:sz w:val="20"/>
          <w:szCs w:val="20"/>
          <w:color w:val="auto"/>
        </w:rPr>
      </w:pPr>
    </w:p>
    <w:p>
      <w:pPr>
        <w:jc w:val="both"/>
        <w:ind w:left="60" w:right="79"/>
        <w:spacing w:after="0" w:line="208" w:lineRule="auto"/>
        <w:rPr>
          <w:sz w:val="20"/>
          <w:szCs w:val="20"/>
          <w:color w:val="auto"/>
        </w:rPr>
      </w:pPr>
      <w:r>
        <w:rPr>
          <w:rFonts w:ascii="Times New Roman" w:cs="Times New Roman" w:eastAsia="Times New Roman" w:hAnsi="Times New Roman"/>
          <w:sz w:val="18"/>
          <w:szCs w:val="18"/>
          <w:color w:val="auto"/>
        </w:rPr>
        <w:t>expense related to awards to employees and directors with service based vesting conditions is recognized on a straight-line basis based on the grant date fair value over the associated service period of the award, which is generally the vesting term. Compensation expense related to awards to employees with performance based vesting conditions is recognized based on</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grant date fair value once the achievement of the performance condition is probable.</w:t>
      </w:r>
    </w:p>
    <w:p>
      <w:pPr>
        <w:spacing w:after="0" w:line="13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employees as an inducement to enter into employment with the Company. The grants constitute "employment inducement grants" in accordance with Rule 5635(c)</w:t>
      </w:r>
    </w:p>
    <w:p>
      <w:pPr>
        <w:jc w:val="both"/>
        <w:ind w:left="60" w:right="59" w:hanging="10"/>
        <w:spacing w:after="0" w:line="252" w:lineRule="auto"/>
        <w:tabs>
          <w:tab w:leader="none" w:pos="3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Nasdaq Listing Rules and are issued outside of the 2024 Plan. The inducement grants include non-statutory stock options to purchase shares of the Company's common stock. The inducement grants have terms and conditions consistent with those set forth under the 2024 Plan and vest under the same respective vesting schedules as stock option awards granted under the 2024 Plan. The inducement grants are included in the stock option award tables below. As of September 30, 2025, the Company granted 762,000 non-statutory stock options as inducement grants. No inducement grants were awarded during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and related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 -</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2,703,600</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(377,285)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(525,015)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September 30, 2025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98,133</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2,833,037</w:t>
            </w:r>
          </w:p>
        </w:tc>
        <w:tc>
          <w:tcPr>
            <w:tcW w:w="1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28,548</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as</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September 30,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10,507,497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98,133</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stock options is calculated as the difference between the exercise price of the options and the fair value of the Company’s common stock for those stock options that had an exercise price lower than the fair value of the Company’s common stock as of the measurement date of September 30, 2025.</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0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granted to certain employees restricted stock units (“RSUs”) that are subject to time-based vesting conditions, that vest equally over four years, assuming continued employment. RSUs with time-based vesting conditions are valued on the grant date using the grant date market value price of the underlying shares of the Company’s common stock. The Company did not grant any RSU’s in 2024. The following table summarizes the Company’s RSU activity: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 Average Grant</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0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538,550</w:t>
            </w:r>
          </w:p>
        </w:tc>
        <w:tc>
          <w:tcPr>
            <w:tcW w:w="120" w:type="dxa"/>
            <w:vAlign w:val="bottom"/>
          </w:tcPr>
          <w:p>
            <w:pPr>
              <w:spacing w:after="0"/>
              <w:rPr>
                <w:sz w:val="18"/>
                <w:szCs w:val="18"/>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80" w:type="dxa"/>
            <w:vAlign w:val="bottom"/>
          </w:tcPr>
          <w:p>
            <w:pPr>
              <w:spacing w:after="0"/>
              <w:rPr>
                <w:sz w:val="24"/>
                <w:szCs w:val="24"/>
                <w:color w:val="auto"/>
              </w:rPr>
            </w:pPr>
          </w:p>
        </w:tc>
        <w:tc>
          <w:tcPr>
            <w:tcW w:w="3000" w:type="dxa"/>
            <w:vAlign w:val="bottom"/>
            <w:gridSpan w:val="2"/>
          </w:tcPr>
          <w:p>
            <w:pPr>
              <w:jc w:val="right"/>
              <w:ind w:right="183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color w:val="auto"/>
        </w:rPr>
        <w:t>No RSUs vested during the current or prior year periods.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$81.2 million of unrecognized stock-based compensation related to unvested stock options, granted RSU’s and the Employee Stock Purchase Plan (the “ESPP”), which is expected to be recognized over a weighted-average period of 3.0 years.</w:t>
      </w:r>
    </w:p>
    <w:p>
      <w:pPr>
        <w:spacing w:after="0" w:line="13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equity awards to employees and directors in the condensed consolidated statement of operations as follows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3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16"/>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0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2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0"/>
        </w:trPr>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3, 2024, the Board adopted the 2024 Employee Stock Purchase Plan (the “ESPP”), which became effective immediately prior to the effectiveness of the registration statement for the Company’s IPO. The number of shares of common stock available under the ESPP will automatically increase on January 1st of each year, beginning on January 1, 2025 through January 1, 2034, by the number of shares equal to the lesser of (i) one percent of the aggregate number of shares of common stock outstanding as of such date, and (ii) a number of shares as may be determined by the Board on or prior to such date, up to a maximum of 1,000,000 shares in the aggregate per year. On January 1, 2025, the number of shares of common stock authorized for issuance under the ESPP increased automatically by 417,934 shares and as of September 30, 2025, a total of 773,122 shares were available for future issuance under the ESPP. During the three and nine months ended September 30, 2025, there were 42,768 shares issued under the ESPP.</w:t>
      </w:r>
    </w:p>
    <w:p>
      <w:pPr>
        <w:spacing w:after="0" w:line="238"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September 30, 2025 and 2024 because including them would have had an anti-dilutive effect: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72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Borders>
              <w:bottom w:val="single" w:sz="8" w:color="auto"/>
            </w:tcBorders>
          </w:tcPr>
          <w:p>
            <w:pPr>
              <w:spacing w:after="0"/>
              <w:rPr>
                <w:sz w:val="18"/>
                <w:szCs w:val="18"/>
                <w:color w:val="auto"/>
              </w:rPr>
            </w:pPr>
          </w:p>
        </w:tc>
      </w:tr>
      <w:tr>
        <w:trPr>
          <w:trHeight w:val="199"/>
        </w:trPr>
        <w:tc>
          <w:tcPr>
            <w:tcW w:w="49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525,350</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10,507,497</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8,630,075</w:t>
            </w:r>
          </w:p>
        </w:tc>
      </w:tr>
    </w:tbl>
    <w:p>
      <w:pPr>
        <w:spacing w:after="0" w:line="200" w:lineRule="exact"/>
        <w:rPr>
          <w:sz w:val="20"/>
          <w:szCs w:val="20"/>
          <w:color w:val="auto"/>
        </w:rPr>
      </w:pPr>
    </w:p>
    <w:p>
      <w:pPr>
        <w:spacing w:after="0" w:line="218" w:lineRule="exact"/>
        <w:rPr>
          <w:sz w:val="20"/>
          <w:szCs w:val="20"/>
          <w:color w:val="auto"/>
        </w:rPr>
      </w:pPr>
    </w:p>
    <w:p>
      <w:pPr>
        <w:ind w:left="700" w:hanging="650"/>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 has entered into arrangements for leases of office space; see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for details.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5"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The Company entered into license agreements under which it is obligated to make fixed and contingent payments;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 License Agreements</w:t>
      </w:r>
      <w:r>
        <w:rPr>
          <w:rFonts w:ascii="Times New Roman" w:cs="Times New Roman" w:eastAsia="Times New Roman" w:hAnsi="Times New Roman"/>
          <w:sz w:val="18"/>
          <w:szCs w:val="18"/>
          <w:color w:val="auto"/>
        </w:rPr>
        <w:t>, for details.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i w:val="1"/>
          <w:iCs w:val="1"/>
          <w:color w:val="auto"/>
        </w:rPr>
        <w:t>Royalty Obligation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The Company entered into a royalty purchase agreement under which it is obligated to make contingent payments related to future net sales and royalty income of obexelimab; see </w:t>
      </w:r>
      <w:r>
        <w:rPr>
          <w:rFonts w:ascii="Times New Roman" w:cs="Times New Roman" w:eastAsia="Times New Roman" w:hAnsi="Times New Roman"/>
          <w:sz w:val="18"/>
          <w:szCs w:val="18"/>
          <w:i w:val="1"/>
          <w:iCs w:val="1"/>
          <w:color w:val="auto"/>
        </w:rPr>
        <w:t>Note 9, Royalty Obligation</w:t>
      </w:r>
      <w:r>
        <w:rPr>
          <w:rFonts w:ascii="Times New Roman" w:cs="Times New Roman" w:eastAsia="Times New Roman" w:hAnsi="Times New Roman"/>
          <w:sz w:val="18"/>
          <w:szCs w:val="18"/>
          <w:color w:val="auto"/>
        </w:rPr>
        <w:t xml:space="preserve"> for details.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Contracts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 As of September 30, 2025, our total non-cancellable clinical manufacturing contract payment obligations are $18.7 million of which the full obligation is payable within 12 months.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officers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September 30, 2025.</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 and Other Proceedings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the ordinary course of business. As of September 30, 2025, the Company was not subject to any material legal proceedings which would reasonably be expected to have a material adverse effect on the Company’s financial results.</w:t>
      </w:r>
    </w:p>
    <w:p>
      <w:pPr>
        <w:spacing w:after="0" w:line="172" w:lineRule="exact"/>
        <w:rPr>
          <w:sz w:val="20"/>
          <w:szCs w:val="20"/>
          <w:color w:val="auto"/>
        </w:rPr>
      </w:pPr>
    </w:p>
    <w:p>
      <w:pPr>
        <w:ind w:left="700" w:hanging="650"/>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Xencor, Inc.</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obtained exclusive, worldwide licenses from Xencor to research, develop, manufacture, market and sell three antibody product candidates pursuant to two license agreements. The Company has concluded that Xencor is a related party, due to the issuance of convertible preferred stock in December 2020 and April 2023. In connection with the completion of the IPO, in September 2024, all outstanding shares of preferred stock converted into shares of common stock. As of September 30, 2025, Xencor held less than 10% of shares of the Company’s outstanding common stock.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Viridian Therapeutics, Inc.</w:t>
      </w:r>
    </w:p>
    <w:p>
      <w:pPr>
        <w:spacing w:after="0" w:line="227"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The Company has obtained a license from Viridian to research, develop, manufacture, market and sell an antibody product candidate in China. The Company has concluded that Viridian is a related party because although Fairmount Funds Management LLC owns less than 10% of shares of the Company’s outstanding common stock, they have a seat on the Board and are also a 10% or greater stockholder of Viridian and have two seats on Viridian’s board of directors. As initial consideration for this license, the Company issued 38,707 shares of its common stock to Viridian during the year ended December 31, 2020. As of September 30, 2025, Viridian held 0.1% of shares of the Company’s outstanding common stock.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Zai Lab (Hong Kong) Limited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24" w:name="page25"/>
    <w:bookmarkEnd w:id="24"/>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granted a sublicense to Zai to develop, manufacture and commercialize ZB001 and related programs in greater China. The Company has concluded that Zai is a related party, as the Company’s CEO and Chairman is a member of Zai’s board of directors.</w:t>
      </w:r>
    </w:p>
    <w:p>
      <w:pPr>
        <w:spacing w:after="0" w:line="174"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these arrangements, please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Agreements, </w:t>
      </w:r>
      <w:r>
        <w:rPr>
          <w:rFonts w:ascii="Times New Roman" w:cs="Times New Roman" w:eastAsia="Times New Roman" w:hAnsi="Times New Roman"/>
          <w:sz w:val="18"/>
          <w:szCs w:val="18"/>
          <w:color w:val="auto"/>
        </w:rPr>
        <w:t>to these condensed consolidated financial statements.</w:t>
      </w:r>
    </w:p>
    <w:p>
      <w:pPr>
        <w:spacing w:after="0" w:line="156" w:lineRule="exact"/>
        <w:rPr>
          <w:sz w:val="20"/>
          <w:szCs w:val="20"/>
          <w:color w:val="auto"/>
        </w:rPr>
      </w:pPr>
    </w:p>
    <w:p>
      <w:pPr>
        <w:ind w:left="700" w:hanging="650"/>
        <w:spacing w:after="0"/>
        <w:tabs>
          <w:tab w:leader="none" w:pos="7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 manages its operations on a consolidated basis as a single reportable segment focused on the research and development of precision immunology-based therapies. The accounting policies of the single reportable segment are identical to those described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When evaluating the Company’s financial performance, the Company’s chief operating decision-maker (the “CODM”), its Chief Executive Officer regularly reviews consolidated net loss, total expense and direct expenses by program and compared to budget. The CODM allocates resources based on the Company’s available cash resources, and forecasted expenditures on a consolidated basis, as well as an assessment of the probability of success of its research and development activities on a program basis. Segment asset information regularly provided to the CODM is consistent with that reported on the consolidated balance sheets with particular emphasis on the Company’s available liquidity, including its cash, cash equivalents and investment balances. Revenue is primarily attributed to individual countries based on the entity owning the license. During the three months ended September 30, 2025, the Company did not recognize revenue and for nine months ended September 30, 2025, $10.0 million was recognized as revenue which was attributed to Zenas HK. The Company did not recognize revenue during the three or nine months ended September 30, 2024.</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 for the three and nine months ended September 30, 2025 and 2024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7"/>
                <w:szCs w:val="17"/>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5"/>
        </w:trPr>
        <w:tc>
          <w:tcPr>
            <w:tcW w:w="4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98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4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1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6"/>
                <w:szCs w:val="26"/>
                <w:color w:val="auto"/>
                <w:vertAlign w:val="superscript"/>
              </w:rPr>
              <w:t>1</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Obexelimab</w:t>
            </w:r>
          </w:p>
        </w:tc>
        <w:tc>
          <w:tcPr>
            <w:tcW w:w="5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20,753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56,408</w:t>
            </w: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9"/>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5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30"/>
        </w:trPr>
        <w:tc>
          <w:tcPr>
            <w:tcW w:w="41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Unallocated research and development</w:t>
            </w:r>
            <w:r>
              <w:rPr>
                <w:rFonts w:ascii="Times New Roman" w:cs="Times New Roman" w:eastAsia="Times New Roman" w:hAnsi="Times New Roman"/>
                <w:sz w:val="26"/>
                <w:szCs w:val="26"/>
                <w:color w:val="auto"/>
                <w:vertAlign w:val="superscript"/>
              </w:rPr>
              <w:t>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10,607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w:t>
            </w:r>
          </w:p>
        </w:tc>
      </w:tr>
      <w:tr>
        <w:trPr>
          <w:trHeight w:val="230"/>
        </w:trPr>
        <w:tc>
          <w:tcPr>
            <w:tcW w:w="410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6"/>
                <w:szCs w:val="26"/>
                <w:color w:val="auto"/>
                <w:vertAlign w:val="superscript"/>
              </w:rPr>
              <w:t>3</w:t>
            </w:r>
          </w:p>
        </w:tc>
        <w:tc>
          <w:tcPr>
            <w:tcW w:w="5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r>
      <w:tr>
        <w:trPr>
          <w:trHeight w:val="230"/>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30"/>
        </w:trPr>
        <w:tc>
          <w:tcPr>
            <w:tcW w:w="41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6"/>
                <w:szCs w:val="26"/>
                <w:color w:val="auto"/>
                <w:vertAlign w:val="superscript"/>
              </w:rPr>
              <w:t>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(7,778)</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(104,384)</w:t>
            </w:r>
          </w:p>
        </w:tc>
      </w:tr>
      <w:tr>
        <w:trPr>
          <w:trHeight w:val="20"/>
        </w:trPr>
        <w:tc>
          <w:tcPr>
            <w:tcW w:w="4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right="79" w:hanging="10"/>
        <w:spacing w:after="0" w:line="192" w:lineRule="auto"/>
        <w:tabs>
          <w:tab w:leader="none" w:pos="141"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Direct research and development expenses primarily consist of direct costs incurred to specific program research and development activities, including costs to conduct clinical trials and to manufacture clinical drug supply.</w:t>
      </w:r>
    </w:p>
    <w:p>
      <w:pPr>
        <w:spacing w:after="0" w:line="151" w:lineRule="exact"/>
        <w:rPr>
          <w:sz w:val="20"/>
          <w:szCs w:val="20"/>
          <w:color w:val="auto"/>
        </w:rPr>
      </w:pPr>
    </w:p>
    <w:p>
      <w:pPr>
        <w:jc w:val="both"/>
        <w:ind w:left="60" w:right="59" w:hanging="10"/>
        <w:spacing w:after="0" w:line="204" w:lineRule="auto"/>
        <w:tabs>
          <w:tab w:leader="none" w:pos="15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Unallocated research and development expenses primarily consist of indirect costs incurred in support of overall research and development activities and non-specific programs, including activities that benefit multiple programs, such as personnel costs for employees involved in research and development activities, excluding stock-based compensation, as well as contract services not allocated to specific programs.</w:t>
      </w:r>
    </w:p>
    <w:p>
      <w:pPr>
        <w:spacing w:after="0" w:line="152" w:lineRule="exact"/>
        <w:rPr>
          <w:sz w:val="20"/>
          <w:szCs w:val="20"/>
          <w:color w:val="auto"/>
        </w:rPr>
      </w:pPr>
    </w:p>
    <w:p>
      <w:pPr>
        <w:ind w:left="60" w:right="79" w:hanging="10"/>
        <w:spacing w:after="0" w:line="192" w:lineRule="auto"/>
        <w:tabs>
          <w:tab w:leader="none" w:pos="141"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General and administrative expenses primarily consist of professional fees, depreciation expense, facilities expenses as well as all other personnel costs, excluding stock-based compensation.</w:t>
      </w:r>
    </w:p>
    <w:p>
      <w:pPr>
        <w:spacing w:after="0" w:line="164" w:lineRule="exact"/>
        <w:rPr>
          <w:sz w:val="20"/>
          <w:szCs w:val="20"/>
          <w:color w:val="auto"/>
        </w:rPr>
      </w:pPr>
    </w:p>
    <w:p>
      <w:pPr>
        <w:ind w:left="60" w:right="79" w:hanging="10"/>
        <w:spacing w:after="0" w:line="192" w:lineRule="auto"/>
        <w:tabs>
          <w:tab w:leader="none" w:pos="15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Other segment items consist of other income (expense), net, and income tax benefit (provision). Other income (expense), net consists of interest income, interest expense related to the royalty obligation and realized and unrealized gains and losses on foreign currency transactions.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5" w:name="page26"/>
    <w:bookmarkEnd w:id="25"/>
    <w:p>
      <w:pPr>
        <w:ind w:left="700" w:hanging="650"/>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InnoCare Pharma Inc.</w:t>
      </w:r>
    </w:p>
    <w:p>
      <w:pPr>
        <w:spacing w:after="0" w:line="17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October 2025, the Company entered into a License Agreement (the “InnoCare License Agreement”) with InnoCare Pharma Inc. (“InnoCare”). Under the InnoCare License Agreement, InnoCare granted the Company exclusive rights to develop, manufacture, and commercialize: i) orelabrutinib, in the multiple sclerosis (“MS”) field worldwide, and in all non-oncology indications outside Greater China and Brunei, Burma, Cambodia, Timor-Leste, Indonesia, Laos, Malaysia, Philippines, Singapore, Thailand and Vietnam (“Southeast Asia”), ii) ZB021 (an IL-17AA/AF inhibitor) in all fields of use worldwide, excluding Greater China and Southeast Asia and iii) ZB022 (a TYK2 inhibitor) in all fields of use worldwide. The Company also obtained certain non-exclusive rights to perform development and manufacturing activities in Greater China and Southeast Asia to support each program in its respective licensed territories.</w:t>
      </w:r>
    </w:p>
    <w:p>
      <w:pPr>
        <w:spacing w:after="0" w:line="13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InnoCare License Agreement, the Company agreed to make a one-time non-refundable upfront cash payment of $35.0 million, $5.0 million of which was paid as of September 30, 2025, prior to the transaction closing and was recorded in the condensed consolidated statement of operations and comprehensive loss as acquired in-process research and development. The Company also agreed to issue upfront, 5,000,000 shares of common stock to InnoCare in a private placement in exchange for these rights.</w:t>
      </w:r>
    </w:p>
    <w:p>
      <w:pPr>
        <w:spacing w:after="0" w:line="1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is also required to make an additional one-time non-refundable cash payment of $25.0 million and issue an additional 2,000,000 shares of common stock through a private placement upon the occurrence of Zenas’ initiated Phase 3 clinical trial for orelabrutinib in any indication other than primary progressive MS, or by March 31, 2026, upon the occurrence of certain specified events, whichever comes first. In addition, the Company has agreed to make one-time, potential near-term milestone payments of $20 million each, upon the achievement of certain regulatory milestones for ZB021 and ZB022 (the “Regulatory Milestones”).</w:t>
      </w:r>
    </w:p>
    <w:p>
      <w:pPr>
        <w:spacing w:after="0" w:line="13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is further obligated to pay future regulatory and commercial milestones of up to $723.0 million related to orelabrutinib, and future development, regulatory, and commercial milestones of up to $656.0 million, inclusive of the two $20.0 million Regulatory Milestones specified above, for each preclinical compound if certain milestones are successfully achieved. In addition, the Company may be obligated to pay royalties on net sales at rates ranging from high-single digits to high-teens for orelabrutinib, and mid-single digits to mid-teens for the preclinical compounds.</w:t>
      </w:r>
    </w:p>
    <w:p>
      <w:pPr>
        <w:spacing w:after="0" w:line="1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obligated to reimburse InnoCare approximately $4.0 million, for certain costs related to the acquired programs which were incurred prior to and after the effective date of the InnoCare License Agreement, including clinical trial startup costs and Investigational New Drug (“IND”) enabling activities.</w:t>
      </w:r>
    </w:p>
    <w:p>
      <w:pPr>
        <w:spacing w:after="0" w:line="12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simultaneously entered into a Subscription Agreement and Registration Rights Agreement with InnoCare related to the shares of common stock issued and to be issued in the private placement. The Subscription Agreement provides transfer restrictions on the InnoCare shares and other customary representations, warranties and covenants that were made solely for the benefit of the parties to the Securities Purchase Agreement.</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PIPE</w:t>
      </w:r>
    </w:p>
    <w:p>
      <w:pPr>
        <w:spacing w:after="0" w:line="17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October 2025, the Company entered into a Securities Purchase Agreement and Registration Rights Agreement related to the PIPE transaction, pursuant to which the Company sold (i) 6,262,112 shares of common stock to certain institutional and accredited investors at a price of $19.00 per share and (ii) 48,918 shares of common stock to certain directors and officers of the Company at a price of $20.85 per share for gross proceeds of approximately $120.0 million, before deducting placement agent fees and other offering expenses.</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 the-Market (“ATM”) Program</w:t>
      </w:r>
    </w:p>
    <w:p>
      <w:pPr>
        <w:spacing w:after="0" w:line="17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October 2025, the Company filed a registration statement on Form S-3 (the “Registration Statement”) with the SEC, which registered the offering, issuance and sale of common stock, preferred stock, warrants and debt securities, or any combination thereof, in an amount and on terms that the Company will determine at the time of the respective offering. The Company simultaneously entered into a sales agreement with Jefferies LLC as sales agent to provide for the issuance and sale by the Company of up to $200.0 million of common stock from time to time in ATM offerings under the Registration Statement.</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and the audited financial information and the notes thereto included in our Annual Report on Form 10-K that was filed with the Securities and Exchange Commission, or SEC, on March 11, 2025. This discussion and analysis contains forward-looking statements based upon current beliefs, plans, and expectations related to future events and our future performance that involves risks, uncertainties, and assumptions, such as statements regarding our intentions, plans, objectives, and expectations for our business. Our actual results and the timing of events could differ materially from those discussed in these forward-looking statements as a result of several factors, including those set forth in the section titled “Risk Factors” in this Quarterly Report on Form 10-Q. See also the section titled “Special Note Regarding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developing obexelimab as a potential I&amp;I franchise for patients in several autoimmune diseases, representing substantial commercial opportunities individually and in the aggregate. The first three indications we are pursuing include IgG4-RD through an ongoing registration-directed Phase 3 trial (the “INDIGO” trial), systemic lupus erythematosus (“SLE”) through an ongoing Phase 2, double-blind, randomized, placebo-controlled trial (the “SunStone” trial), and relapsing multiple sclerosis (“RMS”) through an ongoing Phase 2, double-blind, randomized, placebo-controlled trial (the “MoonStone” trial).</w:t>
      </w:r>
    </w:p>
    <w:p>
      <w:pPr>
        <w:spacing w:after="0" w:line="21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October 27, 2025, we announced topline data from the MoonStone trial. Obexelimab met the primary endpoint, demonstrating a statistically significant 95% relative reduction in the cumulative number of new gadolinium-enhancing T1 hyperintense lesions, which are markers of active inflammation, over week 8 and week 12 compared with placebo (p=0.0009). The Company expects to report 24-week data from the MoonStone trial in the first quarter of 2026, which will include additional secondary and exploratory endpoints. The 24-week data from additional secondary and exploratory endpoints may inform obexelimab’s potential impact on disability progression and help the Company determine next steps for future development of obexelimab in RMS. In the fourth quarter of 2024, we completed the target enrollment of the INDIGO trial and expect to report topline results from the INDIGO trial around year-end 2025. If the topline results are positive, we expect to file a Biologics License Application (“BLA”) with the U.S. Food and Drug Administration (“FDA”) in the first half of 2026, followed by a Marketing Authorization Application with the European Medicines Agency (“EMA”), and, if approved, commence the commercial launch initially in the U.S. and then in Europe. We expect to report topline results from the SunStone trial in mid-2026. Based on the outcome of the SunStone trial, and considering other factors, we may initiate a Phase 3 program in patients with SLE in the first half of 2027.</w:t>
      </w:r>
    </w:p>
    <w:p>
      <w:pPr>
        <w:spacing w:after="0" w:line="22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October 7, 2025, we entered into a License Agreement with InnoCare Pharma Inc. pursuant to which we were granted exclusive rights to develop, manufacture, and commercialize orelabrutinib, a Bruton’s Tyrosine Kinase inhibitor (“BTK”),</w:t>
      </w:r>
    </w:p>
    <w:p>
      <w:pPr>
        <w:sectPr>
          <w:pgSz w:w="11900" w:h="16838" w:orient="portrait"/>
          <w:cols w:equalWidth="0" w:num="1">
            <w:col w:w="9019"/>
          </w:cols>
          <w:pgMar w:left="1440" w:top="1265"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7" w:name="page28"/>
    <w:bookmarkEnd w:id="27"/>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multiple sclerosis worldwide, and in all non-oncology indications worldwide excluding mainland China, Hong Kong, Macau and Taiwan (“Greater China”), and Brunei, Burma, Cambodia, Timor-Leste, Indonesia, Laos, Malaysia, Philippines, Singapore, Thailand and Vietnam (“Southeast Asia”), as well as two early-development product candidates: ZB021, an IL-17AA/AF inhibitor, in all fields of use worldwide excluding Greater China and Southeast Asia, and ZB022, a TYK2 inhibitor, in all fields of use worldwide.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Orelabrutinib is a highly selective and central nervous system (“CNS”)-penetrant, oral small molecule BTK inhibitor. Orelabrutinib is designed to bind irreversibly to BTK with minimal off-target effects, which may potentially reduce certain side effects. We believe orelabrutinib is designed to efficiently cross the blood-brain barrier, reaching therapeutic levels within the CNS to directly target inflammation in diseases like MS.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2025, the Phase 3 clinical trial of orelabrutinib in patients with Primary Progressive Multiple Sclerosis (“PPMS”) was initiated. The Phase 3 trial of orelabrutinib in patients with PPMS is a global, multicenter, randomized, double-blind, placebo-controlled clinical trial evaluating the safety and efficacy of orelabrutinib dosed 80 mg once daily (“QD”) compared to placebo in patients with PPMS, with a primary endpoint of time to onset of 12-week composite confirmed disability progression (“cCDP”). In the first quarter of 2026, we plan to initiate a second global, Phase 3, multicenter, randomized, double-blind, placebo-controlled clinical trial evaluating orelabrutinib dosed 80 mg QD compared to placebo in patients with Secondary Progressive Multiple Sclerosis (“SPMS”), with a primary endpoint of time to onset of 24-week CDP.</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ZB021 is an oral IL-17AA/AF inhibitor designed to block both IL-17AA homodimer and IL-17AF heterodimer signaling. Preclinical studies for ZB021 have shown favorable PK and ADME properties. ZB021 achieved comparable activity in vivo to a reference anti-IL-17 biologic in a rat CIA model. Subject to the results of Investigational New Drug (“IND”)-enabling studies, we expect to submit an IND application for ZB021, and if cleared, initiate a Phase 1 clinical study in 2026.</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ZB022 is an oral, brain-penetrant TYK2-JH2 inhibitor, currently in IND-enabling studies. Subject to the results of IND-enabling studies, we expect to submit an IND application for ZB022, and if cleared, initiate a Phase 1 clinical study in 2026.</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Beyond our lead product candidates, we have two other programs for the potential treatment of other I&amp;I indications that we may continue to advance and ultimately commercialize with partners. These consist of ZB002 and ZB004. We retain global rights for both assets. In addition, we hold the development and commercialization rights to one regional program, ZB001, and related programs, which were exclusively sublicensed to a partner in China, as discussed below.</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16, 2024, we completed our initial public offering (“IPO”) in which we issued and sold an aggregate of 15,220,588 shares of our common stock, including 1,985,294 shares of common stock sold pursuant to the full exercise of the underwriter’s option to purchase additional shares, at a public offering price of $17.00 per share, for aggregate gross proceeds of $258.7 million. We received $234.3 million in net proceeds after deducting underwriting discounts, commissions and other offering expenses.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October 21, 2024, we entered into the Novation Agreement with Tenacia, under which we transferred our rights and obligations under our agreements with Dianthus to Tenacia for ZB005. As partial consideration for the Tenacia Agreement, we received a non-creditable, non-refundable upfront fee of $5.0 million from Tenacia. In addition, we are eligible to receive up to $86.0 million upon the achievement of certain future regulatory and commercial milestones.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24, 2025, the Company entered into the Zai License Agreement, with Zai, under which the Company granted Zai an exclusive sublicense to develop and commercialize ZB001 and related programs in greater China. As partial consideration for the Zai License Agreement, the Company received an upfront fee of $10.0 million from Zai. In addition, the Company is eligible to receive up to $96.0 million upon the achievement of certain future development and commercial milestones and royalty percentage rates from the low to mid-single digits, net of pass-through obligations due to Viridian.</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September 2, 2025, the Company and Royalty Pharma Investments 2019 ICAV (“Royalty Pharma”) entered into the Revenue Participation Right Purchase and Sale Agreement (the “Royalty Purchase Agreement”), pursuant to which</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8" w:name="page29"/>
    <w:bookmarkEnd w:id="28"/>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Royalty Pharma purchased the right to receive, for each calendar quarter, (i) 5.5% of net sales of obexelimab products sold by Zenas and its affiliates worldwide, (ii) 5.5% of net sales of obexelimab products sold by licensees of Zenas and its affiliates in the U.S., the United Kingdom and the European Union, (iii) 25% of royalty income payable to Zenas or any of its affiliates on sales of obexelimab products in countries other than the U.S., the United Kingdom, and in the European Union by its licensees pursuant to out-licenses less royalty payments payable by Zenas to Xencor Inc. and (iv) 25% of non-royalty income attributable to obexelimab products payable to Zenas or any of its affiliates by its licensees (other than certain milestone payments payable by Bristol-Myers Squibb) pursuant to out-licenses and allocated to countries other than the U.S., the United Kingdom and in the European Union.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September 30, 2025, we have financed our operations primarily with the proceeds from the issuance of convertible preferred stock, our convertible notes, payments received under our license and collaboration agreements and from the sale of common stock in our IPO completed in September 2024. Additionally, on October 9, 2025, we closed our private investment in public equity (“PIPE”) of 6,311,030 shares of common stock for gross proceeds of approximately $120.0 million, before deducting placement agent fees and other expenses.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three and nine months ended September 30, 2025 were $51.5 million and $137.3 million, respectively, and we recorded net loss of $38.6 million and $104.4 million, for the three and nine months ended September 30, 2024. As of September 30, 2025, we had an accumulated deficit of $524.7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192"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orelabrutinib and our other programs;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and orelabrutinib programs and our other product candidates through preclinical development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and defend our intellectual property portfolio, including against third-party interference, infringement and other intellectual property claims, if any;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hire and retain qualified clinical, scientific, operations and management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9" w:name="page30"/>
    <w:bookmarkEnd w:id="29"/>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cannot assure investors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expect to continue to incur significant losses for the foreseeable future as we continue to advance the development of our product candidates and incur additional costs associated with being a public company. Our net losses may fluctuate significantly from period to period, depending on the timing of our planned clinical studies and expenditures related to our research and development activities. Cash used to fund operating expenses is impacted by the timing of when we pay these expenses, as reflected in the change in our accounts payable and accrued research and development and other current liabilities.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need to continue to raise substantial additional capital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prospects,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had $301.6 million in cash, cash equivalents and investments as of September 30, 2025. Based on our current operating plans, including $120.0 million of gross proceeds from the PIPE received in October 2025 (</w:t>
      </w:r>
      <w:r>
        <w:rPr>
          <w:rFonts w:ascii="Times New Roman" w:cs="Times New Roman" w:eastAsia="Times New Roman" w:hAnsi="Times New Roman"/>
          <w:sz w:val="18"/>
          <w:szCs w:val="18"/>
          <w:i w:val="1"/>
          <w:iCs w:val="1"/>
          <w:color w:val="auto"/>
        </w:rPr>
        <w:t>Note 16, Subsequent Events</w:t>
      </w:r>
      <w:r>
        <w:rPr>
          <w:rFonts w:ascii="Times New Roman" w:cs="Times New Roman" w:eastAsia="Times New Roman" w:hAnsi="Times New Roman"/>
          <w:sz w:val="18"/>
          <w:szCs w:val="18"/>
          <w:color w:val="auto"/>
        </w:rPr>
        <w:t>), we expect that our existing cash, cash equivalents and investments will be sufficient to fund our capital and operating expenditures into the fourth quarter of 2026, however it will not be sufficient to fund our operations and capital expenditure requirements for at least twelve months from the date our condensed consolidated financial statements are issued and accordingly have concluded that there is substantial doubt with respect to our ability to continue as a going concern. Our financial statements do not include any adjustments or changes in classification of assets or liabilities that may result from our possible inability to continue as a going concern. However, we expect to finance our operations through private or public equity financing, debt financing or other capital resources. We have based this estimate on our current assumptions, which may prove to be wrong, and we may exhaust our available capital resources sooner than we expect. See section titled “Liquidity and Capital Resources”.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current geopolitical, trade, regulatory and economic environment, including, but not limited to the imposition of new tariffs or increases in tariff rates and other trade measures, may materially affect our business and operating results by increasing the costs of our clinical trial materials and supplies, which in turn increase our overhead costs.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Such economic conditions could increase our operating costs, including our labor costs and research and development costs. For example, we import drug products and other components from and into China for use in the manufacturing process and in our clinical studies, and such components and products are subject to tariffs, which we anticipate will result in increased costs. Our operating and labor costs and research and development costs may also be negatively impacted due to supply chain constraints, global geopolitical tensions, worsening macroeconomic conditions and employee availability and wage increases, which may result in additional stress on our working capital.</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we are subject to other challenges and risk specific to our business and our ability to execute on our strategy, as well as risks and uncertainties common to companies in the clinical stage biopharmaceutical industry.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is generated from our BMS Agreement, our Tenacia Agreement and our Zai License Agreement.</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Tenacia Agreement, we transferred our rights, title, interest, liabilities, duties and obligations under the Option and License Agreements with Dianthus to Tenacia for ZB005. The revenue recognized to date pursuant to this arrangement relates to the novation of the ZB005 license, asset transfer and technology transfer, which was recognized upon delivery of the license, related assets and technology transfer. We will recognize development and regulatory milestones as defined in the Tenacia Agreement when the achievement of the underlying milestone events is deemed probable, which is expected to be upon achievement. Sales milestones and royalties on future sales will be recognized in the period the related sales occur.</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Zai License Agreement, we granted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future development and commercial milestones and royalty percentage rates from the low to mid-single digits, net of pass-through obligations due to Viridian.</w:t>
      </w:r>
    </w:p>
    <w:p>
      <w:pPr>
        <w:sectPr>
          <w:pgSz w:w="11900" w:h="16838" w:orient="portrait"/>
          <w:cols w:equalWidth="0" w:num="1">
            <w:col w:w="9019"/>
          </w:cols>
          <w:pgMar w:left="1440" w:top="1265"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31" w:name="page32"/>
    <w:bookmarkEnd w:id="31"/>
    <w:p>
      <w:pPr>
        <w:spacing w:after="0" w:line="43"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For a more detailed description of these agreements,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xml:space="preserve"> to our condensed consolidated financial statements in this Quarterly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preclinical and clinical development of our product candidates, and include: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 Costs:</w:t>
      </w:r>
    </w:p>
    <w:p>
      <w:pPr>
        <w:spacing w:after="0" w:line="227"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consultants that conduct our 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CMOs for manufacturing material for our preclinical studies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and maintain licenses to intellectual property, and related future payments should milestones described in those agreements be achieved;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Indirect Costs:</w:t>
      </w:r>
    </w:p>
    <w:p>
      <w:pPr>
        <w:spacing w:after="0" w:line="227" w:lineRule="exact"/>
        <w:rPr>
          <w:sz w:val="20"/>
          <w:szCs w:val="20"/>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activities;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these external development activities are based on the terms of the individual agreements, which may differ from the pattern of costs incurred, and are reflected in our condensed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Where we share costs with our collaboration partners, such as in our BMS Agreement, research and development expenses may include cost sharing reimbursements from our partner.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187" w:lineRule="exact"/>
        <w:rPr>
          <w:sz w:val="20"/>
          <w:szCs w:val="20"/>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studies and other research and development activities associated with the development of our current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our product candidates if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3" w:name="page34"/>
    <w:bookmarkEnd w:id="33"/>
    <w:p>
      <w:pPr>
        <w:jc w:val="both"/>
        <w:ind w:left="720" w:right="79" w:hanging="319"/>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as well as tariffs that impact the biopharmaceutical industry generally;</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IND, we could be required to expend significant additional financial resources and time to complete clinical development than we currently expect. We may never obtain regulatory approval for any product candidates that we develop.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21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 We will also incur pre-commercialization expenses to facilitate commercial readiness, if a product candidate is approved.</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expense acquisition costs for assets purchased for use in research and development activities that have no alternative future use as in-process research and development (“IPR&amp;D”) expenses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income (expense), net primarily consists of interest income generated from cash equivalents and investments and realized and unrealized gains and losses on foreign currency transactions and interest expense related to our royalty obligation.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Obexelimab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$34.4 million for the three months ended September 30, 2025, compared to $33.5 million for the three months ended September 30, 2024. The increase of $0.9 million was primarily attributable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color w:val="auto"/>
        </w:rPr>
        <w:t>the following:</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decrease in costs related to the development of obexelimab, our lead product candidate, primarily driven by a $3.6 million decrease in manufacturing costs for clinical trial materials and partially offset by a $2.8 million increase in clinical trial and regulatory costs;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decrease in costs related to our partnered regional programs, including a $1.9 million decrease related to ZB005 and a $0.3 million decrease related to ZB001, as a result of transitioning these programs to Tenacia and Zai, respectively;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increase in personnel costs, including a $2.2 million increase in salary and benefit related expense, primarily due to an increase in headcount, a $1.1 million increase in stock-based compensation expense, and a $0.1 million increase in external contractor expenses and other personnel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9"/>
        </w:trPr>
        <w:tc>
          <w:tcPr>
            <w:tcW w:w="52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Personnel related expenses (including stock-based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w:t>
            </w:r>
          </w:p>
        </w:tc>
        <w:tc>
          <w:tcPr>
            <w:tcW w:w="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$13.2 million for the three months ended September 30, 2025, compared to $7.5 million for the three months ended September 30, 2024. The increase of $5.7 million was primarily attributable to the following:</w:t>
      </w:r>
    </w:p>
    <w:p>
      <w:pPr>
        <w:spacing w:after="0" w:line="176" w:lineRule="exact"/>
        <w:rPr>
          <w:sz w:val="20"/>
          <w:szCs w:val="20"/>
          <w:color w:val="auto"/>
        </w:rPr>
      </w:pPr>
    </w:p>
    <w:p>
      <w:pPr>
        <w:jc w:val="both"/>
        <w:ind w:left="380" w:right="79" w:hanging="330"/>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 million increase in personnel costs, including a $3.3 million increase in stock-based compensation expense, and a $0.7 million increase in salary and benefit related expenses, primarily due to an increase in headcount associated with pre-commercialization activities partially offset by a $0.1 million decrease in contractor-related expenses.</w:t>
      </w:r>
    </w:p>
    <w:p>
      <w:pPr>
        <w:spacing w:after="0" w:line="17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increase in professional fees, including legal, audit and tax expenses, primarily attributable to operating as a public company; and</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increase in facilities and other expenses, primarily attributable to facility, insurance and other variable costs related to operating as a public company.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was $5.0 million for the three months ended September 30, 2025 related to a deposit paid toward the $35.0 million upfront payment for the exclusive rights to develop and manufacture product candidates under the License Agreement with InnoCare.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Total other income (expense), net was $1.1 million for the three months ended September 30, 2025, was due to an increase in interest income related to our cash equivalents and investments, partially offset by interest expense related to our royalty obligation.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8"/>
                <w:szCs w:val="18"/>
                <w:color w:val="auto"/>
              </w:rPr>
            </w:pPr>
          </w:p>
        </w:tc>
        <w:tc>
          <w:tcPr>
            <w:tcW w:w="114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(137,295)</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(104,384)</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revenue increased $10.0 million, compared to the same period in 2024. The increase is related to the one-time non-refundable upfront cash payment under the Zai License Agreement that was recognized upon delivery of the license and related technology transfer. We did not recognize any license and collaboration revenue during the nine months ended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Obexelimab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$112.3 million for the nine months ended September 30, 2025, compared to $90.0 million for the nine months ended September 30, 2024. The increase of $22.4 million was primarily attributable to the following:</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$17.6 million increase in costs related to the development of obexelimab, our lead product candidate, primarily driven by a $11.2 million increase in clinical trial and regulatory costs and a $5.6 million increase in manufacturing costs for clinical trial materials;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 million decrease in costs related to our partnered regional programs, including a $4.6 million decrease related to ZB005 and a $1.6 million decrease related ZB001, as a result of transitioning these programs to Tenacia and Zai, respectively;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$11.3 million increase in personnel costs, including a $7.2 million increase in salary and benefit related expenses, primarily due to an increase in headcount, a $3.7 million increase in stock-based compensation expense, and a $0.4 million increase in external contractor expenses and other personnel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8"/>
                <w:szCs w:val="18"/>
                <w:color w:val="auto"/>
              </w:rPr>
            </w:pP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9"/>
        </w:trPr>
        <w:tc>
          <w:tcPr>
            <w:tcW w:w="52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Personnel related expenses (including stock-based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$37.7 million for the nine months ended September 30, 2025, compared to $18.3 million for the nine months ended September 30, 2024. The increase of $19.4 million was primarily attributable to the following:</w:t>
      </w:r>
    </w:p>
    <w:p>
      <w:pPr>
        <w:spacing w:after="0" w:line="176" w:lineRule="exact"/>
        <w:rPr>
          <w:sz w:val="20"/>
          <w:szCs w:val="20"/>
          <w:color w:val="auto"/>
        </w:rPr>
      </w:pPr>
    </w:p>
    <w:p>
      <w:pPr>
        <w:ind w:left="380" w:right="79" w:hanging="330"/>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$14.3 million increase in personnel costs, primarily including a $9.7 million increase in stock-based compensation expense, a $4.4 million increase in salary and benefit related expense, primarily due to an increase in headcount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38" w:name="page39"/>
    <w:bookmarkEnd w:id="38"/>
    <w:p>
      <w:pPr>
        <w:ind w:left="380" w:right="79"/>
        <w:spacing w:after="0" w:line="282" w:lineRule="auto"/>
        <w:rPr>
          <w:sz w:val="20"/>
          <w:szCs w:val="20"/>
          <w:color w:val="auto"/>
        </w:rPr>
      </w:pPr>
      <w:r>
        <w:rPr>
          <w:rFonts w:ascii="Times New Roman" w:cs="Times New Roman" w:eastAsia="Times New Roman" w:hAnsi="Times New Roman"/>
          <w:sz w:val="18"/>
          <w:szCs w:val="18"/>
          <w:color w:val="auto"/>
        </w:rPr>
        <w:t>associated with pre-commercialization activities, a $0.6 million increase in recruiting expense partially offset by a $0.4 million decrease in contractor-related expenses;</w:t>
      </w:r>
    </w:p>
    <w:p>
      <w:pPr>
        <w:spacing w:after="0" w:line="162" w:lineRule="exact"/>
        <w:rPr>
          <w:sz w:val="20"/>
          <w:szCs w:val="20"/>
          <w:color w:val="auto"/>
        </w:rPr>
      </w:pPr>
    </w:p>
    <w:p>
      <w:pPr>
        <w:ind w:left="380" w:right="79" w:hanging="330"/>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increase in professional fees, including legal, audit and tax expenses, primarily attributable to operating as a public company; and</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facilities and other expenses, primarily attributable to facility, insurance and other variable costs related to operating as a public company.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was $5.0 million for the nine months ended September 30, 2025, related to a deposit paid toward the $35.0 million upfront payment for the exclusive rights to develop and manufacture product candidates under the License Agreement with InnoCare.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Total other income (expense), net was $7.6 million for the nine months ended September 30, 2025, was due to an increase in interest income related to our cash equivalents and investments, partially offset by interest expense related to our royalty obligation.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We have not yet commercialized any product candidates, and we do not expect to generate revenue from sales of any product candidates or from other sources for several years, if at all. As of September 30, 2025, we had $301.6 million in cash, cash equivalents, and investments and we had an accumulated deficit of $524.7 million. Additionally, on October 9, 2025, we closed a PIPE of 6,311,030 shares of common stock for gross proceeds of approximately $120.0 million, before deducting placement fees and other expenses. Through September 30, 2025, we have funded our operations primarily with gross proceeds of $358.0 million through the sale and issuance of our preferred stock, our convertible notes, as well as $65.0 million through our BMS Agreement, Tenacia Agreement and Zai Agreement, collectively, $75.0 million through our Royalty Purchase Agreement, and from the sale of common stock in our IPO for which we received $234.3 million in net proceeds, after deducting underwriting discounts, commissions and other offering expenses.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that our available cash, cash equivalents and investments, as of September 30, 2025, together with the $120.0 million of gross proceeds from the PIPE received in October 2025 (</w:t>
      </w:r>
      <w:r>
        <w:rPr>
          <w:rFonts w:ascii="Times New Roman" w:cs="Times New Roman" w:eastAsia="Times New Roman" w:hAnsi="Times New Roman"/>
          <w:sz w:val="18"/>
          <w:szCs w:val="18"/>
          <w:i w:val="1"/>
          <w:iCs w:val="1"/>
          <w:color w:val="auto"/>
        </w:rPr>
        <w:t>Note 16, Subsequent Events</w:t>
      </w:r>
      <w:r>
        <w:rPr>
          <w:rFonts w:ascii="Times New Roman" w:cs="Times New Roman" w:eastAsia="Times New Roman" w:hAnsi="Times New Roman"/>
          <w:sz w:val="18"/>
          <w:szCs w:val="18"/>
          <w:color w:val="auto"/>
        </w:rPr>
        <w:t>), will be sufficient to fund our operating and capital expenditures into the fourth quarter of 2026, however it will not be sufficient to fund our operations and capital expenditure requirements for at least the next 12 months from the filing of this Quarterly Report and accordingly have concluded that there is substantial doubt with respect to our ability to continue as a going concern. Our financial statements do not include any adjustments or changes in classification of assets or liabilities that may result from our possible inability to continue as a going concern. However, we expect to finance our operations through private or public equity financing, debt financing or other capital resources.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uses of capital are, and we expect to continue to be, third-party clinical research and development services, manufacturing costs, compensation and related expenses, legal and other regulatory expenses and general overhead costs. We have based our estimates on assumptions that may prove to be incorrect, and we could use our capital resources sooner than we currently expect.</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39" w:name="page40"/>
    <w:bookmarkEnd w:id="39"/>
    <w:p>
      <w:pPr>
        <w:ind w:left="60" w:right="59"/>
        <w:spacing w:after="0" w:line="282" w:lineRule="auto"/>
        <w:rPr>
          <w:sz w:val="20"/>
          <w:szCs w:val="20"/>
          <w:color w:val="auto"/>
        </w:rPr>
      </w:pPr>
      <w:r>
        <w:rPr>
          <w:rFonts w:ascii="Times New Roman" w:cs="Times New Roman" w:eastAsia="Times New Roman" w:hAnsi="Times New Roman"/>
          <w:sz w:val="18"/>
          <w:szCs w:val="18"/>
          <w:color w:val="auto"/>
        </w:rPr>
        <w:t>commercialization of our product candidates or whether, or when, we may achieve profitability. Our future funding requirements will depend on, and could increase significantly as a result of, many factors, including:</w:t>
      </w:r>
    </w:p>
    <w:p>
      <w:pPr>
        <w:spacing w:after="0" w:line="162"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our ongoing clinical studies and other research and development activities associated with the development of our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product candidates receive marketing approval;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implementing operational, financial and management systems;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partnerships or marketing, distribution, licensing or other strategic arrangements with third parties on favorable terms, if at all;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milestone payments related to or royalties on, current or future product candidates, if any;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 including legal, accounting or other expenses in operating our business.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 and additional funding from licenses, strategic alliances and collaboration arrangements. Except for any obligations of our collaborators to reimburse us for research and development expenses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0" w:name="page41"/>
    <w:bookmarkEnd w:id="40"/>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make milestone or royalty payments under our agreements with them, we will not have any committed external source of liquidity.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We anticipate that we will continue to incur significant losses for at least the next several years. We expect our research and development, and general and administrative expenses will continue to increase. As a result, we will need additional capital to fund our operations, which we may raise through a combination of the sale of our equity, debt financings, or other sources, including potential collaborations. To the extent that we raise capital through the future sale of equity or convertible debt securities, the ownership interest of our stockholders will be diluted, and the terms of these securities may include liquidation or other preferences that adversely affect the rights of our existing common stockholders. If we enter into debt financing arrangements, if available, they may involve restrictive covenants that limit our ability to take specific actions, such as incurring additional debt, making capital expenditures or declaring dividends, which could adversely impact our ability to conduct our business.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licenses, strategic alliances or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presented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6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4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(158,522)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(26,817)</w:t>
            </w: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411,105</w:t>
            </w:r>
          </w:p>
        </w:tc>
        <w:tc>
          <w:tcPr>
            <w:tcW w:w="14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r>
      <w:tr>
        <w:trPr>
          <w:trHeight w:val="209"/>
        </w:trPr>
        <w:tc>
          <w:tcPr>
            <w:tcW w:w="6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was $119.9 million, and was primarily due to our net loss of $137.3 million and a decrease of $11.2 million in accounts payable and a decrease of $0.8 million in prepaid expenses and other assets, partially offset by $18.8 million of stock-based compensation expense, a $5.0 million increase in accrued expenses, an adjustment to cash used in operations of $5.0 million related to acquired in-process research and development expense for a deposit paid toward the $35.0 million upfront payment under the License Agreement with InnoCare. The net increase in accrued expenses was primarily due to an increase in clinical study expenses, while the decrease in accounts payable was primarily due to the timing of vendor payments.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$81.2 million, and was primarily due to our net loss of $104.4 million, partially offset by $6.3 million increase in accounts payable, a $10.2 million increase in accrued expenses, a $0.5 million increase in prepaid expenses and other assets, a $0.8 million increase in the fair value of our BMS Note liability and $5.3 million of stock-based compensation expense. The increase in accrued expenses and accounts payable was primarily attributable to an increase in research and development expenses, while the increase in prepaid expenses and other assets was primarily due to the timing of vendor payments.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was $158.5 million and consisted primarily of purchases of investments of $284.9 million and $5.0 million payment as a deposit toward the $35.0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1" w:name="page42"/>
    <w:bookmarkEnd w:id="41"/>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upfront payment under the License Agreement with InnoCare, partially offset by proceeds from sales and maturities of investments of $131.4 million.</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$26.8 million and consisted of purchases of investments of $26.8 million and purchases of property and equipment of $0.1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was $74.4 million, resulting from $75.0 million in gross proceeds received in connection with the royalty obligation and $2.5 million of proceeds received from the exercise of stock options, offset by $3.3 million of payments related to deferred offering costs.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$411.1 million, resulting from $178.4 million in net proceeds received from the issuance and sale of shares of our Series C Preferred Stock, net proceeds from our IPO of $234.4 million, and $0.2 million of proceeds received from the exercise of stock options, partially offset by a $1.9 million payment of offering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and Other Obligations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2025, except as disclosed at </w:t>
      </w:r>
      <w:r>
        <w:rPr>
          <w:rFonts w:ascii="Times New Roman" w:cs="Times New Roman" w:eastAsia="Times New Roman" w:hAnsi="Times New Roman"/>
          <w:sz w:val="18"/>
          <w:szCs w:val="18"/>
          <w:i w:val="1"/>
          <w:iCs w:val="1"/>
          <w:color w:val="auto"/>
        </w:rPr>
        <w:t>Note 13 – Commitments and Contingencies</w:t>
      </w:r>
      <w:r>
        <w:rPr>
          <w:rFonts w:ascii="Times New Roman" w:cs="Times New Roman" w:eastAsia="Times New Roman" w:hAnsi="Times New Roman"/>
          <w:sz w:val="18"/>
          <w:szCs w:val="18"/>
          <w:color w:val="auto"/>
        </w:rPr>
        <w:t>, there were no material changes to our contractual obligations and commitments from those described under the heading “Management’s Discussion and Analysis of Financial Condition and Results of Operations-Contractual Obligations and Commitments” in our Annual Report on Form 10-K for the fiscal year ended December 31,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condensed consolidated financial statements, which have been prepared in accordance with U.S. generally accepted accounting principles (“GAAP”). The preparation of these condensed consolidated financial statements requires us to make judgements, assumptions and estimates that may affect the reported amounts of assets and liabilities, equity, and the disclosure of contingent assets and liabilities at the date of the condensed consolidated financial statements, and the reported amounts of expenses during the reported periods. On an ongoing basis, we evaluate our judgments, assumptions and estimates in light of changes in circumstances, facts and experiences.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effects of material revisions in estimates, if any, will be reflected in the condensed consolidated financial statements prospectively from the date of change in estimates.</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described under our “Management’s Discussion and Analysis of Financial Condition and Results of Operations – Critical Accounting Policies and Significant Judgments and Estimates” included in our Annual Report on Form 10-K for the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2" w:name="page43"/>
    <w:bookmarkEnd w:id="42"/>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requirements to hold nonbinding advisory votes on executive compensation and golden parachute payments and exemption from the auditor attestation requirement in the assessment of our internal control over financial reporting.</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2029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twelve months and have filed one Annual Report on Form 10-K) or we issue more than $1.0 billion of nonconvertible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Jumpstart Our Business Startups Act of 2012, as amended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Therefore, the reported results of operations contained in our financial statements may not be directly comparable to those of other public companies.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following the IPO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in the ordinary course of our business. As of September 30, 2025, we had cash, cash equivalents and investments of $301.6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(“USD”). Our functional currency for Zenas BioPharma (HK) Limited, our wholly owned subsidiary in Hong Kong, is the USD, and our functional currency for Shanghai Zenas Biotechnology Co. Limited, our wholly-owned subsidiary in China, is the Chinese Yuan. Our functional currency for Zenas BioPharma GmbH, our wholly-owned subsidiary in Switzerland, is the Swiss Franc. The functional currency of our wholly-owned U.S. subsidiaries, Zenas BioPharma (USA) LLC and Zenas BioPharma Securities Corp., is the USD. Adjustments that arise from exchange rate changes on transactions denominated in a currency other than the functional currency are included in other income (expense), net in the condensed consolidated statements of operations and comprehensive loss as incurred. Realized foreign currency transaction gains (losses) were immaterial for the three and nine months ended September 30,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3" w:name="page44"/>
    <w:bookmarkEnd w:id="43"/>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Quarterly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believe that inflation has not had a material effect on our business, or on our condensed consolidated financial statements included elsewhere in this Quarterly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defined in Rules 13a-15(e) and 15d-15(e) under the Securities Exchange Act of 1934, as amended (the “Exchange Act”), as of September 30, 2025.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officer and principal financial officer, or person performing similar functions, as appropriate to allow timely decisions regarding required disclosures.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the evaluation of our disclosure controls and procedures as of September 30, 2025, our principal executive officer and principal financial officer concluded that, as of such date, our disclosure controls and procedures were effective at the reasonable assurance level.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for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together with the other information contained in this Quarterly Report, including in the section titled “Management’s Discussion and Analysis of Financial Condition and</w:t>
      </w:r>
    </w:p>
    <w:p>
      <w:pPr>
        <w:sectPr>
          <w:pgSz w:w="11900" w:h="16838" w:orient="portrait"/>
          <w:cols w:equalWidth="0" w:num="1">
            <w:col w:w="9019"/>
          </w:cols>
          <w:pgMar w:left="1440" w:top="1269"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4" w:name="page45"/>
    <w:bookmarkEnd w:id="44"/>
    <w:p>
      <w:pPr>
        <w:jc w:val="both"/>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Results of Operations” and in our unaudited condensed consolidated financial statements and related notes contained in this Quarterly Report. The events discussed below may occur and adversely impact our business, financial condition, results of operations and prospects, which may cause the trading price of our common stock to decline. These risks and uncertainties described below are not the only ones we face. Additional risks and uncertainties not presently known to us or that we currently believe to be immaterial may also affect our business. See “Special Note Regarding Forward-Looking Statements.”</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 company with a limited operating history on which to base an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have incurred, and will continue to incur, significant expenses related to the clinical development of our product candidates and ongoing operations. Our net losses for the three months ended September 30, 2025 and 2024, were $51.5 million and $38.6 million, respectively, and $137.3 million and $104.4 million for the nine months ended September 30, 2025 and 2024, respectively. As of September 30, 2025, we had an accumulated deficit of $524.7 million. We expect to continue to incur significant losses for the foreseeable future, and we expect these losses to increase as we advance the development of our product candidates. We may also encounter unforeseen expenses, difficulties, complications, delays and other unknown factors that may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orelabrutinib and our other programs;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and orelabrutinib programs and our other product candidates through preclinical development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45" w:name="page46"/>
    <w:bookmarkEnd w:id="45"/>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continue to develop, maintain and defend our intellectual property portfolio, including against third-party interference, infringement and other intellectual property claims, if any;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CROs and CMOs;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Securities and Exchange Commission (the “SEC”) requirements, director and officer insurance premiums and investor relations costs.</w:t>
      </w:r>
    </w:p>
    <w:p>
      <w:pPr>
        <w:spacing w:after="0" w:line="1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Even if we succeed in commercializing one or more product candidates, we expect to incur substantial expenditures to develop and market additional product candidates.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time 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orelabrutinib and other product candidates.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September 30, 2025, we had $301.6 million in cash, cash equivalents and investments. Based on our current operating plans, we do not expect that our existing cash, cash equivalents and investments will be sufficient to fund our operations and capital expenditure requirements for at least twelve months from the date of our condensed consolidated financial statements are issued and accordingly have concluded that there is substantial doubt with respect to our ability to continue as a going concern. Our financial statements do not include any adjustments or changes in classification of assets or liabilities that may result from our possible inability to continue as a going concern. However, we expect to finance our operations through private or public equity financing, debt financing or other capital resources.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may not ever generate significant revenue or profits. In addition, we expect to incur costs associated with operating as a public company, including significant legal, accounting, investor relations, and other expenses that we did not incur prior to our IPO.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ectPr>
          <w:pgSz w:w="11900" w:h="16838" w:orient="portrait"/>
          <w:cols w:equalWidth="0" w:num="1">
            <w:col w:w="9019"/>
          </w:cols>
          <w:pgMar w:left="1440" w:top="1269"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6" w:name="page47"/>
    <w:bookmarkEnd w:id="46"/>
    <w:p>
      <w:pPr>
        <w:spacing w:after="0" w:line="45" w:lineRule="exact"/>
        <w:rPr>
          <w:sz w:val="20"/>
          <w:szCs w:val="20"/>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and orelabrutinib clinical studies and other research and development activities associated with the development of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personnel and hire additional personnel and consultants as our business grows, including additional officers and clinical development, regulatory, chemistry, manufacturing and controls, quality and commercial personnel;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25" w:lineRule="exact"/>
        <w:rPr>
          <w:sz w:val="20"/>
          <w:szCs w:val="20"/>
          <w:color w:val="auto"/>
        </w:rPr>
      </w:pPr>
    </w:p>
    <w:p>
      <w:pPr>
        <w:ind w:left="720" w:right="179" w:hanging="319"/>
        <w:spacing w:after="0" w:line="261" w:lineRule="auto"/>
        <w:tabs>
          <w:tab w:leader="none" w:pos="700" w:val="left"/>
        </w:tabs>
        <w:rPr>
          <w:sz w:val="20"/>
          <w:szCs w:val="20"/>
          <w:color w:val="auto"/>
        </w:rPr>
      </w:pPr>
      <w:r>
        <w:rPr>
          <w:rFonts w:ascii="Times New Roman" w:cs="Times New Roman" w:eastAsia="Times New Roman" w:hAnsi="Times New Roman"/>
          <w:sz w:val="18"/>
          <w:szCs w:val="18"/>
          <w:color w:val="auto"/>
        </w:rPr>
        <w:t>●</w:t>
        <w:tab/>
        <w:t>the costs and timing of establishing or securing sales and marketing capabilities for our product candidates, if approved;</w:t>
      </w:r>
    </w:p>
    <w:p>
      <w:pPr>
        <w:ind w:left="720" w:right="79" w:hanging="319"/>
        <w:spacing w:after="0" w:line="260"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8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For example, we entered into the Royalty Purchase Agreement with Royalty Pharma, pursuant to which we are eligible for certain milestone payments.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impose restrictions on our operations or require us to relinquish rights to our product candidates.</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Until such time, if ever, that we generate substantial product revenue, we expect to finance our cash needs through equity offerings, debt financings or other capital sources, including potential collaborations, licenses and other arrangements.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extent that we raise additional capital through the sale of equity or convertible debt securities, stockholders’ ownership interest will be diluted, and the terms of these securities may include liquidation or other preferences that adversely affect their rights as a holder of our common stock. For example, on October 9, 2025, we closed our private placement of 6,311,030 shares of common stock for gross proceeds of approximately $120.0 million, before deducting placement agent fees and other expenses.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Royalty Pharma Agreement contains covenants that impose on us certain obligations, including with respect to royalty payments, advancement of our obexelimab program and reporting of clinical, regulatory and commercial updates to Royalty Pharma and includes restrictions on intellectual property transfers and out-licenses. The Royalty Pharma Agreement also limits our ability to incur certain types of indebtedness prior to the consummation of a change of control and limits our ability to create or incur liens or dispose of certain assets related to obexelimab. Compliance with these covenants limits our flexibility in operating our business and our ability to take actions that might otherwise be advantageous to us. The Agreement may only be terminated by mutual written agreement of Royalty Pharma and us.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Candidate Development and Commercialization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unfavorable safety profiles, notwithstanding promising results in earlier trials. Prior to our acquisition of obexelimab,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8" w:name="page49"/>
    <w:bookmarkEnd w:id="48"/>
    <w:p>
      <w:pPr>
        <w:spacing w:after="0" w:line="4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such as an IND, to the FDA or a comparable foreign regulatory authority. Even after the submission of an IND, the FDA or comparable foreign regulatory authorities could disagree that their requirements to commence a clinical trial have been satisfied or disagree with the study design, which may require the completion of additional trials or the amendment of the 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180" w:lineRule="exact"/>
        <w:rPr>
          <w:sz w:val="20"/>
          <w:szCs w:val="20"/>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us to conduct additional preclinical studies or impose additional requirements before permitting us to initiate a clinical trial;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or clinical trial sites may deviate from trial protocols or Good Clinical Practice requirements (“GCPs”) or drop out of a trial, and we may need to add new investigators or sites;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may fail to comply with regulatory requirements or meet their contractual obligations to us in a timely manner, if at all;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observe unexpectedly high placebo response rates;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and preclinical studies may be greater than we anticipate, or we may have insufficient funds to conduct such trial or study or to pay the substantial user fees required by the FDA upon the submission of a BLA or a New Drug Application (“NDA”);</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our clinical trials or preclinical studies may be insufficient or inadequate to initiate or complete a given clinical trial;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that are viewed to outweigh their potential benefits;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similar therapies may raise safety, tolerability or efficacy concerns about our product candidates;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jc w:val="both"/>
        <w:ind w:left="720" w:right="79" w:hanging="319"/>
        <w:spacing w:after="0" w:line="261"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we conduct preclinical and clinical research in collaboration with other academic, pharmaceutical and biotechnology entities, we risk additional delays due to the frequent need to align on decisions.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and dosing of patients in clinical trials, delay or prevent receipt of necessary regulatory approvals.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0" w:name="page51"/>
    <w:bookmarkEnd w:id="50"/>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Difficulties enrolling a sufficient number of patients to conduct our clinical trials as planned could require us to delay, limit or terminate clinical trials for our product candidates, or expand to additional jurisdictions, which could impose additional challenges on our company. Failure to successfully conduct our clinical trials as planned, would have an adverse effect on our business, financial condition, results of operations and prospects.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61"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serious adverse events (“SAEs”) in our clinical trials of obexelimab administered through IV infusion.</w:t>
      </w:r>
    </w:p>
    <w:p>
      <w:pPr>
        <w:spacing w:after="0" w:line="17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clinical trials of obexelimab are administered through subcutaneous (“SC”) injection. In the Phase 1 pharmacokinetic (“PK”) and relative bioavailability study of obexelimab administered either intravenously or subcutaneously, the most common related treatment emergent adverse events across all SC dose regimens were headache and injection site reactions. GI-related events seen with IV infusions were not observed in subjects who received SC formulation, but future studies may reveal similar issues. 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known potential risks of orelabrutinib, as observed in clinical trials in patients with B-cell malignancies and autoimmune disease, include those associated with BTK inhibitor treatment such as hepatotoxicity, hemorrhage, cytopenia, infection, malignancy, hypertension, and arrhythmia. In previous trials, two cases of elevated liver enzymes and bilirubin met Hy’s Law criteria. Both affected patients were asymptomatic and their liver markers normalized after treatment was discontinued. The FDA issued a partial clinical hold for the conduct of the ongoing RMS trial. Three other BTK inhibitors, including some those currently in development for progressive MS, were also placed on a partial clinical hold while under development in the U.S. for RMS. No development restrictions were placed by the EMA.</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1" w:name="page52"/>
    <w:bookmarkEnd w:id="51"/>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17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17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189" w:lineRule="exact"/>
        <w:rPr>
          <w:sz w:val="20"/>
          <w:szCs w:val="20"/>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limit, suspend or withdraw approvals of such product, or may refuse to approve supplemental applications for such product;</w:t>
      </w:r>
    </w:p>
    <w:p>
      <w:pPr>
        <w:spacing w:after="0" w:line="121"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“Boxed Warning,” contraindications or precautions, or otherwise limit the approved use of such product;</w:t>
      </w:r>
    </w:p>
    <w:p>
      <w:pPr>
        <w:ind w:left="720" w:right="139" w:hanging="319"/>
        <w:spacing w:after="0" w:line="250"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 including requiring a REMS;</w:t>
      </w: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it is administered in patients;</w:t>
      </w:r>
    </w:p>
    <w:p>
      <w:pPr>
        <w:spacing w:after="0" w:line="20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from the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76"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the in-licensing or acquisition of product candidates could cause substantial delays in the preclinical and clinical development of our product candidates.</w:t>
      </w:r>
    </w:p>
    <w:p>
      <w:pPr>
        <w:spacing w:after="0" w:line="15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We have relied on, and continue to rely on, our licensing partners, such as Xencor and InnoCare, to have (i) conducted research and development in accordance with the applicable protocol, legal, regulatory and scientific standards, (ii) accurately reported the results of all clinical trials conducted prior to our acquisition of the relevant product candidates and</w:t>
      </w:r>
    </w:p>
    <w:p>
      <w:pPr>
        <w:spacing w:after="0" w:line="1" w:lineRule="exact"/>
        <w:rPr>
          <w:sz w:val="20"/>
          <w:szCs w:val="20"/>
          <w:color w:val="auto"/>
        </w:rPr>
      </w:pPr>
    </w:p>
    <w:p>
      <w:pPr>
        <w:ind w:left="60" w:right="59" w:hanging="10"/>
        <w:spacing w:after="0" w:line="260" w:lineRule="auto"/>
        <w:tabs>
          <w:tab w:leader="none" w:pos="3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collected and interpreted the data from these trials. If the research and development processes or the results of the development programs prior to our acquisition of our product candidates prove to be unreliable, this could result in</w:t>
      </w:r>
    </w:p>
    <w:p>
      <w:pPr>
        <w:sectPr>
          <w:pgSz w:w="11900" w:h="16838" w:orient="portrait"/>
          <w:cols w:equalWidth="0" w:num="1">
            <w:col w:w="9019"/>
          </w:cols>
          <w:pgMar w:left="1440" w:top="1269"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2" w:name="page53"/>
    <w:bookmarkEnd w:id="52"/>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increased costs and delays in the development of our product candidates, which could adversely affect any future revenue from such product candidates, if approved.</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176"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and SLE. In April 2025, FDA approved UPLIZNA (inebilizumab-cdon) an anti-CD19 antibody, which is the first FDA-approved therapy for the treatment of IgG4-RD in adult patients. There are also two products approved for SLE, and a number of products approved for MS. Moreover, there are a number of product candidates in clinical development by other companies for IgG4-RD, MS, and SLE that may become available in the future.</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ectPr>
          <w:pgSz w:w="11900" w:h="16838" w:orient="portrait"/>
          <w:cols w:equalWidth="0" w:num="1">
            <w:col w:w="9019"/>
          </w:cols>
          <w:pgMar w:left="1440" w:top="1269"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3" w:name="page54"/>
    <w:bookmarkEnd w:id="53"/>
    <w:p>
      <w:pPr>
        <w:spacing w:after="0" w:line="4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investors or others may not agree with what we determine to disclose.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of our product candidates, even if successfully completed, may not be sufficient for marketing approval for the applicable indication.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FDA approval of a new biologic generally requires data from two well-controlled Phase 3 trials of the relevant biologic in the relevant patient population; however, in some cases the FDA may accept data from a single Phase 3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obexelimab has been granted orphan drug designation by the FDA for IgG4-RD, such designation does not guarantee that any regulatory authority will accept fewer trials, accelerate regulatory review of, or ultimately approve obexelimab for IgG4-RD.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FDA does not agree with our planned development strategies for any of our product candidates, the FDA may ultimately require us to conduct additional Phase 3 clinical trials prior to approval of that product candidate for a particular indication. In addition, the standard of care may change with the approval of new products in the same indications that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are studying. This may result in the FDA or other regulatory authorities requesting additional studies to show that our product candidate is superior to the new products.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our current or future collaborations or licensing arrangements and may be unsuccessful in consummating future partnerships.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collaborations or licensing arrangements may not be successful. Additionally, we have partnered, and intend to further partner, with third parties with respect to the clinical development and commercialization, if approved, of certain of our programs in certain regions outside the U.S.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183" w:lineRule="exact"/>
        <w:rPr>
          <w:sz w:val="20"/>
          <w:szCs w:val="20"/>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any business or assets, including the InnoCare programs, may be disruptive, complex, risky and costly;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exclusive rights to our collaborators would prevent us from collaborating with others;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future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5" w:name="page56"/>
    <w:bookmarkEnd w:id="55"/>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and our product candidates could fail to receive regulatory approval for many reasons, including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BLA or NDA or other comparable submission in foreign jurisdictions or to obtain regulatory approval in the U.S. or elsewhere;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our CMOs’ manufacturing process or facilities;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the U.S.;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6" w:name="page57"/>
    <w:bookmarkEnd w:id="56"/>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development efforts on certain selected product candidates in certain selected indications. For example, we are initially focused on our lead product candidates, obexelimab, for the treatment of IgG4-RD, MS and SLE and orelabrutinib, for the treatment of PPMS and SPMS.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currently conducting clinical trials outside the U.S., including in Europe and Asia, and we expect to continue to conduct trials internationally in the future. The acceptance of data from clinical trials conducted outside the U.S. by the FDA or comparable foreign regulatory authorities may be subject to certain conditions or may not be accepted at all. In cases where data from foreign clinical trials are intended to serve as the basis for marketing approval in the U.S., the FDA will generally not approve the application unless the data are applicable to the U.S. population and U.S.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U.S. or the applicable jurisdiction, which would result in the need for additional trials that could be costly and time consuming and could result in the product candidate not receiving approval for commercialization in the applicable jurisdiction.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outside of the U.S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7" w:name="page58"/>
    <w:bookmarkEnd w:id="57"/>
    <w:p>
      <w:pPr>
        <w:spacing w:after="0" w:line="4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such coverage, reimbursement and pricing for any approved products could limit our ability to market those products and would decrease our ability to generate revenue.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U.S. Coverage and reimbursement for products can therefore differ significantly from payor to payor. Even if we obtain coverage for a given product by a third-party payor, the reimbursement payment rates may not be adequate or may require co-payments that patients find unacceptably high. Coverage and adequate reimbursement in the U.S. or elsewhere may not be available for any product that we may develop, and any coverage or reimbursement that may be obtained could be reduced or eliminated in the future.</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drug product. A lack of coverage or adequate reimbursement for such a test could adversely affect access to a drug product.</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U.S., the reimbursement for our product candidates may be lower than in the U.S. and may be insufficient to generate meaningful revenue and profits. Factors outside the U.S. that may be relevant in pricing and reimbursement determinations by health authorities, including in European countries, may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include, without limitation, perceived cost-effectiveness perceived benefit to patient quality of life, and designation as an orphan drug indication, among others.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U.S., or a patient population of greater than 200,000 individuals in the U.S. but for which there is no reasonable expectation that the cost of developing the drug will be recovered from sales in the U.S. The FDA and the EMA have each granted orphan drug designation to obexelimab for IgG4-RD. We may not be able to maintain orphan drug designation for obexelimab for IgG4-RD. Additionally, we may not be able to obtain orphan drug designation for any additional indications for our product candidates, and we may not be able to maintain such designations if granted.</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any other indication or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The EMA is required to re-assess granted orphan designation at the time of marketing authorization to ensure that it continues to meet the criteria for the designation to be maintained. Otherwise, the orphan designation can be revoked.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 and granted designations, if not maintained, will not provide the benefits of such designation.</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decision of the U.S. Court of Appeals for the 11th Circuit in Catalyst Pharms., Inc. v. Becerra, 14 F.4th 1299 (11th Cir. 2021) has created uncertainty regarding the scope of orphan drug exclusivity. Although the FDA subsequently announced that it intends to continue to apply its longstanding interpretation of the regulations to matters outside of the scope of the Catalyst order and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designation. We intend to seek priority review</w:t>
      </w:r>
    </w:p>
    <w:p>
      <w:pPr>
        <w:sectPr>
          <w:pgSz w:w="11900" w:h="16838" w:orient="portrait"/>
          <w:cols w:equalWidth="0" w:num="1">
            <w:col w:w="9019"/>
          </w:cols>
          <w:pgMar w:left="1440" w:top="1269"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9" w:name="page60"/>
    <w:bookmarkEnd w:id="59"/>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designation for obexelimab for IgG4-RD. The FDA has broad discretion whether or not to grant this designation, so even if we believe a particular product candidate is eligible for this designation, the FDA could decide not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14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may fail to successfully develop, receive regulatory approval for, or successfully commercialize any or all of our product candidates.</w:t>
      </w:r>
    </w:p>
    <w:p>
      <w:pPr>
        <w:spacing w:after="0" w:line="14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pacing w:after="0" w:line="17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U.S. or elsewhere in the foreseeable future, or at all.</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never submitted a BLA or NDA for our product candidates to the FDA, or a similar marketing application to a comparable foreign regulatory authority, and our current or any future product candidates may not be successful in clinical trials or receive regulatory approval.</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0" w:name="page61"/>
    <w:bookmarkEnd w:id="60"/>
    <w:p>
      <w:pPr>
        <w:ind w:left="60" w:right="79"/>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162" w:lineRule="exact"/>
        <w:rPr>
          <w:sz w:val="20"/>
          <w:szCs w:val="20"/>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 and maintain an acceptable safety profile for the products following approval;</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or any co-promotion or other arrangements that we may otherwise establish;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in sufficient quantities and at acceptable quality and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and marketing capabilities, whether alone or through a collaboration, to support commercialization of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including interactions with healthcare professionals, patient advocacy groups and communication of healthcare economic information to payors and formularies;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capable of timely product delivery;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Any significant delays in obtaining approval for or inability to successfully commercialize our product candidates would adversely affect our business, financial condition, results of operations and prospects.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Head of Research and Development and Chief Medical Officer, Lisa von Moltke, and Chief Commercial Officer, Orlando Oliveira and other members of our senior management and clinical development teams. The loss of services of any of these individuals could delay or prevent the successful development of our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1" w:name="page62"/>
    <w:bookmarkEnd w:id="61"/>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19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to obtain marketing approval, or to provide commercial supply of our products, if approved, could be delayed or halted.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 candidates include biopharmaceuticals and the process of manufacturing biopharmaceuticals is complex, time 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w:t>
      </w:r>
    </w:p>
    <w:p>
      <w:pPr>
        <w:sectPr>
          <w:pgSz w:w="11900" w:h="16838" w:orient="portrait"/>
          <w:cols w:equalWidth="0" w:num="1">
            <w:col w:w="9019"/>
          </w:cols>
          <w:pgMar w:left="1440" w:top="1269"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2" w:name="page63"/>
    <w:bookmarkEnd w:id="62"/>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Any delay or interruption in clinical trial supplies will likely delay the completion of planned clinical trials, increasing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from our product candidates, if approved, will be limited if the product does not achieve broad market acceptance.</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3"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162"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AEs associated with our product candidates, and how the safety and tolerability profile of our product candidates compares to those of existing or emerging therapies;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3" w:name="page64"/>
    <w:bookmarkEnd w:id="63"/>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that may be more restrictive than competitive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4" w:name="page65"/>
    <w:bookmarkEnd w:id="64"/>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of commercial opportunities for product candidates and forecasts of market growth may prove to be smaller than we believe, and even if the markets in which we compete achieve the forecasted growth, our business may not grow at similar rates, or at all.</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Our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IgG4-RD is a relatively recently described disease that incorporates groups of manifestations that were diagnosed as separate disease entities prior to 2003. We estimate that the currently diagnosed population of IgG4-RD patients in the U.S. is approximately 20,000, with what we believe to be comparable prevalence rates globally.</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5" w:name="page66"/>
    <w:bookmarkEnd w:id="65"/>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risks and uncertainties, including the changing trade policies and tariffs, burden of complying with complex and changing foreign regulatory, tax, accounting and legal requirements and reduced protection of intellectual property rights in some foreign countries.</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transactions could impact our liquidity, increase our expenses and present significant distractions to our management.</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core part of our strategy, we intend to enter into strategic transactions, which could include acquisitions of companies, asset purchases and in-licensing and out-licensing of intellectual property. For example, we in-licensed the exclusive rights to develop and commercialize orelabrutinib, ZB021 and ZB022 from InnoCare in October 2025. Additionally, we in-licensed the exclusive rights to develop and commercialize obexelimab, ZB002 and 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InnoCare, Xencor and BMS may not be realized on a timely basis or at all, and there may be risks associated with the acquisition that we did not previously anticipate, such as unanticipated liabilities.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17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66" w:name="page67"/>
    <w:bookmarkEnd w:id="66"/>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7" w:name="page68"/>
    <w:bookmarkEnd w:id="67"/>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 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1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14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18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I&amp;I treatments may impact public perception of our company and product candidates, or may adversely affect our ability to conduct our business and our business plans.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8" w:name="page69"/>
    <w:bookmarkEnd w:id="68"/>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Obtaining and enforcing patents is expensive and time 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U.S. Patent and Trademark Office (“USPTO”) or by patent offices in foreign countries, or the claims in any of our or our licensors’ issued patents may not be considered valid and enforceable by courts in the U.S.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w:t>
      </w:r>
    </w:p>
    <w:p>
      <w:pPr>
        <w:sectPr>
          <w:pgSz w:w="11900" w:h="16838" w:orient="portrait"/>
          <w:cols w:equalWidth="0" w:num="1">
            <w:col w:w="9019"/>
          </w:cols>
          <w:pgMar w:left="1440" w:top="1269"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9" w:name="page70"/>
    <w:bookmarkEnd w:id="69"/>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U.S., or vice versa.</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or our licensors’ pending patent applications may be challenged in patent offices in the U.S.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inter partes review proceedings or other similar proceedings, in the U.S.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in-licensed patent portfolios, but have no solely owned issued patents relating to our product candidates.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Although we exclusively in-license patent portfolios from Xencor related to obexelimab, ZB002 and ZB004, and from InnoCare related to orelabrutinib, ZB021 and ZB022, we have no solely owned issued patents. Although the exclusively</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70" w:name="page71"/>
    <w:bookmarkEnd w:id="70"/>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 considered patentable by the USPTO, courts in the U.S.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necessary rights to our product candidates through acquisitions and in-licenses.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In addition, under our license agreement with InnoCare, InnoCare is responsible for patent prosecution of certain licensed intellectual property in Greater China and Southeast Asia.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107" w:lineRule="exact"/>
        <w:rPr>
          <w:sz w:val="20"/>
          <w:szCs w:val="20"/>
          <w:color w:val="auto"/>
        </w:rPr>
      </w:pPr>
    </w:p>
    <w:p>
      <w:pPr>
        <w:ind w:left="60" w:right="599"/>
        <w:spacing w:after="0" w:line="261"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180"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and our licensors’ patent applications;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and our licensors’ patent applications;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1" w:name="page72"/>
    <w:bookmarkEnd w:id="71"/>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and our licensors’ patent applications will provide protection against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and our licensors’ patent rights;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and our licensors’ patents and patent applications;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and our licensors’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U.S. or in other foreign countries; or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experience patent office interruption or delays to our ability to timely secure patent coverage to our product candidates due to global pandemics and epidemics.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U.S. These competitor products may compete with our product candidates, and our and our licensors’ patents or other intellectual property rights may not be effective or sufficient to prevent them from competing.</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2" w:name="page73"/>
    <w:bookmarkEnd w:id="72"/>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countries outside the U.S.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pending patent applications that we own or the patents or patent applications that we license;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or licensed intellectual property rights;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either own or have exclusively licensed may be revoked, modified, or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3" w:name="page74"/>
    <w:bookmarkEnd w:id="73"/>
    <w:p>
      <w:pPr>
        <w:jc w:val="both"/>
        <w:ind w:left="720" w:right="79" w:hanging="319"/>
        <w:spacing w:after="0" w:line="261"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U.S. or in other foreign countries;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U.S. for disease treatments that prove successful, as a matter of public policy regarding worldwide health concerns;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have patent laws less favorable to patentees than those upheld by U.S. courts, allowing foreign competitors a better opportunity to create, develop and market competing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if they issue in the future, are valid, enforceable and infringed;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 applications.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Should any of these or similar events occur, they could significantly harm our business, financial condition, results of operations and prospects.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 consuming and unsuccessful.</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74" w:name="page75"/>
    <w:bookmarkEnd w:id="74"/>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4"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current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our current or future product candidates. Such litigation or licenses could be costly or not available on commercially reasonable terms.</w:t>
      </w:r>
    </w:p>
    <w:p>
      <w:pPr>
        <w:spacing w:after="0" w:line="18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 candidates.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5" w:name="page76"/>
    <w:bookmarkEnd w:id="75"/>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developments which could adversely affect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8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U.S., proving invalidity in court requires a showing of clear and convincing evidence to overcome the presumption of validity enjoyed by issued patents. As this burden is a high one, there is no assurance that a court of competent jurisdiction would invalidate the claims of any such U.S.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 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choose to challenge the enforceability or validity of claims in a third party’s U.S. patent by requesting that the USPTO review the patent claims in an ex-parte reexamination, inter partes review or post- 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U.S. and other countries, including the Leahy-Smith America Invents Act (the “Leahy-Smith Act”),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76" w:name="page77"/>
    <w:bookmarkEnd w:id="76"/>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Leahy-Smith Act and its implementation could increase the uncertainties and costs surrounding the prosecution of our or our licensors’ patent applications and the enforcement or defense of our or our licensors’ future issued patents, all of which could adversely affect our business, financial condition, results of operations and prospects.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9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Changes in either the patent laws or interpretation of the patent laws in the U.S. or in other jurisdictions could increase the uncertainties and costs surrounding the prosecution of patent applications and the enforcement or defense of issued patents. In the U.S., numerous recent changes to the patent laws and proposed changes to the rules of the USPTO may have a significant impact on our ability to protect our technology, products and enforce our intellectual property rights. Subsequent rulings could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Amgen v. Sanofi,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Juno v. Kite, the Federal Circuit held broad antibody claims supported by few examples invalid for lack of written description. Recently, the Federal Circuit issued precedential decisions in In re Cellect and Allergan v. MSN Laboratories that could shorten or eliminate an extended patent term awarded under Patent Term Adjustment (“PTA”) in certain patent family members if challenged on the basis of Obvious-Type Double Patenting. Furthermore, the U.S. Supreme Court and Federal Circuits have repeatedly held that the use of biomarkers in diagnosis or monitoring therapeutic treatment is not patent eligible.</w:t>
      </w:r>
    </w:p>
    <w:p>
      <w:pPr>
        <w:spacing w:after="0" w:line="19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Depending on decisions by the U.S. Congress, the federal courts and the USPTO, and similar legislative and regulatory bodies in other countries in which we may pursue patent protection, the laws and regulations governing patents could</w:t>
      </w:r>
    </w:p>
    <w:p>
      <w:pPr>
        <w:sectPr>
          <w:pgSz w:w="11900" w:h="16838" w:orient="portrait"/>
          <w:cols w:equalWidth="0" w:num="1">
            <w:col w:w="9019"/>
          </w:cols>
          <w:pgMar w:left="1440" w:top="1269"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77" w:name="page78"/>
    <w:bookmarkEnd w:id="77"/>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8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8" w:name="page79"/>
    <w:bookmarkEnd w:id="78"/>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bring against us, to determine the ownership of what we regard as our intellectual property. Such claims could adversely affect our business, financial condition, results of operations, and prospects.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 covering obexelimab’s composition of matter expires in May 2028, excluding any extension of patent term that may be available. In addition, the patent covering orelabrutinib’s composition of matter expires in September 2034, excluding any extensions of patent term that may be available.</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or licensed patents and patent applications. Recently, the USPTO implemented new fee rules including Continuing Application Fee (CAF) which would increase our cost for obtaining and maintaining patent protection in the US and potentially limit our ability of seeking additional patents in our existing patent families, especially those early filed patent families that has been pending for close to our more than six years.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79" w:name="page80"/>
    <w:bookmarkEnd w:id="79"/>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request, our competitors may obtain approval of competing products following our patent expiration, and our business, financial condition, results of operations and prospects could be materially harmed.</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may face competition from biosimilar or generic products approved through abbreviated regulatory pathways.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biological products that are biosimilar to or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w:t>
      </w:r>
    </w:p>
    <w:p>
      <w:pPr>
        <w:spacing w:after="0" w:line="190"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With respect to drugs, including small molecule products, the Federal Food Drug and Cosmetic Act (“FDCA”) provides a five-year period of non-patent marketing exclusivity within the U.S. to the first applicant to gain approval of a NDA for a new chemical entity (“NCE”), including small molecule products. A drug is a NCE if the FDA has not previously approved an NDA for any other new drug containing the same active ingredient. During the exclusivity period, the FDA may not accept for review an abbreviated new drug application or a 505(b)(2) NDA submitted by another company for another version of such drug where the applicant does not own or have a legal right to reference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This three-year exclusivity covers only the conditions of use associated with the new clinical investigations and does not prohibit the FDA from approving Abbreviated New Drug Applications (“ANDAs”) or 505(b)(2) 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Laws regarding exclusivity protections are complex and continue to be interpreted by the FDA. Any new policies or processes adopted by the FDA could have a material adverse effect on the future commercial prospects for our product candidates.</w:t>
      </w:r>
    </w:p>
    <w:p>
      <w:pPr>
        <w:spacing w:after="0" w:line="176"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We believe that any product candidates we develop that is approved in the U.S. as a biological product under a BLA should qualify for the 12-year period of exclusivity and that any product candidate we develop that is approved as a NCE under an NDA should qualify for the 5-year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or a generic of our product candidates could have a material adverse impact on our business due to increased competition and pricing pressure.</w:t>
      </w:r>
    </w:p>
    <w:p>
      <w:pPr>
        <w:spacing w:after="0" w:line="173"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or generics referencing our product candidates, our product candidates may become subject to competition from such biosimilars or generics, with the attendant competitive pressure and consequences.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80" w:name="page81"/>
    <w:bookmarkEnd w:id="80"/>
    <w:p>
      <w:pPr>
        <w:ind w:left="60" w:right="179"/>
        <w:spacing w:after="0" w:line="256" w:lineRule="auto"/>
        <w:rPr>
          <w:sz w:val="20"/>
          <w:szCs w:val="20"/>
          <w:color w:val="auto"/>
        </w:rPr>
      </w:pPr>
      <w:r>
        <w:rPr>
          <w:rFonts w:ascii="Times New Roman" w:cs="Times New Roman" w:eastAsia="Times New Roman" w:hAnsi="Times New Roman"/>
          <w:sz w:val="18"/>
          <w:szCs w:val="18"/>
          <w:color w:val="auto"/>
        </w:rPr>
        <w:t>Laws and regulations outside the U.S.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187"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In China, the Fourth Amendments to the PRC Patent Law became effective on June 1, 2021, and for the first time, provides for PTE, PTA and a patent linkage system for eligible Chinese patents. However, the patent linkage system is still in its early stage and the impact remains uncertain. In view of the potential changes and development in the implementation rules in PTE, PTA, patent linkage and data exclusivity in China, a lower-cost generic drug could emerge onto the market much more quickly, which would result in weaker protection for us against generic competition in China than could be available to us in the U.S., and would materially harm our business, financial condition, results of operations, and prospects.</w:t>
      </w:r>
    </w:p>
    <w:p>
      <w:pPr>
        <w:spacing w:after="0" w:line="169"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U.S. must be approved by the FDA, regardless of whether we have registered it, or applied to register it, as a trademark.</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81" w:name="page82"/>
    <w:bookmarkEnd w:id="81"/>
    <w:p>
      <w:pPr>
        <w:spacing w:after="0" w:line="4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180"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U.S. and in many foreign jurisdictions before a new product can be marketed. Satisfaction of these and other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regulatory requirements is costly, time consuming, uncertain and subject to unanticipated delays. It is possible that none of our product candidates will obtain the regulatory approvals necessary for us to begin selling them.</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orelabrutinib or any of our other product candidates or any future product candidates.</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or NDA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or NDA submissions.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U.S. and vice versa. Any delay or failure to obtain U.S. or foreign regulatory approval for a product candidate could have a material and adverse effect on our business, financial condition, results of operations and prospects.</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w:t>
      </w:r>
    </w:p>
    <w:p>
      <w:pPr>
        <w:sectPr>
          <w:pgSz w:w="11900" w:h="16838" w:orient="portrait"/>
          <w:cols w:equalWidth="0" w:num="1">
            <w:col w:w="9019"/>
          </w:cols>
          <w:pgMar w:left="1440" w:top="1269"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83" w:name="page84"/>
    <w:bookmarkEnd w:id="83"/>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17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including government shutdowns, which is inherently fluid and unpredictable.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face uncertainty regarding the potential for changes in the regulatory environment following the change in presidential administration in January 2025. While many of the Trump administration’s proposed policies appear to be focused on deregulation, the new administration and federal government could adopt legislation, regulation, or policy that adversely affects our business or creates a more challenging and costly environment to pursue the development and commercialization of our product candidates. For example, the federal government, including the FDA, may implement legislative, regulatory, or policy changes regarding the standards for approving biologic products that we may be unable to satisfy.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Disruptions at the FDA and other regulatory authorities may also slow the time necessary for new biologics or small molecules or modifications to approved or licensed biologics or small molecules to be reviewed and/or approved, which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84" w:name="page85"/>
    <w:bookmarkEnd w:id="84"/>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would adversely affect our business. For example, the current Trump administration appears to be focused on decreasing spending in the federal government, including through significant staff reductions. Any significant staff reductions at FDA could impact the agency’s ability to engage in routine regulatory and oversight activities and result in delays or limitations on our ability to proceed with clinical development programs and obtain regulatory approvals. Although it has not been reported that there have been reductions in the workforce, at the review or inspection divisions of the FDA, any such reductions could extend BLA and NDA review timelines, delay or prevent pre-approval inspections, and limit opportunities for FDA feedback on pending applications. Over the last several years, the U.S. government has shut down several times and certain regulatory authorities, such as the FDA, have had to furlough critical employees and stop critical activities.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resumed standard inspection operations of domestic facilities where feasible, future pandemics may lead to similar inspectional delays. If the current government shutdown continues or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“Business—Government Regulation-Healthcare Reform.”</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example, in March 2010, the ACA was enacted in the U.S., which substantially changed the way healthcare is financed by both governmental and private insurers in the U.S.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Beyond the ACA, healthcare reform efforts have been an ongoing focus. Notably, the Inflation Reduction Act of 2022 (the “IRA”) includes a number of healthcare reform provisions, which have varying implementation dates. The IRA extends enhanced subsidies for individuals purchasing health insurance coverage in ACA marketplaces through plan year 2025; lowers the beneficiary maximum out-of-pocket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which became effective January 1, 2024. More recently,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As another example, in May 2025, President Trump issued another Executive Order</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85" w:name="page86"/>
    <w:bookmarkEnd w:id="85"/>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that directed government agencies and officials to identify most-favored-nation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U.S., and facilitate direct-to-consumer purchasing programs for pharmaceutical manufacturers to sell their products to patients at the most-favored-nation price. Many of these reform initiatives will require additional legal and/or administrative action to implement. Other healthcare reform efforts or actions under the current presidential administration may affect access to healthcare coverage or the funding of healthcare benefits, although the full impact of such efforts or actions cannot be predicted. For example, the Congressional Budget Office has estimated that Medicaid provisions in the budget reconciliation legislation known as the “Big Beautiful Bill Act,” including restrictions in eligibility and funding for Medicaid, as well as changes to the healthcare marketplace, will increase the number of uninsured by 16 million by 2034. The nature and extent of future healthcare reforms cannot be predicted. There is significant uncertainty regarding the nature or impact of any drug pricing or broader healthcare reform implemented by the current presidential administration through executive act or by Congress and the extent to which such action may be subject to litigation or other challenges.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19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and other regulations, we could face substantial penalties and our business, operations and financial condition could be adversely affected.</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183" w:lineRule="exact"/>
        <w:rPr>
          <w:sz w:val="20"/>
          <w:szCs w:val="20"/>
          <w:color w:val="auto"/>
        </w:rPr>
      </w:pPr>
    </w:p>
    <w:p>
      <w:pPr>
        <w:jc w:val="both"/>
        <w:ind w:left="720" w:right="79" w:hanging="319"/>
        <w:spacing w:after="0" w:line="261"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86" w:name="page87"/>
    <w:bookmarkEnd w:id="86"/>
    <w:p>
      <w:pPr>
        <w:jc w:val="both"/>
        <w:ind w:left="720" w:right="79" w:hanging="319"/>
        <w:spacing w:after="0" w:line="261"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 kickback statute;</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marketing, prohibits manufacturers from marketing such products for off-label use and regulates the distribution of samples;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87" w:name="page88"/>
    <w:bookmarkEnd w:id="87"/>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 if any.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88"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88" w:name="page89"/>
    <w:bookmarkEnd w:id="88"/>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outside the U.S.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and the recently approved DPF,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other contractual obligations related to data privacy and security, and our efforts to comply with such obligations may not be successful.</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89" w:name="page90"/>
    <w:bookmarkEnd w:id="89"/>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EEA and other jurisdictions, and we cannot determine the impact such future laws, regulations and standards may have on our business.</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CROs, CMOs or other third-party service providers with access to our or our suppliers’, manufacturers’, trial participants’ and employees’ sensitive information for which we are responsible may breach contractual obligations imposed by us, or they may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may not protect us from the risks associated with the third-party processing of such information. Any of the foregoing could adversely affect our business, financial condition, results of operations and prospects.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w:t>
      </w:r>
    </w:p>
    <w:p>
      <w:pPr>
        <w:sectPr>
          <w:pgSz w:w="11900" w:h="16838" w:orient="portrait"/>
          <w:cols w:equalWidth="0" w:num="1">
            <w:col w:w="9019"/>
          </w:cols>
          <w:pgMar w:left="1440" w:top="1269"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90" w:name="page91"/>
    <w:bookmarkEnd w:id="90"/>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76"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including changes in relations between the U.S. and China, and other circumstances beyond our control, may adversely impact our business, financial condition, and results of operations.</w:t>
      </w:r>
    </w:p>
    <w:p>
      <w:pPr>
        <w:spacing w:after="0" w:line="175"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Various political, trade, or regulatory developments have, and could further, adversely affect our business and the results of our operations and financial condition. For example, recent actions and statements by the governments of the U.S. and China, including those relating to the imposition or threatened imposition of tariffs, or potential increases to tariffs, affecting certain products manufactured in China, have impacted, and may continue to impact, companies like us who rely on suppliers and other commercial partners with significant operations in China. For example, while we have selected new CMOs in the U.S. to establish additional sources of supply for obexelimab, currently we import from China certain drug substance, drug product and other components, and such imports are subject to existing tariffs and may be impacted by additional tariffs. Currently, many of our suppliers primarily operate outside of the U.S., including our current sole CMO for obexelimab, WuXi Biologics, and our collaboration partner InnoCare for supply of orelabrutinib, which provide services to us from facilities located in China, and increases in tariffs could result in increased costs. As a result, we are subject to risks associated with political, trade, regulatory developments with respect to such countries, and between the U.S. and such countries. Any unfavorable legislation, regulations, executive orders, government policies on cross-border relations and/or international trade, including increased scrutiny on certain of our suppliers with significant China-based operations, capital controls, or tariffs, may have an adverse effect on our business, financial condition, and results of operations. For example, in March and April 2025, the U.S. imposed tariffs on, or increased the tariff rates applicable to, imports from many foreign countries. In response to these tariffs, a number of other countries have threatened or implemented retaliatory tariffs on U.S. goods. Political tensions resulting from trade policies could reduce trade volume, investment, technological exchange and other economic activities between major international economies, resulting in a material adverse effect on global economic conditions and the stability of global financial markets. Further, supply chain disruptions and delays as a result of tariff policies or trade restrictions could also negatively impact our cost of materials and processes. Such changes in political, trade, regulatory, and economic conditions, including U.S. trade policies, could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third-party manufacturers, WuXi Biologics, and our collaboration partner, InnoCare,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 to comply with applicable regulatory requirements, we will not be able to complete our clinical trials on time and the development of our product candidates may be delayed.</w:t>
      </w:r>
    </w:p>
    <w:p>
      <w:pPr>
        <w:spacing w:after="0" w:line="18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on single third-party manufacturers, WuXi Biologics for supply of obexelimab, and our collaboration partner, InnoCare for supply of orelabrutinib, both of which are located in China, to manufacture and supply the drug substances and drug products for our product candidates, and we currently do not have any redundant supply outside of WuXi Biologics, and InnoCare, for drug substance and drug product. Reliance on third-party manufacturers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order obexelimab drug substance and drug product pursuant to a master services agreement with WuXi Biologics. If any of our product candidates receives marketing approval, we intend to rely on third-party CMOs for commercial manufacturing. We have a long-term commercial supply agreement with WuXi Biologics to fulfill and secure obexelimab drug substance and drug product for an anticipated commercial launch, if approved. In addition, we have selected new CMOs in the U.S., which are not affiliated with WuXi Biologics, to establish additional sources of supply for drug substance and drug product for both commercial and clinical use. For the medical device component of our product (i.e., prefilled syringe or autoinjector), we plan to utilize device assembly facilities in the U.S. or EU for the global supply.</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change in our relationship with our CMOs or changes to contractual terms of our agreements with them could adversely affect our business, financial condition, results of operations and prospects. Additionally, legislation and regulations, such as the proposed BIOSECURE Act, could restrict our ability or make it more costly to obtain needed supplies of products and materials from certain CMOs if the proposed legislation and regulations are enacted into law. Please see “—Risks Related to Our Reliance on Third Parties—The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we could experience disruptions in our supply chain in the future as a result of such reliance or otherwise.</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w:t>
      </w:r>
    </w:p>
    <w:p>
      <w:pPr>
        <w:sectPr>
          <w:pgSz w:w="11900" w:h="16838" w:orient="portrait"/>
          <w:cols w:equalWidth="0" w:num="1">
            <w:col w:w="9019"/>
          </w:cols>
          <w:pgMar w:left="1440" w:top="1265"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92" w:name="page93"/>
    <w:bookmarkEnd w:id="92"/>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286" w:lineRule="exact"/>
        <w:rPr>
          <w:sz w:val="20"/>
          <w:szCs w:val="20"/>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initiate or continue preclinical studies or clinical trials of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 in submitting regulatory applications, or receiving regulatory approvals, for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the cooperation of existing or future collaborators;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requirements to cease distribution or to recall batches of our product candidates; and</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of approval to market and commercialize a product candidate, an inability to meet commercial demands for our products.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If we change manufacturers after we receive regulatory approval for a product candidate, we will be required to conduct additional testing, including completion of validation batches, and obtain approval from regulatory authorities for the new manufacturer before we can begin using any drug substance or drug product they manufacture for commercial purposes. The delays and costs associated with the verification of a new manufacturer could negatively affect our ability to develop product candidates or commercialize our products, if approved, in a timely manner or within budget.</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3" w:name="page94"/>
    <w:bookmarkEnd w:id="9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relationships with other entities, some of which may be our competitors, which may divert time and resources from our programs.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18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7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with our current or future licensors or collaborators that could delay or prevent the development or commercialization of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currently party to license and collaboration agreements with Xencor, InnoCare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4" w:name="page95"/>
    <w:bookmarkEnd w:id="94"/>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large part, to the terms and conditions of licenses granted to us by others, such as Xencor and InnoCare.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and InnoCare for certain intellectual property relating to the development and commercialization of orelabrutinib, ZB021 and ZB022. However, we have no development and commercialization rights for obexelimab in Japan, South Korea, Taiwan, Hong Kong, Singapore, and Australia, all of which rights have been sublicensed to BMS.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Xencor or InnoCare may have relied upon, and any future licensors may rely upon, third-party companies, consultants or collaborators, or on funds from third parties such that our licensors are not the sole and exclusive owners of the patents we in-licensed. If our licensors, including Xencor or InnoCare,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spite of our efforts, Xencor or InnoCare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or other obligations under the license agreement;</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our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sublicensing of patent and other rights under our collaborative development relationships;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95" w:name="page96"/>
    <w:bookmarkEnd w:id="95"/>
    <w:p>
      <w:pPr>
        <w:ind w:left="720" w:hanging="319"/>
        <w:spacing w:after="0"/>
        <w:tabs>
          <w:tab w:leader="none" w:pos="7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diligence obligations under the license agreement and what activities satisfy those obligations;</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many of which are located outside of the U.S., including our current sole CMO for drug substance and drug product, WuXi Biologics, and our collaboration partner, InnoCare, both of which are located in China, are subject to additional risks that are beyond our control and that could harm our business, financial condition, results of operations and prospects.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Currently, many of our suppliers primarily operate outside of the U.S., including our current sole CMO, WuXi Biologics, and our collaboration partner, InnoCare, both of which provide services to us from facilities located in China. As a result, we are subject to risks associated with doing business abroad, including:</w:t>
      </w:r>
    </w:p>
    <w:p>
      <w:pPr>
        <w:spacing w:after="0" w:line="176" w:lineRule="exact"/>
        <w:rPr>
          <w:sz w:val="20"/>
          <w:szCs w:val="20"/>
          <w:color w:val="auto"/>
        </w:rPr>
      </w:pPr>
    </w:p>
    <w:p>
      <w:pPr>
        <w:ind w:left="720" w:right="319" w:hanging="319"/>
        <w:spacing w:after="0" w:line="282" w:lineRule="auto"/>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geopolitical tensions, political unrest, terrorism, labor disputes and economic instability resulting in the disruption of trade from foreign countries in which our products are manufactured, particularly China;</w:t>
      </w:r>
    </w:p>
    <w:p>
      <w:pPr>
        <w:spacing w:after="0" w:line="161" w:lineRule="exact"/>
        <w:rPr>
          <w:rFonts w:ascii="Times New Roman" w:cs="Times New Roman" w:eastAsia="Times New Roman" w:hAnsi="Times New Roman"/>
          <w:sz w:val="18"/>
          <w:szCs w:val="18"/>
          <w:color w:val="231F20"/>
        </w:rPr>
      </w:pPr>
    </w:p>
    <w:p>
      <w:pPr>
        <w:jc w:val="both"/>
        <w:ind w:left="720" w:right="319" w:hanging="319"/>
        <w:spacing w:after="0" w:line="256" w:lineRule="auto"/>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including China, pursuant to our master services or commercial supply agreements with WuXi Biologics, or our clinical supply arrangement with InnoCare, as well as tariffs that impact the biopharmaceutical industry generally;</w:t>
      </w:r>
    </w:p>
    <w:p>
      <w:pPr>
        <w:spacing w:after="0" w:line="187" w:lineRule="exact"/>
        <w:rPr>
          <w:rFonts w:ascii="Times New Roman" w:cs="Times New Roman" w:eastAsia="Times New Roman" w:hAnsi="Times New Roman"/>
          <w:sz w:val="18"/>
          <w:szCs w:val="18"/>
          <w:color w:val="231F20"/>
        </w:rPr>
      </w:pPr>
    </w:p>
    <w:p>
      <w:pPr>
        <w:jc w:val="both"/>
        <w:ind w:left="720" w:right="319" w:hanging="319"/>
        <w:spacing w:after="0" w:line="266" w:lineRule="auto"/>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challenges and increased costs with enforcing and periodically auditing or reviewing our suppliers’ and manufacturers’ compliance with cGMPs or status acceptable to the FDA or comparable foreign regulatory authorities;</w:t>
      </w:r>
    </w:p>
    <w:p>
      <w:pPr>
        <w:spacing w:after="0" w:line="175" w:lineRule="exact"/>
        <w:rPr>
          <w:rFonts w:ascii="Times New Roman" w:cs="Times New Roman" w:eastAsia="Times New Roman" w:hAnsi="Times New Roman"/>
          <w:sz w:val="18"/>
          <w:szCs w:val="18"/>
          <w:color w:val="231F20"/>
        </w:rPr>
      </w:pPr>
    </w:p>
    <w:p>
      <w:pPr>
        <w:ind w:left="720" w:right="179" w:hanging="319"/>
        <w:spacing w:after="0" w:line="261" w:lineRule="auto"/>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protection for intellectual property rights, including trade secret protection, in some countries, particularly China;</w:t>
      </w:r>
    </w:p>
    <w:p>
      <w:pPr>
        <w:ind w:left="720" w:right="319" w:hanging="319"/>
        <w:spacing w:after="0" w:line="260" w:lineRule="auto"/>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in operations due to global, regional, or local epidemics, pandemics and other public health crises, or other emergencies or natural disasters;</w:t>
      </w:r>
    </w:p>
    <w:p>
      <w:pPr>
        <w:spacing w:after="0" w:line="18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or delays in shipments;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local economic conditions in countries where our manufacturers or suppliers are located.</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enacted, the BIOSECURE Act, which was initially introduced in Congress in 2024,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6" w:name="page97"/>
    <w:bookmarkEnd w:id="96"/>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named in the proposed BIOSECURE Act. While prior versions of the BIOSECURE Act, named WuXi Biologics as a “biotechnology company of concern,” the most recent version of the BIOSECURE Act, which was passed by the Senate in October 2025, does not specifically name WuXi Biologics.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adopted into law, the BIOSECURE Act in its most recent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 how the law is interpreted by U.S. federal agencies, however, we could be potentially restricted from pursuing U.S. federal government business or government reimbursement for our products manufactured by WuXi Biologics or other suppliers or partners if they are determined to be “biotechnology companies of concern.” Additionally, the legislation could adversely impact WuXi Biologics’ operations or financial position, which, in turn, could impact its ability to supply us with 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selected new CMOs in the U.S. to establish additional sources of supply for drug substance and drug product for both commercial and clinical use with third-party manufacturers that are not affiliated with WuXi Biologics or another “biotechnology company of concern” identified in the proposed BIOSECURE Act. However, establishing new manufacturers requires significant effort and time and any delay in securing, or inability to secure, a commercial supplier of drug substance or drug product for a product candidate, if approved, including as a result of delays in contracting, technology transfer, production of validation batches or obtaining an inspection by the FDA or other applicable foreign regulatory authorities,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and our collaboration partner, InnoCare,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fails to comply with applicable regulatory requirements, we will not be able to complete our clinical trials on time and the development of our product candidates may be delayed.”</w:t>
      </w:r>
    </w:p>
    <w:p>
      <w:pPr>
        <w:spacing w:after="0" w:line="19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be sustained.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“ZBIO”. If an active or liquid trading market for our common stock is not sustained, it may be difficult for investors to sell their shares of common stock at an attractive price or at all. It is possible that in one or more future periods our results of operations may be below the expectations of public market analysts and investors, and, as a result of these and other factors, the price of our common stock may fall. An inactive market may reduce the fair market value of our common stock, impair our ability to raise capital by selling shares of our common stock in the future, and may impair our ability to enter into strategic collaborations or acquire companies or products by using our shares of common stock as consideration.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shares of our common stock were sold in our IPO in September 2024 at a price of $17.00 per share and through October 31, 2025, the closing price per share of our common stock on Nasdaq has ranged from $6.43 to $31.80. Some of the factors that may cause the market price of our common stock to fluctuate include:</w:t>
      </w:r>
    </w:p>
    <w:p>
      <w:pPr>
        <w:spacing w:after="0" w:line="176" w:lineRule="exact"/>
        <w:rPr>
          <w:sz w:val="20"/>
          <w:szCs w:val="20"/>
          <w:color w:val="auto"/>
        </w:rPr>
      </w:pPr>
    </w:p>
    <w:p>
      <w:pPr>
        <w:ind w:left="720" w:right="7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operating results or the failure of our operating results to meet the expectations of investors or securities analysts;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and clinical studies for any product candidates that we may develop;</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development of companion diagnostics, if required, for use with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or product candidates that we may develop;</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manufacturers, suppliers, collaborators or other strategic partners;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shortages;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reports, whether or not true, about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98" w:name="page99"/>
    <w:bookmarkEnd w:id="98"/>
    <w:p>
      <w:pPr>
        <w:ind w:left="720" w:right="7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additional funding;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industry, political and market conditions, such as changing trade policies, military conflict or war, inflation and financial institution instability, or pandemic or epidemic disease outbreaks, many of which are beyond our control;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Quarterly Report, including those which are outside of our control.</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 market price of our common stock may decline, and investors may lose some or all of their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decline significantly, even if our business is doing well.</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October 31, 2025, we had 53,679,166 shares of common stock outstanding. Of these shares, 48,679,166 may be resold in the public market immediately, including 6,311,030 shares of common stock issued in a PIPE that we have registered on Form S-3 ASR for resale, unless the shares are held by our affiliates who are subject to volume limitations under Rule 144.</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holders of an aggregate of 26,557,087 shares of our common stock have rights, subject to conditions, to require us to file registration statements covering their shares or to include their shares in registration statements that we may file for ourselves or other stockholders.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pursuant to the terms of the InnoCare Registration Rights Agreement, we are obligated to file a registration statement prior to October 7, 2026 to register for resale the aggregate of 7,000,000 shares of our common stock currently issued and expected to be issued to InnoCare in connection with our collaboration with InnoCare (the “InnoCare Shares”). However, InnoCare may not sell any of the InnoCare Shares until October 7, 2026, and thereafter may not transfer InnoCare Shares during any one month in an amount that exceeds the greater of (i) one percent of the outstanding common stock as most recently reported by us publicly and (ii) the average weekly reported volume of trading in the common stock during the four preceding calendar weeks.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registered all shares of common stock that we may issue under our equity compensation plans or that are issuable upon exercise of outstanding options. These shares can be freely sold in the public market upon issuance and once vested,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9" w:name="page100"/>
    <w:bookmarkEnd w:id="99"/>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subject to volume limitations applicable to affiliates. If any of these additional shares are sold, or if it is perceived that they will be sold, in the public market, the market price of our common stock could decline.</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which could limit other stockholders’ ability to affect the outcome of key transactions, including a change of control.</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directors, executive officers and greater than 5% stockholders and their affiliates, in the aggregate, beneficially own shares representing approximately 67% of our outstanding common stock as of September 30, 2025 and approximately 64% as of October 31, 2025, post InnoCare and PIPE transactions.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other stockholders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investors’ sole source of gain.</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investors’ sole source of gain on an investment in our common stock in the foreseeable future.</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Second Restated Certificate of Incorporation (our “Restated Charter”), our Amended and Restated Bylaws (our “Restated Bylaws”) and Delaware law may have anti-takeover effects that could discourage an acquisition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0" w:name="page101"/>
    <w:bookmarkEnd w:id="100"/>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 us by others, even if an acquisition would be beneficial to our stockholders, and may prevent attempts by our stockholders to replace or remove our current management.</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Restated Charter and Restated Bylaws and Delaware law contain provisions that may have the effect of discouraging, delaying or preventing a change in control of us or changes in our management that stockholders may consider favorable, including transactions in which investors might otherwise receive a premium for their shares. Our Restated Charter and Restated Bylaws include provisions that:</w:t>
      </w:r>
    </w:p>
    <w:p>
      <w:pPr>
        <w:spacing w:after="0" w:line="180" w:lineRule="exact"/>
        <w:rPr>
          <w:sz w:val="20"/>
          <w:szCs w:val="20"/>
          <w:color w:val="auto"/>
        </w:rPr>
      </w:pPr>
    </w:p>
    <w:p>
      <w:pPr>
        <w:ind w:left="720" w:right="7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Restated Bylaws;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Restated Charter and Restated Bylaws.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Charter designates specific courts as the sole and exclusive forum for certain claims or causes of action that may be brought by our stockholders, which could discourage lawsuits against us and our directors and officers.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Restated Charter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01" w:name="page102"/>
    <w:bookmarkEnd w:id="101"/>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w:t>
      </w:r>
    </w:p>
    <w:p>
      <w:pPr>
        <w:spacing w:after="0" w:line="2" w:lineRule="exact"/>
        <w:rPr>
          <w:sz w:val="20"/>
          <w:szCs w:val="20"/>
          <w:color w:val="auto"/>
        </w:rPr>
      </w:pPr>
    </w:p>
    <w:p>
      <w:pPr>
        <w:ind w:left="60" w:right="59" w:hanging="10"/>
        <w:spacing w:after="0" w:line="260" w:lineRule="auto"/>
        <w:tabs>
          <w:tab w:leader="none" w:pos="2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herein above (each a “Covered Claim”). This provision does not apply to claims brought to enforce a duty or liability created by the Exchange Act.</w:t>
      </w:r>
    </w:p>
    <w:p>
      <w:pPr>
        <w:spacing w:after="0" w:line="1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Restated Charter further provides that the federal district courts of the United States of America will be the exclusive forum for resolving any complaint asserting a cause of action arising under the Securities Act. In addition, our Restated Charter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choice of forum provisions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economic and market conditions may have serious adverse consequences on our business, financial condition and stock price.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high interest rates, the impact of increased tariffs and trade policy,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our business, or if they publish inaccurate or unfavorable research about our business, our stock price and trading volume could decline.</w:t>
      </w:r>
    </w:p>
    <w:p>
      <w:pPr>
        <w:spacing w:after="0" w:line="159" w:lineRule="exact"/>
        <w:rPr>
          <w:sz w:val="20"/>
          <w:szCs w:val="20"/>
          <w:color w:val="auto"/>
        </w:rPr>
      </w:pPr>
    </w:p>
    <w:p>
      <w:pPr>
        <w:jc w:val="both"/>
        <w:ind w:left="60" w:right="79"/>
        <w:spacing w:after="0" w:line="274"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continue to cover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2" w:name="page103"/>
    <w:bookmarkEnd w:id="102"/>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or our stock performance, or if our preclinical studies and clinical trials and operating results fail to meet the expectations of analysts, our stock price would likely decline.</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continue to be required to devote substantial time to new compliance initiatives and corporate governance practices.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need to devote a substantial amount of time to these compliance initiatives. Moreover, we expect these rules and regulations have, and we expect them to continue to substantially increase our legal and financial compliance costs and to make some activities more time consuming and costly. We cannot predict or estimate the amount or timing of additional costs we may incur to respond to these requirements in the future.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 404 of the Sarbanes-Oxley Act, which requires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an annual basis, we will not be required to make our first annual assessment of our internal control over financial reporting until our annual report on Form 10-K, for fiscal year ending December 31, 2025. However, as an emerging growth company, our independent registered public accounting firm will not be required to formally attest to the effectiveness of our internal control over financial reporting until the later of the fiscal year ending December 31, 2025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3" w:name="page104"/>
    <w:bookmarkEnd w:id="103"/>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 consuming, damage our reputation and divert our management’s attention from other business concerns, which could seriously harm our business.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litigation imposes costs on our business.</w:t>
      </w:r>
    </w:p>
    <w:p>
      <w:pPr>
        <w:spacing w:after="0" w:line="175" w:lineRule="exact"/>
        <w:rPr>
          <w:sz w:val="20"/>
          <w:szCs w:val="20"/>
          <w:color w:val="auto"/>
        </w:rPr>
      </w:pPr>
    </w:p>
    <w:p>
      <w:pPr>
        <w:jc w:val="both"/>
        <w:ind w:left="60" w:right="279"/>
        <w:spacing w:after="0" w:line="252" w:lineRule="auto"/>
        <w:rPr>
          <w:sz w:val="20"/>
          <w:szCs w:val="20"/>
          <w:color w:val="auto"/>
        </w:rPr>
      </w:pPr>
      <w:r>
        <w:rPr>
          <w:rFonts w:ascii="Times New Roman" w:cs="Times New Roman" w:eastAsia="Times New Roman" w:hAnsi="Times New Roman"/>
          <w:sz w:val="18"/>
          <w:szCs w:val="18"/>
          <w:color w:val="auto"/>
        </w:rPr>
        <w:t>Securities class action litigation often is instituted against issuers following periods of volatility or declines in the market prices of an issuer’s securities. As an example, in April 2025, a putative securities class action was filed against us and certain of our directors and officers, as well as the underwriters in our IPO. The action, purportedly brought on behalf of a putative class of purchasers of our common stock in, or traceable to, our IPO, asserts claims under Sections 11, 12, and 15 of the Securities Act of 1933, as amended. The action seeks compensatory damages, attorneys’ fees and costs, and any other relief that the court determines is just and proper. Often multiple plaintiffs’ attorneys file similar complaints and, at a future point, a consolidated amended complaint is filed. We do not anticipate providing updates for similar complaints or developments in this litigation, absent a legal obligation. Securities litigation results in costs and diversion of management’s time and attention. The underwriting agreement from our IPO contemplates that we cover certain litigation expenses incurred by the underwriters in connection with the suit referenced above. Costs we incur addressing securities litigation harm our business, operating results, and financial condition, potentially with significant impact. Securities litigation also often raises the cost of directors’ and officers’ liability insurance. We factor those costs into the policy limits and scope of coverage we obtain, with those costs being a key factor in determining the extent to which we rely on our balance sheet, rather than insurance, to cover defense costs, any settlement amounts, or any damages awarded to plaintiffs in litigation.</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the adoption of new tax legislation or other exposure to tax liabilities, could harm our business.</w:t>
      </w:r>
    </w:p>
    <w:p>
      <w:pPr>
        <w:spacing w:after="0" w:line="21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04" w:name="page105"/>
    <w:bookmarkEnd w:id="104"/>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Use of Proceeds from Public Offering of Common Stock</w:t>
      </w:r>
    </w:p>
    <w:p>
      <w:pPr>
        <w:spacing w:after="0" w:line="12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September 16, 2024, the Company’s registration statement on Form S-1 (File No.333-281713) (the “IPO Prospectus”) relating to our IPO became effective.</w:t>
      </w:r>
    </w:p>
    <w:p>
      <w:pPr>
        <w:spacing w:after="0" w:line="54" w:lineRule="exact"/>
        <w:rPr>
          <w:sz w:val="20"/>
          <w:szCs w:val="20"/>
          <w:color w:val="auto"/>
        </w:rPr>
      </w:pPr>
    </w:p>
    <w:p>
      <w:pPr>
        <w:ind w:left="60" w:right="119"/>
        <w:spacing w:after="0" w:line="477" w:lineRule="auto"/>
        <w:rPr>
          <w:sz w:val="20"/>
          <w:szCs w:val="20"/>
          <w:color w:val="auto"/>
        </w:rPr>
      </w:pPr>
      <w:r>
        <w:rPr>
          <w:rFonts w:ascii="Times New Roman" w:cs="Times New Roman" w:eastAsia="Times New Roman" w:hAnsi="Times New Roman"/>
          <w:sz w:val="18"/>
          <w:szCs w:val="18"/>
          <w:color w:val="auto"/>
        </w:rPr>
        <w:t xml:space="preserve">There has been no material change in the planned use of proceeds from our IPO from that described in the IPO Prospectus. </w:t>
      </w:r>
      <w:r>
        <w:rPr>
          <w:rFonts w:ascii="Times New Roman" w:cs="Times New Roman" w:eastAsia="Times New Roman" w:hAnsi="Times New Roman"/>
          <w:sz w:val="18"/>
          <w:szCs w:val="18"/>
          <w:b w:val="1"/>
          <w:bCs w:val="1"/>
          <w:color w:val="auto"/>
        </w:rPr>
        <w:t>Item 3. Defaults Upon Senior Securities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our fiscal quarter ended September 30, 2025, no director or “officer” (as defined in Rule 16a-1(f) under the Exchange Act) of the Company adopted or terminated a “Rule 10b5-1 trading arrangement” or “non-Rule 10b5-1 trading arrangement,” as each term is defined in Item 408(a) of Regulation S-K.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620" w:type="dxa"/>
            <w:vAlign w:val="bottom"/>
            <w:gridSpan w:val="11"/>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20" w:type="dxa"/>
            <w:vAlign w:val="bottom"/>
            <w:gridSpan w:val="11"/>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300" w:type="dxa"/>
            <w:vAlign w:val="bottom"/>
          </w:tcPr>
          <w:p>
            <w:pPr>
              <w:spacing w:after="0"/>
              <w:rPr>
                <w:sz w:val="24"/>
                <w:szCs w:val="24"/>
                <w:color w:val="auto"/>
              </w:rPr>
            </w:pPr>
          </w:p>
        </w:tc>
        <w:tc>
          <w:tcPr>
            <w:tcW w:w="7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Second Restated Certificate of Incorporation of Zenas BioPharma, Inc. (incorporated by reference to</w:t>
              </w:r>
            </w:hyperlink>
          </w:p>
        </w:tc>
        <w:tc>
          <w:tcPr>
            <w:tcW w:w="360" w:type="dxa"/>
            <w:vAlign w:val="bottom"/>
            <w:gridSpan w:val="3"/>
          </w:tcPr>
          <w:p>
            <w:pPr>
              <w:spacing w:after="0"/>
              <w:rPr>
                <w:sz w:val="24"/>
                <w:szCs w:val="24"/>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7620" w:type="dxa"/>
            <w:vAlign w:val="bottom"/>
            <w:gridSpan w:val="1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Exhibit 3.1 to the Form 8-K filed on September 16, 2024, File No. 001-42270)</w:t>
              </w:r>
            </w:hyperlink>
          </w:p>
        </w:tc>
      </w:tr>
      <w:tr>
        <w:trPr>
          <w:trHeight w:val="20"/>
        </w:trPr>
        <w:tc>
          <w:tcPr>
            <w:tcW w:w="130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7620" w:type="dxa"/>
            <w:vAlign w:val="bottom"/>
            <w:gridSpan w:val="11"/>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Bylaws of Zenas BioPharma, Inc. (incorporated by reference to Exhibit 3.2 to the</w:t>
              </w:r>
            </w:hyperlink>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8-K filed on September 16, 2024, File No. 001-42270)</w:t>
              </w:r>
            </w:hyperlink>
          </w:p>
        </w:tc>
        <w:tc>
          <w:tcPr>
            <w:tcW w:w="3200" w:type="dxa"/>
            <w:vAlign w:val="bottom"/>
            <w:tcBorders>
              <w:top w:val="single" w:sz="8" w:color="0000EE"/>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300" w:type="dxa"/>
            <w:vAlign w:val="bottom"/>
          </w:tcPr>
          <w:p>
            <w:pPr>
              <w:spacing w:after="0"/>
              <w:rPr>
                <w:sz w:val="24"/>
                <w:szCs w:val="24"/>
                <w:color w:val="auto"/>
              </w:rPr>
            </w:pPr>
          </w:p>
        </w:tc>
        <w:tc>
          <w:tcPr>
            <w:tcW w:w="7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Revenue Participation Right Purchase and Sale Agreement, by and between Zenas BioPharma, Inc. and</w:t>
            </w: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Royalty Pharma Investments 2019 ICAV, dated September 2, 2025</w:t>
            </w:r>
          </w:p>
        </w:tc>
        <w:tc>
          <w:tcPr>
            <w:tcW w:w="160" w:type="dxa"/>
            <w:vAlign w:val="bottom"/>
            <w:gridSpan w:val="2"/>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420" w:type="dxa"/>
            <w:vAlign w:val="bottom"/>
            <w:gridSpan w:val="4"/>
          </w:tcPr>
          <w:p>
            <w:pPr>
              <w:spacing w:after="0"/>
              <w:rPr>
                <w:sz w:val="24"/>
                <w:szCs w:val="24"/>
                <w:color w:val="auto"/>
              </w:rPr>
            </w:pPr>
          </w:p>
        </w:tc>
      </w:tr>
      <w:tr>
        <w:trPr>
          <w:trHeight w:val="41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30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7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1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40" w:type="dxa"/>
            <w:vAlign w:val="bottom"/>
            <w:gridSpan w:val="5"/>
          </w:tcPr>
          <w:p>
            <w:pPr>
              <w:spacing w:after="0"/>
              <w:rPr>
                <w:sz w:val="17"/>
                <w:szCs w:val="17"/>
                <w:color w:val="auto"/>
              </w:rPr>
            </w:pPr>
          </w:p>
        </w:tc>
      </w:tr>
      <w:tr>
        <w:trPr>
          <w:trHeight w:val="669"/>
        </w:trPr>
        <w:tc>
          <w:tcPr>
            <w:tcW w:w="1300" w:type="dxa"/>
            <w:vAlign w:val="bottom"/>
          </w:tcPr>
          <w:p>
            <w:pPr>
              <w:spacing w:after="0"/>
              <w:rPr>
                <w:sz w:val="24"/>
                <w:szCs w:val="24"/>
                <w:color w:val="auto"/>
              </w:rPr>
            </w:pPr>
          </w:p>
        </w:tc>
        <w:tc>
          <w:tcPr>
            <w:tcW w:w="3420" w:type="dxa"/>
            <w:vAlign w:val="bottom"/>
            <w:tcBorders>
              <w:top w:val="single" w:sz="8" w:color="0000EE"/>
            </w:tcBorders>
          </w:tcPr>
          <w:p>
            <w:pPr>
              <w:ind w:left="3020"/>
              <w:spacing w:after="0"/>
              <w:rPr>
                <w:sz w:val="20"/>
                <w:szCs w:val="20"/>
                <w:color w:val="auto"/>
              </w:rPr>
            </w:pPr>
            <w:r>
              <w:rPr>
                <w:rFonts w:ascii="Times New Roman" w:cs="Times New Roman" w:eastAsia="Times New Roman" w:hAnsi="Times New Roman"/>
                <w:sz w:val="18"/>
                <w:szCs w:val="18"/>
                <w:color w:val="auto"/>
              </w:rPr>
              <w:t>105</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0"/>
        </w:trPr>
        <w:tc>
          <w:tcPr>
            <w:tcW w:w="1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9" w:right="1440" w:bottom="1440" w:gutter="0" w:footer="0" w:header="0"/>
        </w:sectPr>
      </w:pPr>
    </w:p>
    <w:bookmarkStart w:id="105" w:name="page106"/>
    <w:bookmarkEnd w:id="105"/>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7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340" w:type="dxa"/>
            <w:vAlign w:val="bottom"/>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060" w:type="dxa"/>
            <w:vAlign w:val="bottom"/>
            <w:gridSpan w:val="2"/>
          </w:tcPr>
          <w:p>
            <w:pPr>
              <w:spacing w:after="0"/>
              <w:rPr>
                <w:sz w:val="17"/>
                <w:szCs w:val="17"/>
                <w:color w:val="auto"/>
              </w:rPr>
            </w:pPr>
          </w:p>
        </w:tc>
      </w:tr>
      <w:tr>
        <w:trPr>
          <w:trHeight w:val="434"/>
        </w:trPr>
        <w:tc>
          <w:tcPr>
            <w:tcW w:w="128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380" w:right="59" w:hanging="323"/>
        <w:spacing w:after="0" w:line="260" w:lineRule="auto"/>
        <w:rPr>
          <w:sz w:val="20"/>
          <w:szCs w:val="20"/>
          <w:color w:val="auto"/>
        </w:rPr>
      </w:pPr>
      <w:r>
        <w:rPr>
          <w:rFonts w:ascii="Times New Roman" w:cs="Times New Roman" w:eastAsia="Times New Roman" w:hAnsi="Times New Roman"/>
          <w:sz w:val="18"/>
          <w:szCs w:val="18"/>
          <w:color w:val="auto"/>
        </w:rPr>
        <w:t>+    Portions of this exhibit (indicated by asterisks) have been redacted pursuant to Item 601 S-K because they are both not material and the registrant customarily and actually treats such information as private of confidential.</w:t>
      </w:r>
    </w:p>
    <w:p>
      <w:pPr>
        <w:spacing w:after="0" w:line="181" w:lineRule="exact"/>
        <w:rPr>
          <w:sz w:val="20"/>
          <w:szCs w:val="20"/>
          <w:color w:val="auto"/>
        </w:rPr>
      </w:pPr>
    </w:p>
    <w:p>
      <w:pPr>
        <w:ind w:left="60" w:right="99" w:hanging="10"/>
        <w:spacing w:after="0" w:line="261" w:lineRule="auto"/>
        <w:tabs>
          <w:tab w:leader="none" w:pos="3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12, 2025</w:t>
      </w:r>
    </w:p>
    <w:p>
      <w:pPr>
        <w:spacing w:after="0" w:line="23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9"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117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 Leon O. Moulder, Jr.</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117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 Jennifer Fox</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Title:  Chief Business Officer and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ind w:left="80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IDENTIFIED INFORMATION HAS BEEN EXCLUDED FROM THIS EXHIBIT BECAUSE IT IS (I) NOT MATERIAL AND (II) THE TYPE THAT THE REGISTRANT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Revenue Participation Right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Zenas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Royalty Pharma Investments 2019 ICAV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September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1045845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07" w:name="page108"/>
    <w:bookmarkEnd w:id="107"/>
    <w:tbl>
      <w:tblPr>
        <w:tblLayout w:type="fixed"/>
        <w:tblInd w:w="6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674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24"/>
        </w:trPr>
        <w:tc>
          <w:tcPr>
            <w:tcW w:w="11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2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7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7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1.2</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Interpretations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1.3</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2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SALE AND ASSIGNMENT OF THE REVENUE PARTICIPATION RIGHT</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2.1</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Sale and Assignment</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2.2</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Price and Use of Proceeds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2.3</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Assumed Obligations, Etc</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2.4</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True Sale</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13</w:t>
            </w:r>
          </w:p>
        </w:tc>
      </w:tr>
      <w:tr>
        <w:trPr>
          <w:trHeight w:val="32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CLOSING; PAYMENT OF PURCHASE PRICE</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3.1</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3.2</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Initial Purchase Price</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3.3</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 of Sale</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3.4</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Seller Form W-9</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3.5</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Buyer Form W-8BEN-E</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3.6</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Purchase Price Payments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14</w:t>
            </w:r>
          </w:p>
        </w:tc>
      </w:tr>
      <w:tr>
        <w:trPr>
          <w:trHeight w:val="32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THE SELLER</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15</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4.1</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Good Standing</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15</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4.2</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4.3</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Enforceability</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4.4</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4.5</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4.6</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Litigation</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4.7</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4.8</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17</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4.9</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18</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4.10</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to Revenue Participation Right; No Liens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19</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4.11</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19</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4.12</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 Related Representation and Warranties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19</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4.13</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 Fees</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sectPr>
      </w:pPr>
    </w:p>
    <w:bookmarkStart w:id="108" w:name="page109"/>
    <w:bookmarkEnd w:id="108"/>
    <w:tbl>
      <w:tblPr>
        <w:tblLayout w:type="fixed"/>
        <w:tblInd w:w="60" w:type="dxa"/>
        <w:tblCellMar>
          <w:top w:w="0" w:type="dxa"/>
          <w:left w:w="0" w:type="dxa"/>
          <w:bottom w:w="0" w:type="dxa"/>
          <w:right w:w="0" w:type="dxa"/>
        </w:tblCellMar>
      </w:tblPr>
      <w:tr>
        <w:trPr>
          <w:trHeight w:val="23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4.14</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Corrupt Practices Act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REPRESENTATIONS AND WARRANTIES OF THE BUYER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5.1</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Good 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5.2</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5.3</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5.4</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5.5</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5.6</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5.7</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5.8</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 Fees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NO OTHER 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7.1</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Seller Diligence Requirements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7.2</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7.3</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Payments; Revenue Payment Details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7.4</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Inspections and Audits of the Seller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7.5</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7.6</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In-Licenses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7.7</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Out-Licenses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7.8</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7.9</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Post-Closing Obligation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7.10</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7.11</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Payments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7.12</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Negative Pledge; Preservation of Assets and Liens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7.13</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 on Indebtedness.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INDEMNIFICATION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8.1</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Indemnity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8.2</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Claims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8.3</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Liability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8.4</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Party Claims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8.5</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Exclusive Remedy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8.6</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09" w:name="page110"/>
    <w:bookmarkEnd w:id="109"/>
    <w:tbl>
      <w:tblPr>
        <w:tblLayout w:type="fixed"/>
        <w:tblInd w:w="6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9.1</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9.2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Disclosure.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10.1</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10.3</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11.1</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11.3</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 Transfer Restrictions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11.4</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11.5</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11.6</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11.7</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11.8</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Venue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11.9</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11.10</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11.11</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11.12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0" w:name="page111"/>
    <w:bookmarkEnd w:id="110"/>
    <w:tbl>
      <w:tblPr>
        <w:tblLayout w:type="fixed"/>
        <w:tblInd w:w="6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of Exhibits</w:t>
            </w: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Instructions</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 of Bill of Sale</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Obexelimab Sequence</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Existing Contract Manufacturing Agreements</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Existing In-Licenses</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Baseball Arbitration</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H:</w:t>
            </w:r>
          </w:p>
        </w:tc>
        <w:tc>
          <w:tcPr>
            <w:tcW w:w="4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Seller’s Disclosure Schedule</w:t>
            </w: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u w:val="single" w:color="auto"/>
          <w:color w:val="auto"/>
        </w:rPr>
        <w:t>REVENUE PARTICIPATION RIGHT PURCHASE AND SALE AGREEMENT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This REVENUE PARTICIPATION RIGHT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and entered into by and between Royalty Pharma Investments 2019 ICAV, an Irish collective asset-management vehicle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Zenas BioPharma, Inc., a Delaware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WHEREAS, the Seller is in the business of, among other things, developing and commercializing pharmaceutical products, including the Product; and</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WHEREAS, the Buyer desires to purchase the Revenue Participation Right and receive the Revenue Payments from the Seller, and the Seller desires to sell the Revenue Participation Right and make the Revenue Payments to the Buyer, in each case on the terms and conditions set forth in this Agreement.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following terms, as used herein, shall have the following meanings: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Purchase Price Payment</w:t>
      </w:r>
      <w:r>
        <w:rPr>
          <w:rFonts w:ascii="Times New Roman" w:cs="Times New Roman" w:eastAsia="Times New Roman" w:hAnsi="Times New Roman"/>
          <w:sz w:val="18"/>
          <w:szCs w:val="18"/>
          <w:color w:val="auto"/>
        </w:rPr>
        <w:t>” is defined in Section 3.6.</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particular Person, any other Person directly or indirectly controlling, controlled by or under common control with such particular Person. For purposes of the foregoing sentence, the term “control” means direct or indirect ownership of (a) fifty percent (50%) or more, including ownership by trusts with substantially the same beneficial interests, of the voting and equity rights of such Person, firm, trust, corporation, partnership or other entity or combination thereof, or (b) the power to direct the management of such Person, firm, trust, corporation, partnership or other entity or combination thereof, by contract or otherwise. For purposes hereof, any Person shall be deemed to control a partnership, limited liability company, association or other business entity if such Person,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Licensee Payment</w:t>
      </w:r>
      <w:r>
        <w:rPr>
          <w:rFonts w:ascii="Times New Roman" w:cs="Times New Roman" w:eastAsia="Times New Roman" w:hAnsi="Times New Roman"/>
          <w:sz w:val="18"/>
          <w:szCs w:val="18"/>
          <w:color w:val="auto"/>
        </w:rPr>
        <w:t>” is defined in Section 7.7(a).</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2" w:name="page113"/>
    <w:bookmarkEnd w:id="112"/>
    <w:p>
      <w:pPr>
        <w:ind w:left="700"/>
        <w:spacing w:after="0"/>
        <w:rPr>
          <w:sz w:val="20"/>
          <w:szCs w:val="20"/>
          <w:color w:val="auto"/>
        </w:rPr>
      </w:pPr>
      <w:r>
        <w:rPr>
          <w:rFonts w:ascii="Times New Roman" w:cs="Times New Roman" w:eastAsia="Times New Roman" w:hAnsi="Times New Roman"/>
          <w:sz w:val="18"/>
          <w:szCs w:val="18"/>
          <w:color w:val="auto"/>
        </w:rPr>
        <w:t>[***] is defined in the definition of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 Arbitrator</w:t>
      </w:r>
      <w:r>
        <w:rPr>
          <w:rFonts w:ascii="Times New Roman" w:cs="Times New Roman" w:eastAsia="Times New Roman" w:hAnsi="Times New Roman"/>
          <w:sz w:val="18"/>
          <w:szCs w:val="18"/>
          <w:color w:val="auto"/>
        </w:rPr>
        <w:t>” is defined in Section 7.4(d).</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Security Interest</w:t>
      </w:r>
      <w:r>
        <w:rPr>
          <w:rFonts w:ascii="Times New Roman" w:cs="Times New Roman" w:eastAsia="Times New Roman" w:hAnsi="Times New Roman"/>
          <w:sz w:val="18"/>
          <w:szCs w:val="18"/>
          <w:color w:val="auto"/>
        </w:rPr>
        <w:t>” is defined in Section 2.4.</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Laws</w:t>
      </w:r>
      <w:r>
        <w:rPr>
          <w:rFonts w:ascii="Times New Roman" w:cs="Times New Roman" w:eastAsia="Times New Roman" w:hAnsi="Times New Roman"/>
          <w:sz w:val="18"/>
          <w:szCs w:val="18"/>
          <w:color w:val="auto"/>
        </w:rPr>
        <w:t>” means, collectively, bankruptcy, insolvency, reorganization, moratorium, fraudulent conveyance, fraudulent transfer or other similar laws affecting the enforcement of creditors’ rights generally.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is defined in Section 3.3.</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BMS Agreement</w:t>
      </w:r>
      <w:r>
        <w:rPr>
          <w:rFonts w:ascii="Times New Roman" w:cs="Times New Roman" w:eastAsia="Times New Roman" w:hAnsi="Times New Roman"/>
          <w:sz w:val="18"/>
          <w:szCs w:val="18"/>
          <w:color w:val="auto"/>
        </w:rPr>
        <w:t>” means the License Agreement between Seller and Bristol-Myers Squibb Company dated as of August 30, 2023, as in effect on the date hereof.</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Sunday or (b) a day on which banking institutions located in New York are permitted or required by applicable law or regulation to remain closed.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is defined in Section 8.1(a).</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means a period of three (3) consecutive months ending at midnight, New York City time on the last day of March, June, September, or December, respectively, provided that the first Calendar Quarter shall commence on the Effective Date and end on September 30, 2025.</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means a period of twelve (12) consecutive months commencing on January 1 of any year, provided that the first Calendar Year shall commence on the Effective Date and end on December 31, 2025.</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a transaction or series of related transactions that results in the sale or other disposition of all or substantially all of the Seller’s and its Affiliates’ assets, on a consolidated basis; (b) a merger or consolidation of the Seller (or a parent entity) with a Third Party in which the Seller (or a parent entity) is not the surviving corporation or in which, if the Seller (or its parent entity) is the surviving corporation, the stockholders of the Seller (or its parent entity) immediately prior to the consummation of such merger or consolidation do not, immediately after consummation of such merger or consolidation, possess, directly or indirectly through one or more intermediaries, and acting jointly, a majority of the voting power of all of the surviving entity’s outstanding stock and other securities and the power to elect a majority of the members of the Seller’s (or its parent entity’s) board of directors (or equivalent governing body); or (c) a transaction or series of related transactions with one or more Third Parties (which may include a tender offer for the Seller’s (or its parent entity’s) stock or the issuance, sale or exchange of stock of the Seller (or its parent entity)) if the stockholders of the Seller (or its parent entity) immediately prior to such transaction(s) do not, immediately after consummation of such transaction(s), possess, directly or indirectly through one or more intermediaries, and acting jointly, a majority of the voting power of all of the Seller’s (or its parent entity’s) or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3" w:name="page114"/>
    <w:bookmarkEnd w:id="11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outstanding stock and other securities and the power to elect a majority of the members of the Seller’s (or its parent entity’s) or its successor’s board of directors (or equivalent governing body).</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w:t>
      </w:r>
      <w:r>
        <w:rPr>
          <w:rFonts w:ascii="Times New Roman" w:cs="Times New Roman" w:eastAsia="Times New Roman" w:hAnsi="Times New Roman"/>
          <w:sz w:val="18"/>
          <w:szCs w:val="18"/>
          <w:color w:val="auto"/>
        </w:rPr>
        <w:t>” means a clinical study involving patients or healthy volunteers intended to support the Marketing Approval or Commercialization of a Product.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Updates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CMC Activities</w:t>
      </w:r>
      <w:r>
        <w:rPr>
          <w:rFonts w:ascii="Times New Roman" w:cs="Times New Roman" w:eastAsia="Times New Roman" w:hAnsi="Times New Roman"/>
          <w:sz w:val="18"/>
          <w:szCs w:val="18"/>
          <w:color w:val="auto"/>
        </w:rPr>
        <w:t>” means those manufacturing activities and regulatory activities designed to support preparation of the chemistry, manufacturing and controls sections of any regulatory materials or Marketing Approval for any Product.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Combination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Updates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the marketing, detailing, promotion, commercial launching, selling and securing of reimbursement of a product (including using, importing, selling and offering for sale of the product), and shall include Post-Approval Studies, post-launch marketing, promoting, detailing, marketing research, customer service, selling a product, importing, exporting, and regulatory compliance with respect to the foregoing. When used as a verb,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Commercializing</w:t>
      </w:r>
      <w:r>
        <w:rPr>
          <w:rFonts w:ascii="Times New Roman" w:cs="Times New Roman" w:eastAsia="Times New Roman" w:hAnsi="Times New Roman"/>
          <w:sz w:val="18"/>
          <w:szCs w:val="18"/>
          <w:color w:val="auto"/>
        </w:rPr>
        <w:t>” shall mean to engage in Commercialization. For clarity,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excludes Manufacturing activities.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is defined in Section 9.1.</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Manufacturing Agreement</w:t>
      </w:r>
      <w:r>
        <w:rPr>
          <w:rFonts w:ascii="Times New Roman" w:cs="Times New Roman" w:eastAsia="Times New Roman" w:hAnsi="Times New Roman"/>
          <w:sz w:val="18"/>
          <w:szCs w:val="18"/>
          <w:color w:val="auto"/>
        </w:rPr>
        <w:t>” means any agreement or arrangement (including any memorandum of understanding regarding a future agreement) between the Seller or any of its Affiliates, on the one hand, and any Third Party, on the other hand, for the Manufacture of a Product (including bulk drug product, bulk drug substance and finished product).</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customary intercreditor agreement between the Buyer and a Third Party providing [***]; and (f) any other provisions reasonably satisfactory to such Third Party secured debt provider and the Buyer consistent with clauses (a)-(e) above and consistent with the premise that (i) [***], and (ii) the Buyer shall not interfere with such Third Party secured debt provider enforcing its rights and remedies as a secured creditor under the UCC, any Bankruptcy Laws and any other applicable law (to the extent such enforcement is not inconsistent with clauses (a)-(e) above or other customary protections applicable to junior creditors).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is defined in Section 7.9.</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is defined in Section 9.1.</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means the Disclosure Schedule, dated as of the Effective Date,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4" w:name="page115"/>
    <w:bookmarkEnd w:id="114"/>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 or any successor agency thereto.</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Union</w:t>
      </w:r>
      <w:r>
        <w:rPr>
          <w:rFonts w:ascii="Times New Roman" w:cs="Times New Roman" w:eastAsia="Times New Roman" w:hAnsi="Times New Roman"/>
          <w:sz w:val="18"/>
          <w:szCs w:val="18"/>
          <w:color w:val="auto"/>
        </w:rPr>
        <w:t>” means the countries of the European Union, as it is constituted on the date of this Agreement and as it may be modified from time to time after the date of this Agreement.</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Product</w:t>
      </w:r>
      <w:r>
        <w:rPr>
          <w:rFonts w:ascii="Times New Roman" w:cs="Times New Roman" w:eastAsia="Times New Roman" w:hAnsi="Times New Roman"/>
          <w:sz w:val="18"/>
          <w:szCs w:val="18"/>
          <w:color w:val="auto"/>
        </w:rPr>
        <w:t>” means any compound, molecule or other pharmaceutical product developed or licensed by the Seller or any of its Affiliates that is not a Product.</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Product Assets</w:t>
      </w:r>
      <w:r>
        <w:rPr>
          <w:rFonts w:ascii="Times New Roman" w:cs="Times New Roman" w:eastAsia="Times New Roman" w:hAnsi="Times New Roman"/>
          <w:sz w:val="18"/>
          <w:szCs w:val="18"/>
          <w:color w:val="auto"/>
        </w:rPr>
        <w:t>” means, collectively, the Seller’s and its Affiliates’ rights, title and interests in any Excluded Product (including all inventory, raw material and work in progress of such Excluded Product) and product rights solely related to Excluded Products (including, (a) any intellectual property rights, (b) regulatory filings, submissions and approvals with or from any regulatory authorities, including any clinical data thereunder, (c) any in-licenses, and (d) out-licenses, in each case, solely related to Excluded Products) owned, licensed or otherwise held by the Seller or any of its Affiliates and any proceeds thereof, including (i) all accounts receivable and payment intangibles solely resulting from the sale, license or other disposition of such Excluded Product by the Seller or its Affiliates, (ii) cash and cash equivalents to the extent traceable solely from such sale, license or deposition in the foregoing clause (i), and (iii) any deposit or securities accounts holding such cash and equivalents and/or proceeds of such accounts receivable and payment intangibles in the foregoing clauses (i) and (ii).</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Agreements</w:t>
      </w:r>
      <w:r>
        <w:rPr>
          <w:rFonts w:ascii="Times New Roman" w:cs="Times New Roman" w:eastAsia="Times New Roman" w:hAnsi="Times New Roman"/>
          <w:sz w:val="18"/>
          <w:szCs w:val="18"/>
          <w:color w:val="auto"/>
        </w:rPr>
        <w:t>” means the BMS Agreement, each Existing Contract Manufacturing Agreement, and each Existing In-License.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Contract Manufacturing Agreement</w:t>
      </w:r>
      <w:r>
        <w:rPr>
          <w:rFonts w:ascii="Times New Roman" w:cs="Times New Roman" w:eastAsia="Times New Roman" w:hAnsi="Times New Roman"/>
          <w:sz w:val="18"/>
          <w:szCs w:val="18"/>
          <w:color w:val="auto"/>
        </w:rPr>
        <w:t xml:space="preserve">” means the agreements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In-Licenses</w:t>
      </w:r>
      <w:r>
        <w:rPr>
          <w:rFonts w:ascii="Times New Roman" w:cs="Times New Roman" w:eastAsia="Times New Roman" w:hAnsi="Times New Roman"/>
          <w:sz w:val="18"/>
          <w:szCs w:val="18"/>
          <w:color w:val="auto"/>
        </w:rPr>
        <w:t xml:space="preserve">” means the agreements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Patent Rights</w:t>
      </w:r>
      <w:r>
        <w:rPr>
          <w:rFonts w:ascii="Times New Roman" w:cs="Times New Roman" w:eastAsia="Times New Roman" w:hAnsi="Times New Roman"/>
          <w:sz w:val="18"/>
          <w:szCs w:val="18"/>
          <w:color w:val="auto"/>
        </w:rPr>
        <w:t>” is defined in Section 4.9(a).</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Exploitation</w:t>
      </w:r>
      <w:r>
        <w:rPr>
          <w:rFonts w:ascii="Times New Roman" w:cs="Times New Roman" w:eastAsia="Times New Roman" w:hAnsi="Times New Roman"/>
          <w:sz w:val="18"/>
          <w:szCs w:val="18"/>
          <w:color w:val="auto"/>
        </w:rPr>
        <w:t>” means any and all activities directed to the research, development, importation, exportation, use, registration, modification, enhancement, improvement, optimization, seeking of Marketing Approvals and pricing and reimbursement approvals for, Commercialization or other exploitation of a Product. “</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shall mean to engage in Exploitation. For clarity, “Exploitation” excludes Manufacturing activities.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is defined in Section 4.14.</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means the first sale that will result in any Net Sales of a Product in any jurisdiction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5" w:name="page116"/>
    <w:bookmarkEnd w:id="115"/>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as consistently applied by the applicable Related Party in accordance with its implemented accounting policies.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Sales</w:t>
      </w:r>
      <w:r>
        <w:rPr>
          <w:rFonts w:ascii="Times New Roman" w:cs="Times New Roman" w:eastAsia="Times New Roman" w:hAnsi="Times New Roman"/>
          <w:sz w:val="18"/>
          <w:szCs w:val="18"/>
          <w:color w:val="auto"/>
        </w:rPr>
        <w:t>” is defined in the definition of “Net Sales”.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 any indebtedness for borrowed money, (b) any obligation evidenced by a note, bond, debenture or similar instrument, (c) any obligation to pay the deferred purchase price of property in connection with the purchase of a business or product line (other than, for the avoidance of doubt, “earnouts” and other similar payments based on performance of the acquired business or product line) or (d) any guarantee of any of the foregoing. [***].</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is defined in Section 8.2.</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defined in Section 8.2.</w:t>
      </w:r>
    </w:p>
    <w:p>
      <w:pPr>
        <w:spacing w:after="0" w:line="223"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INDIGO Phase 3 Trial</w:t>
      </w:r>
      <w:r>
        <w:rPr>
          <w:rFonts w:ascii="Times New Roman" w:cs="Times New Roman" w:eastAsia="Times New Roman" w:hAnsi="Times New Roman"/>
          <w:sz w:val="18"/>
          <w:szCs w:val="18"/>
          <w:color w:val="auto"/>
        </w:rPr>
        <w:t>” means the Phase 3 Clinical Trial entitled “</w:t>
      </w:r>
      <w:r>
        <w:rPr>
          <w:rFonts w:ascii="Times New Roman" w:cs="Times New Roman" w:eastAsia="Times New Roman" w:hAnsi="Times New Roman"/>
          <w:sz w:val="18"/>
          <w:szCs w:val="18"/>
          <w:i w:val="1"/>
          <w:iCs w:val="1"/>
          <w:color w:val="auto"/>
        </w:rPr>
        <w:t>A Phase 3 Study of Obexelimab in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IgG4-Related Disease”</w:t>
      </w:r>
      <w:r>
        <w:rPr>
          <w:rFonts w:ascii="Times New Roman" w:cs="Times New Roman" w:eastAsia="Times New Roman" w:hAnsi="Times New Roman"/>
          <w:sz w:val="18"/>
          <w:szCs w:val="18"/>
          <w:color w:val="auto"/>
        </w:rPr>
        <w:t>, clinicaltrials.gov identifier # NCT05662241.</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 Price</w:t>
      </w:r>
      <w:r>
        <w:rPr>
          <w:rFonts w:ascii="Times New Roman" w:cs="Times New Roman" w:eastAsia="Times New Roman" w:hAnsi="Times New Roman"/>
          <w:sz w:val="18"/>
          <w:szCs w:val="18"/>
          <w:color w:val="auto"/>
        </w:rPr>
        <w:t>” means seventy-five million dollars ($75,000,000).</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In-License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In-Licensed Intellectual Property Rights</w:t>
      </w:r>
      <w:r>
        <w:rPr>
          <w:rFonts w:ascii="Times New Roman" w:cs="Times New Roman" w:eastAsia="Times New Roman" w:hAnsi="Times New Roman"/>
          <w:sz w:val="18"/>
          <w:szCs w:val="18"/>
          <w:color w:val="auto"/>
        </w:rPr>
        <w:t>” means all Intellectual Property Rights in-licensed by Seller or any of its Affiliates pursuant to any In-License.</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In-Licensed Patent Rights</w:t>
      </w:r>
      <w:r>
        <w:rPr>
          <w:rFonts w:ascii="Times New Roman" w:cs="Times New Roman" w:eastAsia="Times New Roman" w:hAnsi="Times New Roman"/>
          <w:sz w:val="18"/>
          <w:szCs w:val="18"/>
          <w:color w:val="auto"/>
        </w:rPr>
        <w:t>” means all Patent Rights in-licensed by Seller or any of its Affiliates pursuant to any In-License.</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of the following (a) owned by the Seller or its Affiliates or their respective Licensees or (b) in-licensed by the Seller or its Affiliates or their respective Licensees, in each case ((a) and (b)), as they exist throughout the world at any time: (i) the Patent Rights; [***]; (v) any and all other intellectual property rights and/or proprietary rights, whether or not patentable, specifically relating to any of the foregoing ((i)-(iv)); [***].</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Updates</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6" w:name="page117"/>
    <w:bookmarkEnd w:id="116"/>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means any judgment, order, writ, injunction, citation, award or decree of any nature.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Out-License</w:t>
      </w:r>
      <w:r>
        <w:rPr>
          <w:rFonts w:ascii="Times New Roman" w:cs="Times New Roman" w:eastAsia="Times New Roman" w:hAnsi="Times New Roman"/>
          <w:sz w:val="18"/>
          <w:szCs w:val="18"/>
          <w:color w:val="auto"/>
        </w:rPr>
        <w:t>” is defined in Section 7.7(a).</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and all proprietary or confidential information, know-how and trade secrets, including processes, formulae, models and techniques, rights in research in progress, algorithms, data, databases, data collections, chemical and biological materials (including any compounds, DNA, RNA, clones, vectors, cells and any expression product, progeny, derivatives or improvements thereto), and the results of experimentation and testing, and samples.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Seller</w:t>
      </w:r>
      <w:r>
        <w:rPr>
          <w:rFonts w:ascii="Times New Roman" w:cs="Times New Roman" w:eastAsia="Times New Roman" w:hAnsi="Times New Roman"/>
          <w:sz w:val="18"/>
          <w:szCs w:val="18"/>
          <w:color w:val="auto"/>
        </w:rPr>
        <w:t>” means the actual knowledge of [***], after reasonable due inquiry.</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means any Third Party that is a counterparty to an Out-License, or any downstream (sub)licensee of such Third Party under such Out-License.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Income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0" w:right="59" w:firstLine="638"/>
        <w:spacing w:after="0" w:line="258" w:lineRule="auto"/>
        <w:tabs>
          <w:tab w:leader="none" w:pos="13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Calendar Quarter, all royalty payments payable to the Seller or its Affiliates in respect of Net Sales of the Products by any and all Licensees in the Licensee Income Territory attributable to such Calendar Quarter, less any royalty payments payable by the Seller to Xencor pursuant to Section 9.3 of the Xencor In-License in respect of Net Sales (as defined in the Xencor In-License) of such Products in the Licensee Income Territory in such Calendar Quarter (such net amount, the “</w:t>
      </w:r>
      <w:r>
        <w:rPr>
          <w:rFonts w:ascii="Times New Roman" w:cs="Times New Roman" w:eastAsia="Times New Roman" w:hAnsi="Times New Roman"/>
          <w:sz w:val="18"/>
          <w:szCs w:val="18"/>
          <w:u w:val="single" w:color="auto"/>
          <w:color w:val="auto"/>
        </w:rPr>
        <w:t>Licensee Royalty Income</w:t>
      </w:r>
      <w:r>
        <w:rPr>
          <w:rFonts w:ascii="Times New Roman" w:cs="Times New Roman" w:eastAsia="Times New Roman" w:hAnsi="Times New Roman"/>
          <w:sz w:val="18"/>
          <w:szCs w:val="18"/>
          <w:color w:val="auto"/>
        </w:rPr>
        <w:t>”); plus</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Calendar Quarter, all consideration other than Licensee Royalty Income, in whatever form, payable to the Seller or its Affiliates by any and all Licensees to the extent attributable (in accordance with Section 7.7(a)) to one or more Products in the Licensee Income Territory in such Calendar Quarter, including upfront payments, license maintenance fees, minimum annual royalty payments, milestone payments, option exercise fees, and other similar payments (“</w:t>
      </w:r>
      <w:r>
        <w:rPr>
          <w:rFonts w:ascii="Times New Roman" w:cs="Times New Roman" w:eastAsia="Times New Roman" w:hAnsi="Times New Roman"/>
          <w:sz w:val="18"/>
          <w:szCs w:val="18"/>
          <w:u w:val="single" w:color="auto"/>
          <w:color w:val="auto"/>
        </w:rPr>
        <w:t>Licensee Non-Royalty Income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Licensee Non-Royalty Income expressly excludes: (a) milestone payments payable to the Seller pursuant to Section 8.2 of the BMS Agreement, [***].</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Income Percentage</w:t>
      </w:r>
      <w:r>
        <w:rPr>
          <w:rFonts w:ascii="Times New Roman" w:cs="Times New Roman" w:eastAsia="Times New Roman" w:hAnsi="Times New Roman"/>
          <w:sz w:val="18"/>
          <w:szCs w:val="18"/>
          <w:color w:val="auto"/>
        </w:rPr>
        <w:t>” means twenty-five percent (25%).</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Income Territory</w:t>
      </w:r>
      <w:r>
        <w:rPr>
          <w:rFonts w:ascii="Times New Roman" w:cs="Times New Roman" w:eastAsia="Times New Roman" w:hAnsi="Times New Roman"/>
          <w:sz w:val="18"/>
          <w:szCs w:val="18"/>
          <w:color w:val="auto"/>
        </w:rPr>
        <w:t>” means worldwide other than the Royalty Territory.</w:t>
      </w:r>
    </w:p>
    <w:p>
      <w:pPr>
        <w:spacing w:after="0" w:line="225" w:lineRule="exact"/>
        <w:rPr>
          <w:sz w:val="20"/>
          <w:szCs w:val="20"/>
          <w:color w:val="auto"/>
        </w:rPr>
      </w:pPr>
    </w:p>
    <w:p>
      <w:pPr>
        <w:ind w:left="1140" w:hanging="442"/>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defined in the definition of [***].</w:t>
      </w:r>
    </w:p>
    <w:p>
      <w:pPr>
        <w:spacing w:after="0" w:line="225" w:lineRule="exact"/>
        <w:rPr>
          <w:rFonts w:ascii="Times New Roman" w:cs="Times New Roman" w:eastAsia="Times New Roman" w:hAnsi="Times New Roman"/>
          <w:sz w:val="18"/>
          <w:szCs w:val="18"/>
          <w:color w:val="auto"/>
        </w:rPr>
      </w:pPr>
    </w:p>
    <w:p>
      <w:pPr>
        <w:ind w:left="1140" w:hanging="442"/>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defined in the definition of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means a Third Party that is a party to any In-License.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7" w:name="page118"/>
    <w:bookmarkEnd w:id="117"/>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participation interest, charge, adverse claim, security interest, encumbrance or restriction of any kind, including any restriction on use, transfer or exercise of any other attribute of ownership of any kind, whether voluntarily incurred or arising by operation of law or otherwise.</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Logistics Agreement</w:t>
      </w:r>
      <w:r>
        <w:rPr>
          <w:rFonts w:ascii="Times New Roman" w:cs="Times New Roman" w:eastAsia="Times New Roman" w:hAnsi="Times New Roman"/>
          <w:sz w:val="18"/>
          <w:szCs w:val="18"/>
          <w:color w:val="auto"/>
        </w:rPr>
        <w:t>” means any agreement between the Seller or any of its Affiliates, on the one hand, and a Third Party acting solely as a Logistics Provider, on the other hand.</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Logistics Provider</w:t>
      </w:r>
      <w:r>
        <w:rPr>
          <w:rFonts w:ascii="Times New Roman" w:cs="Times New Roman" w:eastAsia="Times New Roman" w:hAnsi="Times New Roman"/>
          <w:sz w:val="18"/>
          <w:szCs w:val="18"/>
          <w:color w:val="auto"/>
        </w:rPr>
        <w:t>” means a Third Party that has the right, option or obligation to distribute, transport, warehouse, package, import, or provide similar logistics services with respect to a Product on behalf of a Related Party, including a Wholesale Distributor.</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and all Judgments, damages, losses, claims, costs, liabilities and expenses, including reasonable fees and out-of-pocket expenses of counsel.</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European Markets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Manufacturer</w:t>
      </w:r>
      <w:r>
        <w:rPr>
          <w:rFonts w:ascii="Times New Roman" w:cs="Times New Roman" w:eastAsia="Times New Roman" w:hAnsi="Times New Roman"/>
          <w:sz w:val="18"/>
          <w:szCs w:val="18"/>
          <w:color w:val="auto"/>
        </w:rPr>
        <w:t>” means a Third Party that is a party to any Contract Manufacturing Agreement.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means manufacturing, production, formulating, processing, filling, finishing, quality control, quality assurance, stability testing, packaging, labeling, shipping, importing, storage and similar activities with respect to a Product (and components thereof or therefor) and regulatory compliance with respect to the foregoing. “</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shall mean to engage in Manufacturing. For clarity,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excludes Development and Commercialization activities.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Approval</w:t>
      </w:r>
      <w:r>
        <w:rPr>
          <w:rFonts w:ascii="Times New Roman" w:cs="Times New Roman" w:eastAsia="Times New Roman" w:hAnsi="Times New Roman"/>
          <w:sz w:val="18"/>
          <w:szCs w:val="18"/>
          <w:color w:val="auto"/>
        </w:rPr>
        <w:t>” means, with respect to any product, any and all approvals (including drug and/or device approval applications), licenses, registrations or authorizations sufficient to Commercialize such product in accordance with applicable laws, including, if applicable, pricing or reimbursement approvals.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means, with respect to any entity, an amount equal to the product of (a) the total number of issued and outstanding shares of equity interests of the entity (or any successor entity) on the date of determination and</w:t>
      </w:r>
    </w:p>
    <w:p>
      <w:pPr>
        <w:ind w:left="60" w:right="79" w:hanging="10"/>
        <w:spacing w:after="0" w:line="260" w:lineRule="auto"/>
        <w:tabs>
          <w:tab w:leader="none" w:pos="3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mean of the closing prices per share of such equity interests for the [***] consecutive trading days immediately preceding the date of determination.</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MHRA</w:t>
      </w:r>
      <w:r>
        <w:rPr>
          <w:rFonts w:ascii="Times New Roman" w:cs="Times New Roman" w:eastAsia="Times New Roman" w:hAnsi="Times New Roman"/>
          <w:sz w:val="18"/>
          <w:szCs w:val="18"/>
          <w:color w:val="auto"/>
        </w:rPr>
        <w:t>” means the United Kingdom Medicines and Healthcare products Regulatory Agency.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the gross amount invoiced, billed or otherwise recorded or recognized for sales of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color w:val="auto"/>
        </w:rPr>
        <w:t>Net Sales shall be determined in U.S. dollars.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will not include [***].</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shall also include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Percentage</w:t>
      </w:r>
      <w:r>
        <w:rPr>
          <w:rFonts w:ascii="Times New Roman" w:cs="Times New Roman" w:eastAsia="Times New Roman" w:hAnsi="Times New Roman"/>
          <w:sz w:val="18"/>
          <w:szCs w:val="18"/>
          <w:color w:val="auto"/>
        </w:rPr>
        <w:t>” means five and one-half percent (5.5%).</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Obexelimab</w:t>
      </w:r>
      <w:r>
        <w:rPr>
          <w:rFonts w:ascii="Times New Roman" w:cs="Times New Roman" w:eastAsia="Times New Roman" w:hAnsi="Times New Roman"/>
          <w:sz w:val="18"/>
          <w:szCs w:val="18"/>
          <w:color w:val="auto"/>
        </w:rPr>
        <w:t xml:space="preserve">” means the antibody with heavy and light chains having the amino acid sequences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Out-License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Right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any and all patents and patent applications,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that extend any of the subject matter of a patent, and any substitution patent, confirmation patent or registration patent or patent of addition based on any such patent, and all foreign counterparts of any of the foregoing.</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Triggering Event</w:t>
      </w:r>
      <w:r>
        <w:rPr>
          <w:rFonts w:ascii="Times New Roman" w:cs="Times New Roman" w:eastAsia="Times New Roman" w:hAnsi="Times New Roman"/>
          <w:sz w:val="18"/>
          <w:szCs w:val="18"/>
          <w:color w:val="auto"/>
        </w:rPr>
        <w:t>” is defined in Section 3.6.</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 a global biopharmaceutical company with a Market Capitalization of at least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company, partnership, limited liability company, trust, joint venture, association, estate, trust, Governmental Entity or other entity, enterprise, association or organization.</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3 Clinical Trial</w:t>
      </w:r>
      <w:r>
        <w:rPr>
          <w:rFonts w:ascii="Times New Roman" w:cs="Times New Roman" w:eastAsia="Times New Roman" w:hAnsi="Times New Roman"/>
          <w:sz w:val="18"/>
          <w:szCs w:val="18"/>
          <w:color w:val="auto"/>
        </w:rPr>
        <w:t>” means a Clinical Trial that incorporates accepted endpoints for confirmation of safety and statistical significance of efficacy with the aim to generate data and results that can be submitted to obtain Marketing Approval as described in 21 C.F.R. 312.21(c),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color w:val="auto"/>
        </w:rPr>
        <w:t>or a comparable Clinical Trial prescribed by the relevant Regulatory Authority in a country other than the United States.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Post-Approval Study</w:t>
      </w:r>
      <w:r>
        <w:rPr>
          <w:rFonts w:ascii="Times New Roman" w:cs="Times New Roman" w:eastAsia="Times New Roman" w:hAnsi="Times New Roman"/>
          <w:sz w:val="18"/>
          <w:szCs w:val="18"/>
          <w:color w:val="auto"/>
        </w:rPr>
        <w:t>” means a clinical study of a Product required by applicable law or a Regulatory Authority to be conducted after receipt of a Marketing Approval for such Product.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prime rate published by The Wall Street Journal, from time to time, as the prime rate.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 any product that contains Obexelimab as an active ingredient, [***].</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Rights</w:t>
      </w:r>
      <w:r>
        <w:rPr>
          <w:rFonts w:ascii="Times New Roman" w:cs="Times New Roman" w:eastAsia="Times New Roman" w:hAnsi="Times New Roman"/>
          <w:sz w:val="18"/>
          <w:szCs w:val="18"/>
          <w:color w:val="auto"/>
        </w:rPr>
        <w:t>” means any and all of the following: (a) Intellectual Property Rights, (b) regulatory filings, submissions and approvals, including Marketing Approvals, with or from any Regulatory Authorities related to the Product, (c) In-Licenses, (d) Out-Licenses and (e) Contract Manufacturing Agreements.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Allocation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is defined in Section 2.2.</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Report</w:t>
      </w:r>
      <w:r>
        <w:rPr>
          <w:rFonts w:ascii="Times New Roman" w:cs="Times New Roman" w:eastAsia="Times New Roman" w:hAnsi="Times New Roman"/>
          <w:sz w:val="18"/>
          <w:szCs w:val="18"/>
          <w:color w:val="auto"/>
        </w:rPr>
        <w:t>” is defined in Section 7.2(a).</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is defined in Section 9.1.</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any Governmental Entity, including the FDA, that has responsibility in granting a Marketing Approval.</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Updates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each of the Seller, its Affiliates, and their respective Licensees, as applicable.</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Participation Right</w:t>
      </w:r>
      <w:r>
        <w:rPr>
          <w:rFonts w:ascii="Times New Roman" w:cs="Times New Roman" w:eastAsia="Times New Roman" w:hAnsi="Times New Roman"/>
          <w:sz w:val="18"/>
          <w:szCs w:val="18"/>
          <w:color w:val="auto"/>
        </w:rPr>
        <w:t>” means the right to receive payment in full of all Revenue Payments and an undivided ownership interest of all accounts (as defined in the UCC), general intangibles (as defined in the UCC), payment intangibles (as defined in the UCC) and all other rights to payment on account of Net Sales of all Products and Licensee Income, and all proceeds thereof, in an amount equal to the Net Sales Percentage and the Licensee Income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0" w:name="page121"/>
    <w:bookmarkEnd w:id="120"/>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Payment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40" w:hanging="642"/>
        <w:spacing w:after="0"/>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Calendar Quarter, an amount payable to the Buyer equal to the product of [***]</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Calendar Quarter, an amount payable to the Buyer equal to the product of [***]</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Calendar Quarter, an amount payable to the Buyer equal to the product of [***]</w:t>
      </w:r>
    </w:p>
    <w:p>
      <w:pPr>
        <w:spacing w:after="0" w:line="225" w:lineRule="exact"/>
        <w:rPr>
          <w:rFonts w:ascii="Times New Roman" w:cs="Times New Roman" w:eastAsia="Times New Roman" w:hAnsi="Times New Roman"/>
          <w:sz w:val="18"/>
          <w:szCs w:val="18"/>
          <w:color w:val="auto"/>
        </w:rPr>
      </w:pPr>
    </w:p>
    <w:p>
      <w:pPr>
        <w:ind w:left="700" w:right="1279" w:hanging="2"/>
        <w:spacing w:after="0" w:line="500" w:lineRule="auto"/>
        <w:tabs>
          <w:tab w:leader="none" w:pos="13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Calendar Quarter, an amount payable to the Buyer equal to the product of [***]. “</w:t>
      </w:r>
      <w:r>
        <w:rPr>
          <w:rFonts w:ascii="Times New Roman" w:cs="Times New Roman" w:eastAsia="Times New Roman" w:hAnsi="Times New Roman"/>
          <w:sz w:val="18"/>
          <w:szCs w:val="18"/>
          <w:u w:val="single" w:color="auto"/>
          <w:color w:val="auto"/>
        </w:rPr>
        <w:t>Revenue Report</w:t>
      </w:r>
      <w:r>
        <w:rPr>
          <w:rFonts w:ascii="Times New Roman" w:cs="Times New Roman" w:eastAsia="Times New Roman" w:hAnsi="Times New Roman"/>
          <w:sz w:val="18"/>
          <w:szCs w:val="18"/>
          <w:color w:val="auto"/>
        </w:rPr>
        <w:t>” is defined in Section 7.3(c).</w:t>
      </w:r>
    </w:p>
    <w:p>
      <w:pPr>
        <w:spacing w:after="0" w:line="1" w:lineRule="exact"/>
        <w:rPr>
          <w:rFonts w:ascii="Times New Roman" w:cs="Times New Roman" w:eastAsia="Times New Roman" w:hAnsi="Times New Roman"/>
          <w:sz w:val="18"/>
          <w:szCs w:val="18"/>
          <w:color w:val="auto"/>
        </w:rPr>
      </w:pPr>
    </w:p>
    <w:p>
      <w:pPr>
        <w:ind w:left="700" w:right="1679"/>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Territory</w:t>
      </w:r>
      <w:r>
        <w:rPr>
          <w:rFonts w:ascii="Times New Roman" w:cs="Times New Roman" w:eastAsia="Times New Roman" w:hAnsi="Times New Roman"/>
          <w:sz w:val="18"/>
          <w:szCs w:val="18"/>
          <w:color w:val="auto"/>
        </w:rPr>
        <w:t>” means the United States, the United Kingdom, and the European Union. [***] is defined in the definition of [***].</w:t>
      </w:r>
    </w:p>
    <w:p>
      <w:pPr>
        <w:spacing w:after="0" w:line="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Event</w:t>
      </w:r>
      <w:r>
        <w:rPr>
          <w:rFonts w:ascii="Times New Roman" w:cs="Times New Roman" w:eastAsia="Times New Roman" w:hAnsi="Times New Roman"/>
          <w:sz w:val="18"/>
          <w:szCs w:val="18"/>
          <w:color w:val="auto"/>
        </w:rPr>
        <w:t>” means a determination by a Regulatory Authority, the Seller’s clinical safety adjudication committee (acting in good faith and in accordance with its charter), or data monitoring review board (or similar entity) that a Product presents an unreasonable and significant risk of death, a life-threatening condition or a safety concern, in each case, to patients, such that such Product cannot continue to be administered to any patients.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Notices</w:t>
      </w:r>
      <w:r>
        <w:rPr>
          <w:rFonts w:ascii="Times New Roman" w:cs="Times New Roman" w:eastAsia="Times New Roman" w:hAnsi="Times New Roman"/>
          <w:sz w:val="18"/>
          <w:szCs w:val="18"/>
          <w:color w:val="auto"/>
        </w:rPr>
        <w:t>” means any recalls, field notifications, market withdrawals, warnings, “dear doctor” letters, investigator notices, safety alerts or other notices of action issued or instigated by the Seller or any of its Affiliates or any Regulatory Authority or data monitoring review board (or similar entity) relating to an alleged lack of safety or regulatory compliance of or with respect to a Product.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is defined in Section 8.1(b).</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Memorandum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that is not the Seller or an Affiliate of the Seller.</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the Bill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1" w:name="page122"/>
    <w:bookmarkEnd w:id="121"/>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in the State of New York; provided, that, if with respect to any financing statement or by reason of any provisions of law, the perfection, priority or the effect of perfection, priority or non-perfection of the security interests granted to the Administrative Agent pursuant to this Agreement or any related document is governed by the Uniform Commercial Code in a jurisdiction of the United States other than New York, then “UCC” means the Uniform Commercial Code in such other jurisdiction for purposes of the provisions of this Agreement, any related document and any financing statement relating to such perfection, priority or effect of perfection, priority or non-perfection.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including its territories and possessions.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Wholesale Distributor</w:t>
      </w:r>
      <w:r>
        <w:rPr>
          <w:rFonts w:ascii="Times New Roman" w:cs="Times New Roman" w:eastAsia="Times New Roman" w:hAnsi="Times New Roman"/>
          <w:sz w:val="18"/>
          <w:szCs w:val="18"/>
          <w:color w:val="auto"/>
        </w:rPr>
        <w:t>” means a non-Related Party wholesale distributor of a Product that is not required to provide consideration to a Related Party based on the value of, or otherwise attributable to, the sale of such Product by or on behalf of such distributor.</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Xencor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Xencor In-License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 Certain Interpretations</w:t>
      </w:r>
      <w:r>
        <w:rPr>
          <w:rFonts w:ascii="Times New Roman" w:cs="Times New Roman" w:eastAsia="Times New Roman" w:hAnsi="Times New Roman"/>
          <w:sz w:val="18"/>
          <w:szCs w:val="18"/>
          <w:color w:val="auto"/>
        </w:rPr>
        <w:t>. Except where expressly stated otherwise in this Agreement, the following rules of interpretation apply to this Agreement:</w:t>
      </w:r>
    </w:p>
    <w:p>
      <w:pPr>
        <w:spacing w:after="0" w:line="162" w:lineRule="exact"/>
        <w:rPr>
          <w:sz w:val="20"/>
          <w:szCs w:val="20"/>
          <w:color w:val="auto"/>
        </w:rPr>
      </w:pPr>
    </w:p>
    <w:p>
      <w:pPr>
        <w:ind w:left="60" w:right="79" w:firstLine="638"/>
        <w:spacing w:after="0" w:line="282" w:lineRule="auto"/>
        <w:tabs>
          <w:tab w:leader="none" w:pos="13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and “or” are not exclusive and “include,” “includes” and “including” are not limiting and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in the phrase “to the extent” means the degree to which a subject or other thing extends, and such phrase does not mean simply “if”;</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“hereto,”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Person are also to its permitted successors and assigns, and references to a Governmental Entity are also to its succeeding governing entity in the relevant jurisdiction;</w:t>
      </w:r>
    </w:p>
    <w:p>
      <w:pPr>
        <w:spacing w:after="0" w:line="16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are applicable to the singular as well as the plural forms of such terms;</w:t>
      </w:r>
    </w:p>
    <w:p>
      <w:pPr>
        <w:spacing w:after="0" w:line="225" w:lineRule="exact"/>
        <w:rPr>
          <w:rFonts w:ascii="Times New Roman" w:cs="Times New Roman" w:eastAsia="Times New Roman" w:hAnsi="Times New Roman"/>
          <w:sz w:val="18"/>
          <w:szCs w:val="18"/>
          <w:color w:val="auto"/>
        </w:rPr>
      </w:pPr>
    </w:p>
    <w:p>
      <w:pPr>
        <w:jc w:val="both"/>
        <w:ind w:left="60" w:right="59" w:firstLine="638"/>
        <w:spacing w:after="0" w:line="261" w:lineRule="auto"/>
        <w:tabs>
          <w:tab w:leader="none" w:pos="13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“Article”, “Section” or “Exhibit” refer to an Article or Section of, or an Exhibit to, this Agreement, references to a “Schedule” refer to the corresponding part of the Disclosure Schedule, and references to the Transaction Documents refer to any certificates, notices, schedules, exhibits, annexes or other documents or instruments delivered in connection with the Transaction Documents;</w:t>
      </w:r>
    </w:p>
    <w:p>
      <w:pPr>
        <w:spacing w:after="0" w:line="179"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3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referring to matters that would or could have, or would or could reasonably be expected to have, or similar phrases, shall be deemed to have such result or expectation with or without the giving of notice or the passage of time,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2" w:name="page123"/>
    <w:bookmarkEnd w:id="122"/>
    <w:p>
      <w:pPr>
        <w:jc w:val="both"/>
        <w:ind w:left="60" w:right="59" w:firstLine="638"/>
        <w:spacing w:after="0" w:line="266" w:lineRule="auto"/>
        <w:tabs>
          <w:tab w:leader="none" w:pos="13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specifically or completely defined herein shall be construed in conformity with, and all financial data (including financial ratios and other financial calculations) required to be submitted pursuant to this Agreement or any related document shall be prepared in conformity with GAAP;</w:t>
      </w:r>
    </w:p>
    <w:p>
      <w:pPr>
        <w:spacing w:after="0" w:line="175"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3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covenants that are to be undertaken “reasonably” by the Seller or its Affiliates, such actions (or inactions) shall take into account the Buyer’s economic interest in the Products, the Product Rights, the Revenue Participation Right and the Revenue Payments and the impact of the applicable action (or inaction) on such interest;</w:t>
      </w:r>
    </w:p>
    <w:p>
      <w:pPr>
        <w:spacing w:after="0" w:line="175" w:lineRule="exact"/>
        <w:rPr>
          <w:rFonts w:ascii="Times New Roman" w:cs="Times New Roman" w:eastAsia="Times New Roman" w:hAnsi="Times New Roman"/>
          <w:sz w:val="18"/>
          <w:szCs w:val="18"/>
          <w:color w:val="auto"/>
        </w:rPr>
      </w:pPr>
    </w:p>
    <w:p>
      <w:pPr>
        <w:ind w:left="60" w:right="379" w:firstLine="638"/>
        <w:spacing w:after="0" w:line="266" w:lineRule="auto"/>
        <w:tabs>
          <w:tab w:leader="none" w:pos="13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7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otherwise to dollar amounts refer to the lawful currency of the United States; and</w:t>
      </w:r>
    </w:p>
    <w:p>
      <w:pPr>
        <w:spacing w:after="0" w:line="225"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 shall not be treated as “Indebtedness” under this Agreement [***] solely because such item is treated as debt or indebtedness under GAAP.</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1.3 Headings</w:t>
      </w:r>
      <w:r>
        <w:rPr>
          <w:rFonts w:ascii="Times New Roman" w:cs="Times New Roman" w:eastAsia="Times New Roman" w:hAnsi="Times New Roman"/>
          <w:sz w:val="18"/>
          <w:szCs w:val="18"/>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SALE AND ASSIGNMENT OF THE REVENUE PARTICIPATION RIGHT</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2.1 Purchase, Sale and Assignment</w:t>
      </w:r>
      <w:r>
        <w:rPr>
          <w:rFonts w:ascii="Times New Roman" w:cs="Times New Roman" w:eastAsia="Times New Roman" w:hAnsi="Times New Roman"/>
          <w:sz w:val="18"/>
          <w:szCs w:val="18"/>
          <w:color w:val="auto"/>
        </w:rPr>
        <w:t>. On the Effective Date and upon the terms and subject to the conditions of this Agreement, in exchange for the Buyer’s payment of the Initial Purchase Price and the Buyer’s promise to pay the Additional Purchase Price Payments if and when due hereunder, the Seller hereby sells, transfers, assigns and conveys to the Buyer, and the Buyer hereby purchases, acquires and accepts from the Seller, the Revenue Participation Right free and clear of all Liens. From and after the Effective Date, the Seller relinquishes all of the Seller’s and its Affiliates’ right, title and interest in and to the Revenue Participation Right, and all such right, title and interest shall vest in the Buyer. In addition, the Seller hereby agrees to pay to the Buyer the Revenue Payments on the terms and conditions set forth herein.</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2.2 Purchase Price and Use of Proceeds</w:t>
      </w:r>
      <w:r>
        <w:rPr>
          <w:rFonts w:ascii="Times New Roman" w:cs="Times New Roman" w:eastAsia="Times New Roman" w:hAnsi="Times New Roman"/>
          <w:sz w:val="18"/>
          <w:szCs w:val="18"/>
          <w:color w:val="auto"/>
        </w:rPr>
        <w:t>. The purchase price for the Revenue Participation Right shall consist of the Initial Purchase Price and, if payable hereunder, the Additional Purchase Price Payments (together,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Seller shall [***].</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2.3 No Assumed Obligations, Etc</w:t>
      </w:r>
      <w:r>
        <w:rPr>
          <w:rFonts w:ascii="Times New Roman" w:cs="Times New Roman" w:eastAsia="Times New Roman" w:hAnsi="Times New Roman"/>
          <w:sz w:val="18"/>
          <w:szCs w:val="18"/>
          <w:color w:val="auto"/>
        </w:rPr>
        <w:t>. Notwithstanding any provision in this Agreement to the contrary, the Buyer is, on the terms and conditions set forth in this Agreement, only purchasing, acquiring and accepting the Revenue Participation Right and is not assuming any liability or obligation of the Seller or its Affiliates of whatever nature, whether presently in existence or arising or asserted 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3" w:name="page124"/>
    <w:bookmarkEnd w:id="123"/>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2.4 True Sale</w:t>
      </w:r>
      <w:r>
        <w:rPr>
          <w:rFonts w:ascii="Times New Roman" w:cs="Times New Roman" w:eastAsia="Times New Roman" w:hAnsi="Times New Roman"/>
          <w:sz w:val="18"/>
          <w:szCs w:val="18"/>
          <w:color w:val="auto"/>
        </w:rPr>
        <w:t>. It is the intention of the parties hereto that the sale, transfer, assignment and conveyance of the Revenue Participation Right contemplated by this Agreement be, and is, a true, complete, absolute and irrevocable sale, transfer, assignment and conveyance by the Seller to the Buyer of all of the Seller’s rights, title and interests in and to the Revenue Participation Right. Neither the Seller nor the Buyer intends the transactions contemplated by this Agreement to be, or for any purpose characterized as, a loan from the Buyer to the Seller, a pledge,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or any of its Affiliates under any Bankruptcy Laws. The Seller hereby waives, to the maximum extent permitted by applicable law, any right to contest or otherwise assert that the sale contemplated by this Agreement does not constitute a true, complete, absolute and irrevocable sale, transfer, assignment and conveyance by the Seller to the Buyer of all of the Seller’s right, title and interest in and to the Revenue Participation Right under applicable laws, which waiver shall, to the maximum extent permitted by applicable laws, be enforceable against the Seller and its Affiliates in any bankruptcy or insolvency proceeding relating to the Seller or any of its Affiliates. Accordingly, the Seller shall treat the sale, transfer, assignment and conveyance of the Revenue Participation Right as a sale of “accounts,” “payment intangibles” or “general intangibles” (as appropriate) and the proceeds thereof in accordance with the UCC, and the Seller hereby authorizes the Buyer and its representatives at any time to file one or more financing statements or any amendments to financing statements previously filed by the Buyer (and continuation statements with respect to such financing statements when applicable) naming the Seller as the “seller” and the Buyer as the “buyer” in respect of the Revenue Participation Right. Not in derogation of the foregoing statement of the intent of the parties hereto in this regard, and for the purposes of providing additional assurance to the Buyer, including in the event that, despite the intent of the parties hereto, the sale, transfer, assignment and conveyance contemplated hereby is hereafter held not to be a sale, the Seller hereby grants to the Buyer a security interest in, to and under the Revenue Participation Right, the Revenue Payments, the Products and the Seller’s right, title and interest in the Product Rights, and any “proceeds” (as defined in the UCC) of each of the foregoing as security for all of the Seller’s obligations under the Transaction Documents and any related documents, including the obligations to pay the Revenue Payments (the “</w:t>
      </w:r>
      <w:r>
        <w:rPr>
          <w:rFonts w:ascii="Times New Roman" w:cs="Times New Roman" w:eastAsia="Times New Roman" w:hAnsi="Times New Roman"/>
          <w:sz w:val="18"/>
          <w:szCs w:val="18"/>
          <w:u w:val="single" w:color="auto"/>
          <w:color w:val="auto"/>
        </w:rPr>
        <w:t>Back-Up Security Interest</w:t>
      </w:r>
      <w:r>
        <w:rPr>
          <w:rFonts w:ascii="Times New Roman" w:cs="Times New Roman" w:eastAsia="Times New Roman" w:hAnsi="Times New Roman"/>
          <w:sz w:val="18"/>
          <w:szCs w:val="18"/>
          <w:color w:val="auto"/>
        </w:rPr>
        <w:t>”), and the Seller does hereby authorize the Buyer and its representatives, from and after the Effective Date, to file one or more financing statements (and continuation statements and any amendments with respect to such financing statements when applicable) in such manner and such jurisdictions as are necessary or appropriate to perfect such Back-Up Security Interest; provided that such Back-Up Security Interest shall be terminated without any action or notice of any party upon termination of this Agreement as provided in Section 10.2. Following the termination of this Agreement as provided in the immediately preceding sentence, upon the Seller’s request and at Seller’s expense, the Buyer shall file a UCC-3 termination statement terminating the security interest granted in this Section 2.4. In the event any of Seller’s Affiliates obtain any right, title or interest in Product Rights, the Seller shall promptly provide notice to the Buyer and cause such Affiliates to grant to the Buyer a security interest in such Product Rights on the same terms as the Back-Up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PAYMENT OF PURCHASE PRICE</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3.1 Closing</w:t>
      </w:r>
      <w:r>
        <w:rPr>
          <w:rFonts w:ascii="Times New Roman" w:cs="Times New Roman" w:eastAsia="Times New Roman" w:hAnsi="Times New Roman"/>
          <w:sz w:val="18"/>
          <w:szCs w:val="18"/>
          <w:color w:val="auto"/>
        </w:rPr>
        <w:t>. The purchase and sale of the Revenue Participation Right shall take place remotely via the exchange of documents and signatures on the date hereof or such other place, time and date as the parties hereto may mutually agree.</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3.2 Payment of Initial Purchase Price</w:t>
      </w:r>
      <w:r>
        <w:rPr>
          <w:rFonts w:ascii="Times New Roman" w:cs="Times New Roman" w:eastAsia="Times New Roman" w:hAnsi="Times New Roman"/>
          <w:sz w:val="18"/>
          <w:szCs w:val="18"/>
          <w:color w:val="auto"/>
        </w:rPr>
        <w:t xml:space="preserve">. On the Effective Date, the Buyer shall pay to the Seller the Initial Purchase Price by wire transfer of immediately available funds to the account specified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3.3 Bill of Sale</w:t>
      </w:r>
      <w:r>
        <w:rPr>
          <w:rFonts w:ascii="Times New Roman" w:cs="Times New Roman" w:eastAsia="Times New Roman" w:hAnsi="Times New Roman"/>
          <w:sz w:val="18"/>
          <w:szCs w:val="18"/>
          <w:color w:val="auto"/>
        </w:rPr>
        <w:t xml:space="preserve">. On the Effective Date, upon confirmation of the receipt of the Initial Purchase Price, the Seller shall deliver to the Buyer a duly executed bill of sale evidencing the sale, transfer, assignment and conveyance of the Revenue Participation Right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3.4 Seller Form W-9</w:t>
      </w:r>
      <w:r>
        <w:rPr>
          <w:rFonts w:ascii="Times New Roman" w:cs="Times New Roman" w:eastAsia="Times New Roman" w:hAnsi="Times New Roman"/>
          <w:sz w:val="18"/>
          <w:szCs w:val="18"/>
          <w:color w:val="auto"/>
        </w:rPr>
        <w:t>. On or prior to the Effective Date, the Seller shall deliver to the Buyer a valid, properly executed IRS Form W-9 certifying that the Seller is exempt from U.S. federal “backup” withholding tax.</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3.5 Buyer Form W-8BEN-E</w:t>
      </w:r>
      <w:r>
        <w:rPr>
          <w:rFonts w:ascii="Times New Roman" w:cs="Times New Roman" w:eastAsia="Times New Roman" w:hAnsi="Times New Roman"/>
          <w:sz w:val="18"/>
          <w:szCs w:val="18"/>
          <w:color w:val="auto"/>
        </w:rPr>
        <w:t>. On or prior to the Effective Date, the Buyer shall deliver to the Seller a valid, properly executed IRS Form W-8BEN-E or other applicable form certifying that the Buyer is exempt from U.S. federal withholding and backup withholding tax with respect to the Revenue Payments.</w:t>
      </w:r>
    </w:p>
    <w:p>
      <w:pPr>
        <w:spacing w:after="0" w:line="176"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3.6</w:t>
      </w:r>
      <w:r>
        <w:rPr>
          <w:sz w:val="20"/>
          <w:szCs w:val="20"/>
          <w:color w:val="auto"/>
        </w:rPr>
        <w:tab/>
      </w:r>
      <w:r>
        <w:rPr>
          <w:rFonts w:ascii="Times New Roman" w:cs="Times New Roman" w:eastAsia="Times New Roman" w:hAnsi="Times New Roman"/>
          <w:sz w:val="18"/>
          <w:szCs w:val="18"/>
          <w:u w:val="single" w:color="auto"/>
          <w:color w:val="auto"/>
        </w:rPr>
        <w:t>Additional Purchase Price Payments</w:t>
      </w:r>
      <w:r>
        <w:rPr>
          <w:rFonts w:ascii="Times New Roman" w:cs="Times New Roman" w:eastAsia="Times New Roman" w:hAnsi="Times New Roman"/>
          <w:sz w:val="18"/>
          <w:szCs w:val="18"/>
          <w:color w:val="auto"/>
        </w:rPr>
        <w:t>. The Seller shall promptly (and, in any event, within five</w:t>
      </w:r>
    </w:p>
    <w:p>
      <w:pPr>
        <w:spacing w:after="0" w:line="27" w:lineRule="exact"/>
        <w:rPr>
          <w:sz w:val="20"/>
          <w:szCs w:val="20"/>
          <w:color w:val="auto"/>
        </w:rPr>
      </w:pPr>
    </w:p>
    <w:p>
      <w:pPr>
        <w:jc w:val="both"/>
        <w:ind w:left="60" w:right="59" w:hanging="10"/>
        <w:spacing w:after="0" w:line="251" w:lineRule="auto"/>
        <w:tabs>
          <w:tab w:leader="none" w:pos="3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notify the Buyer upon the first occurrence of each of the events set forth in the table below (each a “</w:t>
      </w:r>
      <w:r>
        <w:rPr>
          <w:rFonts w:ascii="Times New Roman" w:cs="Times New Roman" w:eastAsia="Times New Roman" w:hAnsi="Times New Roman"/>
          <w:sz w:val="18"/>
          <w:szCs w:val="18"/>
          <w:u w:val="single" w:color="auto"/>
          <w:color w:val="auto"/>
        </w:rPr>
        <w:t>Payment Triggering Event</w:t>
      </w:r>
      <w:r>
        <w:rPr>
          <w:rFonts w:ascii="Times New Roman" w:cs="Times New Roman" w:eastAsia="Times New Roman" w:hAnsi="Times New Roman"/>
          <w:sz w:val="18"/>
          <w:szCs w:val="18"/>
          <w:color w:val="auto"/>
        </w:rPr>
        <w:t>”). As long as there has not been a Material Adverse Effect of which Buyer has notified Seller in writing and that remains uncured at the time of such occurrence, and provided that Buyer has not notified the Seller of any material non-compliance with its obligations under this Agreement that remains uncured at the time of such occurrence, the Buyer shall make a one-time cash payment (each an “</w:t>
      </w:r>
      <w:r>
        <w:rPr>
          <w:rFonts w:ascii="Times New Roman" w:cs="Times New Roman" w:eastAsia="Times New Roman" w:hAnsi="Times New Roman"/>
          <w:sz w:val="18"/>
          <w:szCs w:val="18"/>
          <w:u w:val="single" w:color="auto"/>
          <w:color w:val="auto"/>
        </w:rPr>
        <w:t>Additional Purchase Price Payment</w:t>
      </w:r>
      <w:r>
        <w:rPr>
          <w:rFonts w:ascii="Times New Roman" w:cs="Times New Roman" w:eastAsia="Times New Roman" w:hAnsi="Times New Roman"/>
          <w:sz w:val="18"/>
          <w:szCs w:val="18"/>
          <w:color w:val="auto"/>
        </w:rPr>
        <w:t xml:space="preserve">”) in the amount corresponding to such Payment Triggering Event to the Seller by wire transfer of immediately available funds to the account specified by the Seller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account as specified by the Seller in a writing delivered to the Buyer in accordance with Section 11.1 of this Agreement) within [***] following the Buyer’s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5" w:name="page126"/>
    <w:bookmarkEnd w:id="125"/>
    <w:tbl>
      <w:tblPr>
        <w:tblLayout w:type="fixed"/>
        <w:tblInd w:w="50" w:type="dxa"/>
        <w:tblCellMar>
          <w:top w:w="0" w:type="dxa"/>
          <w:left w:w="0" w:type="dxa"/>
          <w:bottom w:w="0" w:type="dxa"/>
          <w:right w:w="0" w:type="dxa"/>
        </w:tblCellMar>
      </w:tblPr>
      <w:tr>
        <w:trPr>
          <w:trHeight w:val="189"/>
        </w:trPr>
        <w:tc>
          <w:tcPr>
            <w:tcW w:w="28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right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right w:val="single" w:sz="8" w:color="auto"/>
            </w:tcBorders>
            <w:gridSpan w:val="10"/>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0" w:type="dxa"/>
            <w:vAlign w:val="bottom"/>
          </w:tcPr>
          <w:p>
            <w:pPr>
              <w:spacing w:after="0"/>
              <w:rPr>
                <w:sz w:val="1"/>
                <w:szCs w:val="1"/>
                <w:color w:val="auto"/>
              </w:rPr>
            </w:pPr>
          </w:p>
        </w:tc>
      </w:tr>
      <w:tr>
        <w:trPr>
          <w:trHeight w:val="196"/>
        </w:trPr>
        <w:tc>
          <w:tcPr>
            <w:tcW w:w="280" w:type="dxa"/>
            <w:vAlign w:val="bottom"/>
            <w:tcBorders>
              <w:left w:val="single" w:sz="8" w:color="auto"/>
            </w:tcBorders>
            <w:vMerge w:val="restart"/>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right w:val="single" w:sz="8" w:color="auto"/>
            </w:tcBorders>
            <w:vMerge w:val="restart"/>
          </w:tcPr>
          <w:p>
            <w:pPr>
              <w:spacing w:after="0"/>
              <w:rPr>
                <w:sz w:val="17"/>
                <w:szCs w:val="17"/>
                <w:color w:val="auto"/>
              </w:rPr>
            </w:pPr>
          </w:p>
        </w:tc>
        <w:tc>
          <w:tcPr>
            <w:tcW w:w="1740" w:type="dxa"/>
            <w:vAlign w:val="bottom"/>
            <w:vMerge w:val="restart"/>
          </w:tcPr>
          <w:p>
            <w:pPr>
              <w:spacing w:after="0"/>
              <w:rPr>
                <w:sz w:val="17"/>
                <w:szCs w:val="17"/>
                <w:color w:val="auto"/>
              </w:rPr>
            </w:pPr>
          </w:p>
        </w:tc>
        <w:tc>
          <w:tcPr>
            <w:tcW w:w="45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PAYMENT TRIGGERING EVENT</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PURCHASE</w:t>
            </w:r>
          </w:p>
        </w:tc>
        <w:tc>
          <w:tcPr>
            <w:tcW w:w="80" w:type="dxa"/>
            <w:vAlign w:val="bottom"/>
            <w:tcBorders>
              <w:top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Borders>
              <w:lef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right w:val="single" w:sz="8" w:color="auto"/>
            </w:tcBorders>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4560" w:type="dxa"/>
            <w:vAlign w:val="bottom"/>
            <w:tcBorders>
              <w:right w:val="single" w:sz="8" w:color="auto"/>
            </w:tcBorders>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7"/>
          </w:tcPr>
          <w:p>
            <w:pPr>
              <w:jc w:val="center"/>
              <w:ind w:right="5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right w:val="single" w:sz="8" w:color="auto"/>
            </w:tcBorders>
            <w:gridSpan w:val="8"/>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PAYMENT</w:t>
            </w:r>
          </w:p>
        </w:tc>
        <w:tc>
          <w:tcPr>
            <w:tcW w:w="0" w:type="dxa"/>
            <w:vAlign w:val="bottom"/>
          </w:tcPr>
          <w:p>
            <w:pPr>
              <w:spacing w:after="0"/>
              <w:rPr>
                <w:sz w:val="1"/>
                <w:szCs w:val="1"/>
                <w:color w:val="auto"/>
              </w:rPr>
            </w:pPr>
          </w:p>
        </w:tc>
      </w:tr>
      <w:tr>
        <w:trPr>
          <w:trHeight w:val="196"/>
        </w:trPr>
        <w:tc>
          <w:tcPr>
            <w:tcW w:w="28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AMOUNT</w:t>
            </w:r>
          </w:p>
        </w:tc>
        <w:tc>
          <w:tcPr>
            <w:tcW w:w="460" w:type="dxa"/>
            <w:vAlign w:val="bottom"/>
            <w:tcBorders>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8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630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 the [***] criteria [***] in the INDIGO Phase 3 Trial, and the Seller delivers to</w:t>
            </w:r>
          </w:p>
        </w:tc>
        <w:tc>
          <w:tcPr>
            <w:tcW w:w="1380" w:type="dxa"/>
            <w:vAlign w:val="bottom"/>
            <w:gridSpan w:val="9"/>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$75,000,000</w:t>
            </w:r>
          </w:p>
        </w:tc>
        <w:tc>
          <w:tcPr>
            <w:tcW w:w="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63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Buyer a certificate and supporting documentation for such determination no later than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3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Business Days following [***].</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left w:val="single" w:sz="8" w:color="auto"/>
              <w:right w:val="single" w:sz="8" w:color="auto"/>
            </w:tcBorders>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630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 receipt of Marketing Approval of the Product by the FDA for the treatment of</w:t>
            </w:r>
          </w:p>
        </w:tc>
        <w:tc>
          <w:tcPr>
            <w:tcW w:w="1380" w:type="dxa"/>
            <w:vAlign w:val="bottom"/>
            <w:gridSpan w:val="9"/>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$75,000,000</w:t>
            </w:r>
          </w:p>
        </w:tc>
        <w:tc>
          <w:tcPr>
            <w:tcW w:w="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left w:val="single" w:sz="8" w:color="auto"/>
              <w:right w:val="single" w:sz="8" w:color="auto"/>
            </w:tcBorders>
            <w:gridSpan w:val="3"/>
            <w:vMerge w:val="continue"/>
          </w:tcPr>
          <w:p>
            <w:pPr>
              <w:spacing w:after="0"/>
              <w:rPr>
                <w:sz w:val="10"/>
                <w:szCs w:val="10"/>
                <w:color w:val="auto"/>
              </w:rPr>
            </w:pPr>
          </w:p>
        </w:tc>
        <w:tc>
          <w:tcPr>
            <w:tcW w:w="63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IgG4-related disease.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300" w:type="dxa"/>
            <w:vAlign w:val="bottom"/>
            <w:tcBorders>
              <w:right w:val="single" w:sz="8" w:color="auto"/>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0" w:type="dxa"/>
            <w:vAlign w:val="bottom"/>
            <w:tcBorders>
              <w:left w:val="single" w:sz="8" w:color="auto"/>
              <w:right w:val="single" w:sz="8" w:color="auto"/>
            </w:tcBorders>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3.</w:t>
            </w:r>
          </w:p>
        </w:tc>
        <w:tc>
          <w:tcPr>
            <w:tcW w:w="630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 receipt of Marketing Approval of the Product by the FDA for the treatment of</w:t>
            </w:r>
          </w:p>
        </w:tc>
        <w:tc>
          <w:tcPr>
            <w:tcW w:w="1380" w:type="dxa"/>
            <w:vAlign w:val="bottom"/>
            <w:gridSpan w:val="9"/>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9"/>
              </w:rPr>
              <w:t>$75,000,000</w:t>
            </w:r>
          </w:p>
        </w:tc>
        <w:tc>
          <w:tcPr>
            <w:tcW w:w="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40" w:type="dxa"/>
            <w:vAlign w:val="bottom"/>
            <w:tcBorders>
              <w:left w:val="single" w:sz="8" w:color="auto"/>
              <w:right w:val="single" w:sz="8" w:color="auto"/>
            </w:tcBorders>
            <w:gridSpan w:val="3"/>
            <w:vMerge w:val="continue"/>
          </w:tcPr>
          <w:p>
            <w:pPr>
              <w:spacing w:after="0"/>
              <w:rPr>
                <w:sz w:val="10"/>
                <w:szCs w:val="10"/>
                <w:color w:val="auto"/>
              </w:rPr>
            </w:pPr>
          </w:p>
        </w:tc>
        <w:tc>
          <w:tcPr>
            <w:tcW w:w="63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300" w:type="dxa"/>
            <w:vAlign w:val="bottom"/>
            <w:tcBorders>
              <w:right w:val="single" w:sz="8" w:color="auto"/>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w w:val="91"/>
              </w:rPr>
              <w:t>TOTAL</w:t>
            </w:r>
          </w:p>
        </w:tc>
        <w:tc>
          <w:tcPr>
            <w:tcW w:w="1460" w:type="dxa"/>
            <w:vAlign w:val="bottom"/>
            <w:gridSpan w:val="10"/>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$225,000,000</w:t>
            </w: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80" w:type="dxa"/>
            <w:vAlign w:val="bottom"/>
            <w:tcBorders>
              <w:left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For the avoidance of doubt, the Buyer and the Seller hereby acknowledge and agree that (a) each Additional Purchase Price Payment is a contingent payment obligation of the Buyer and there can be no assurance regarding the occurrence of any Payment Triggering Event, (b) the Buyer shall have no obligation or liability with respect to an Additional Purchase Price Payment unless and until the corresponding Payment Triggering Event timely occurs, (c) [***], (d) the aggregate Additional Purchase Price Payments payable by the Buyer hereunder shall not exceed $225,000,000 and (e) no such Additional Purchase Price Payment shall be due or payable if this Agreement has been terminated pursuant to ARTICLE 10 prior the occurrence of the applicable Payment Triggering Event. Upon the Buyer’s reasonable request, the parties hereto agree to use reasonable efforts to timely negotiate in good faith (i) a separate agreement with respect to the Additional Purchase Price Payment relating to the Payment Triggering Event #1, 2 or 3 and a then-fair value portion of the Revenue Participation Right allocated to the Payment Triggering Event #1, 2 or 3, provided that such separate agreement will not (x) modify the terms set forth herein except to allocate such terms across this Agreement and such separate agreement as long as such allocation does not modify the terms as a whole or (y) otherwise adversely affect the Seller in any manner, including with respect to the Seller’s Tax or financial reporting position(s) and (ii) an amendment to this Agreement to effectuate the foregoing. Unless and until the parties enter into such Agreement, the Additional Purchase Price Payment relating to the Payment Triggering Event #1, 2 or 3 (as applicable) will be due and payable upon achievement of Payment Triggering Event #1, 2 or 3 (as applicable) in accordance with the terms of this Agreement.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THE SELLER</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Except as set forth on the Disclosure Schedule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the Seller represents and warrants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Buyer that as of the Effective Date:</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4.1 Existence; Good Standing</w:t>
      </w:r>
      <w:r>
        <w:rPr>
          <w:rFonts w:ascii="Times New Roman" w:cs="Times New Roman" w:eastAsia="Times New Roman" w:hAnsi="Times New Roman"/>
          <w:sz w:val="18"/>
          <w:szCs w:val="18"/>
          <w:color w:val="auto"/>
        </w:rPr>
        <w:t>. The Seller is a corporation, duly organized, validly existing and in good standing under the laws of Delaware. Each of the Seller and its Affiliates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86" w:right="1440" w:bottom="1440" w:gutter="0" w:footer="0" w:header="0"/>
        </w:sectPr>
      </w:pPr>
    </w:p>
    <w:bookmarkStart w:id="126" w:name="page127"/>
    <w:bookmarkEnd w:id="126"/>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4.2 Authorization</w:t>
      </w:r>
      <w:r>
        <w:rPr>
          <w:rFonts w:ascii="Times New Roman" w:cs="Times New Roman" w:eastAsia="Times New Roman" w:hAnsi="Times New Roman"/>
          <w:sz w:val="18"/>
          <w:szCs w:val="18"/>
          <w:color w:val="auto"/>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4.3 Enforceability</w:t>
      </w:r>
      <w:r>
        <w:rPr>
          <w:rFonts w:ascii="Times New Roman" w:cs="Times New Roman" w:eastAsia="Times New Roman" w:hAnsi="Times New Roman"/>
          <w:sz w:val="18"/>
          <w:szCs w:val="18"/>
          <w:color w:val="auto"/>
        </w:rPr>
        <w:t>. This Agreement has been duly executed and delivered by an authorized officer of the Seller and constitutes the valid and legally binding obligation of the Seller, enforceable against the Seller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4.4 No Conflicts</w:t>
      </w:r>
      <w:r>
        <w:rPr>
          <w:rFonts w:ascii="Times New Roman" w:cs="Times New Roman" w:eastAsia="Times New Roman" w:hAnsi="Times New Roman"/>
          <w:sz w:val="18"/>
          <w:szCs w:val="18"/>
          <w:color w:val="auto"/>
        </w:rPr>
        <w:t>. The execution, delivery and performance by the Seller of this Agreement and the consummation of the transactions contemplated hereby do not and will not (a) contravene or conflict with the organizational documents of the Seller or its Affiliates, (b) contravene or conflict with or constitute a material default under any law binding upon or applicable to the Seller, its Affiliates or the Revenue Participation Right, (c) contravene or conflict with or constitute a default under the Xencor In-License or (d) contravene or conflict with or constitute a material default under any other material agreement or any Judgment binding upon or applicable to the Seller, any of its Affiliates or the Revenue Participation Right.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4.5 Consents</w:t>
      </w:r>
      <w:r>
        <w:rPr>
          <w:rFonts w:ascii="Times New Roman" w:cs="Times New Roman" w:eastAsia="Times New Roman" w:hAnsi="Times New Roman"/>
          <w:sz w:val="18"/>
          <w:szCs w:val="18"/>
          <w:color w:val="auto"/>
        </w:rPr>
        <w:t>. Except for any filings required by the federal securities laws or stock exchange rules, no consent (other than consents obtained prior to the Effective Date), approval, license, order, authorization, registration, declaration or filing with or of any Governmental Entity or other Person is required to be done or obtained by the Seller or any of its Affiliates in connection with (a) the execution and delivery by the Seller of this Agreement, (b) the performance by the Seller of its obligations under this Agreement or (c) the consummation by the Seller of any of the transactions contemplated by this Agreement.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4.6 No Litigation</w:t>
      </w:r>
      <w:r>
        <w:rPr>
          <w:rFonts w:ascii="Times New Roman" w:cs="Times New Roman" w:eastAsia="Times New Roman" w:hAnsi="Times New Roman"/>
          <w:sz w:val="18"/>
          <w:szCs w:val="18"/>
          <w:color w:val="auto"/>
        </w:rPr>
        <w:t>. Neither the Seller nor any of its Affiliates is a party to, and, since [***], none has received any written notice of, any action, claim, suit, investigation or proceeding pending before any Governmental Entity and, to the Knowledge of the Seller, since [***], no such action, claim, suit, investigation or proceeding has been threatened against the Seller or any of its Affiliates, that, either individually or in the aggregate, has had or would reasonably be expected to have a Material Adverse Effect.</w:t>
      </w:r>
    </w:p>
    <w:p>
      <w:pPr>
        <w:spacing w:after="0" w:line="183"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4.7</w:t>
      </w:r>
      <w:r>
        <w:rPr>
          <w:sz w:val="20"/>
          <w:szCs w:val="20"/>
          <w:color w:val="auto"/>
        </w:rPr>
        <w:tab/>
      </w: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8" w:lineRule="auto"/>
        <w:tabs>
          <w:tab w:leader="none" w:pos="13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 all applications, submissions, information and data related to any Product submitted or utilized as the basis for any request to any Regulatory Authority by or on behalf of the Seller or any of its Affiliates were true and correct in all material respects as of the date of such submission or request, and any material updates, changes, corrections or modification to such applications, submissions, information or data required under applicable laws or regulations have been submitted to the necessary Regulatory Authorities.</w:t>
      </w:r>
    </w:p>
    <w:p>
      <w:pPr>
        <w:spacing w:after="0" w:line="183" w:lineRule="exact"/>
        <w:rPr>
          <w:rFonts w:ascii="Times New Roman" w:cs="Times New Roman" w:eastAsia="Times New Roman" w:hAnsi="Times New Roman"/>
          <w:sz w:val="18"/>
          <w:szCs w:val="18"/>
          <w:color w:val="auto"/>
        </w:rPr>
      </w:pPr>
    </w:p>
    <w:p>
      <w:pPr>
        <w:ind w:left="60" w:right="79" w:firstLine="638"/>
        <w:spacing w:after="0" w:line="282" w:lineRule="auto"/>
        <w:tabs>
          <w:tab w:leader="none" w:pos="13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made available to the Buyer prior to the Effective Date in the Data Room true, correct and complete copies of all material communications sent or received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7" w:name="page128"/>
    <w:bookmarkEnd w:id="127"/>
    <w:p>
      <w:pPr>
        <w:ind w:left="60" w:right="79" w:hanging="10"/>
        <w:spacing w:after="0" w:line="282" w:lineRule="auto"/>
        <w:tabs>
          <w:tab w:leader="none" w:pos="5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Seller and any of its Affiliates to or from any Regulatory Authorities that relate to its or their Exploitation or Manufacture of any Product.</w:t>
      </w:r>
    </w:p>
    <w:p>
      <w:pPr>
        <w:spacing w:after="0" w:line="161" w:lineRule="exact"/>
        <w:rPr>
          <w:rFonts w:ascii="Times New Roman" w:cs="Times New Roman" w:eastAsia="Times New Roman" w:hAnsi="Times New Roman"/>
          <w:sz w:val="18"/>
          <w:szCs w:val="18"/>
          <w:color w:val="auto"/>
        </w:rPr>
      </w:pPr>
    </w:p>
    <w:p>
      <w:pPr>
        <w:jc w:val="both"/>
        <w:ind w:left="60" w:right="59" w:firstLine="638"/>
        <w:spacing w:after="0" w:line="261" w:lineRule="auto"/>
        <w:tabs>
          <w:tab w:leader="none" w:pos="13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 neither the Seller nor any of its Affiliates has committed any act, made any statement or failed to make any statement in respect of a Product that would reasonably be expected to provide a basis for the FDA to invoke its policy with respect to “Fraud, Untrue Statements of Material Facts, Bribery, and Illegal Gratuities”, or any other Governmental Entity to invoke similar policies, set forth in any applicable laws or regulations.</w:t>
      </w:r>
    </w:p>
    <w:p>
      <w:pPr>
        <w:spacing w:after="0" w:line="179" w:lineRule="exact"/>
        <w:rPr>
          <w:rFonts w:ascii="Times New Roman" w:cs="Times New Roman" w:eastAsia="Times New Roman" w:hAnsi="Times New Roman"/>
          <w:sz w:val="18"/>
          <w:szCs w:val="18"/>
          <w:color w:val="auto"/>
        </w:rPr>
      </w:pPr>
    </w:p>
    <w:p>
      <w:pPr>
        <w:jc w:val="both"/>
        <w:ind w:left="60" w:right="59" w:firstLine="638"/>
        <w:spacing w:after="0" w:line="255" w:lineRule="auto"/>
        <w:tabs>
          <w:tab w:leader="none" w:pos="13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 (i) there have been no Safety Notices, (ii) to the Knowledge of the Seller, there are no unresolved material product complaints with respect to any Product, that would result in a Material Adverse Effect, and (iii) to the Knowledge of the Seller, there are no facts currently in existence that would, individually or in the aggregate, reasonably be expected to result in (1) a material Safety Notice with respect to any Product, or (2) a material change in the anticipated labeling of any Product. The Seller and its Affiliates have not experienced any significant failures in the Manufacturing of a Product that have not been resolved, or that would, individually or in the aggregate, have had or would reasonably be expected to result in, if such failure occurred again, a Material Adverse Effect.</w:t>
      </w:r>
    </w:p>
    <w:p>
      <w:pPr>
        <w:spacing w:after="0" w:line="188" w:lineRule="exact"/>
        <w:rPr>
          <w:rFonts w:ascii="Times New Roman" w:cs="Times New Roman" w:eastAsia="Times New Roman" w:hAnsi="Times New Roman"/>
          <w:sz w:val="18"/>
          <w:szCs w:val="18"/>
          <w:color w:val="auto"/>
        </w:rPr>
      </w:pPr>
    </w:p>
    <w:p>
      <w:pPr>
        <w:jc w:val="both"/>
        <w:ind w:left="60" w:right="59" w:firstLine="638"/>
        <w:spacing w:after="0" w:line="254" w:lineRule="auto"/>
        <w:tabs>
          <w:tab w:leader="none" w:pos="13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its Affiliates are, and, since [***], have been, with respect to the Product, in compliance with all applicable laws administered or issued by the FDA or any similar Regulatory Authority in each jurisdiction where the Product has been, or is intended to be, Manufactured or Exploited, including the Federal Food, Drug, and Cosmetic Act, the Public Health Service Act, applicable requirements in FDA regulations, and any orders issued by FDA or similar Regulatory Authorities in each jurisdiction where a Product has been, or is intended to be, Manufactured or Exploited, and all other laws regarding ownership, developing, testing, Manufacturing, disposal, Commercializing, and complaint handling or adverse event reporting for the products of the Seller or its Affiliates, except to the extent that such failure to comply with such applicable laws would not reasonably be expected to result in a Material Adverse Effect.</w:t>
      </w:r>
    </w:p>
    <w:p>
      <w:pPr>
        <w:spacing w:after="0" w:line="192"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4.8</w:t>
      </w:r>
      <w:r>
        <w:rPr>
          <w:sz w:val="20"/>
          <w:szCs w:val="20"/>
          <w:color w:val="auto"/>
        </w:rPr>
        <w:tab/>
      </w:r>
      <w:r>
        <w:rPr>
          <w:rFonts w:ascii="Times New Roman" w:cs="Times New Roman" w:eastAsia="Times New Roman" w:hAnsi="Times New Roman"/>
          <w:sz w:val="17"/>
          <w:szCs w:val="17"/>
          <w:u w:val="single" w:color="auto"/>
          <w:color w:val="auto"/>
        </w:rPr>
        <w:t>Licenses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61" w:lineRule="auto"/>
        <w:tabs>
          <w:tab w:leader="none" w:pos="13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Agreements</w:t>
      </w:r>
      <w:r>
        <w:rPr>
          <w:rFonts w:ascii="Times New Roman" w:cs="Times New Roman" w:eastAsia="Times New Roman" w:hAnsi="Times New Roman"/>
          <w:sz w:val="18"/>
          <w:szCs w:val="18"/>
          <w:color w:val="auto"/>
        </w:rPr>
        <w:t>. Other than the Existing In-Licenses, there are no In-Licenses currently in effect or contemplated. [***]. The Seller has provided to the Buyer a true, accurate and complete copy of each Existing Agreement (including all written amendments, supplements or modifications thereto or written waivers thereunder). Each Existing Agreement is in full force and effect in accordance with its terms.</w:t>
      </w:r>
    </w:p>
    <w:p>
      <w:pPr>
        <w:spacing w:after="0" w:line="179" w:lineRule="exact"/>
        <w:rPr>
          <w:rFonts w:ascii="Times New Roman" w:cs="Times New Roman" w:eastAsia="Times New Roman" w:hAnsi="Times New Roman"/>
          <w:sz w:val="18"/>
          <w:szCs w:val="18"/>
          <w:color w:val="auto"/>
        </w:rPr>
      </w:pPr>
    </w:p>
    <w:p>
      <w:pPr>
        <w:jc w:val="both"/>
        <w:ind w:left="60" w:right="59" w:firstLine="638"/>
        <w:spacing w:after="0" w:line="255" w:lineRule="auto"/>
        <w:tabs>
          <w:tab w:leader="none" w:pos="13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and Enforceability of Existing Agreements</w:t>
      </w:r>
      <w:r>
        <w:rPr>
          <w:rFonts w:ascii="Times New Roman" w:cs="Times New Roman" w:eastAsia="Times New Roman" w:hAnsi="Times New Roman"/>
          <w:sz w:val="18"/>
          <w:szCs w:val="18"/>
          <w:color w:val="auto"/>
        </w:rPr>
        <w:t>. Except as may be limited by applicable Bankruptcy Laws or by general principles of equity (whether considered in a proceeding in equity or at law), (i) each Existing Contract Manufacturing Agreement is a valid and binding obligation of and enforceable against the Seller and, to the Knowledge of the Seller, the counterparty thereto, in accordance with the terms of such agreement, and (ii) the BMS Agreement and each of the Existing In-Licenses is a valid and binding obligation of and enforceable against the parties thereto, in accordance with the terms of such agreement. Neither the Seller nor any of its Affiliates that is a party to an Existing Agreement has received any written notice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8" w:name="page129"/>
    <w:bookmarkEnd w:id="128"/>
    <w:p>
      <w:pPr>
        <w:ind w:left="60" w:right="59"/>
        <w:spacing w:after="0" w:line="282" w:lineRule="auto"/>
        <w:rPr>
          <w:sz w:val="20"/>
          <w:szCs w:val="20"/>
          <w:color w:val="auto"/>
        </w:rPr>
      </w:pPr>
      <w:r>
        <w:rPr>
          <w:rFonts w:ascii="Times New Roman" w:cs="Times New Roman" w:eastAsia="Times New Roman" w:hAnsi="Times New Roman"/>
          <w:sz w:val="18"/>
          <w:szCs w:val="18"/>
          <w:color w:val="auto"/>
        </w:rPr>
        <w:t>with any Existing Agreement challenging the validity, enforceability or interpretation of any provision of such Existing Agreement.</w:t>
      </w:r>
    </w:p>
    <w:p>
      <w:pPr>
        <w:spacing w:after="0" w:line="162" w:lineRule="exact"/>
        <w:rPr>
          <w:sz w:val="20"/>
          <w:szCs w:val="20"/>
          <w:color w:val="auto"/>
        </w:rPr>
      </w:pPr>
    </w:p>
    <w:p>
      <w:pPr>
        <w:jc w:val="both"/>
        <w:ind w:left="60" w:right="59" w:firstLine="638"/>
        <w:spacing w:after="0" w:line="258" w:lineRule="auto"/>
        <w:tabs>
          <w:tab w:leader="none" w:pos="13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of Existing Agreements</w:t>
      </w:r>
      <w:r>
        <w:rPr>
          <w:rFonts w:ascii="Times New Roman" w:cs="Times New Roman" w:eastAsia="Times New Roman" w:hAnsi="Times New Roman"/>
          <w:sz w:val="18"/>
          <w:szCs w:val="18"/>
          <w:color w:val="auto"/>
        </w:rPr>
        <w:t>. Neither the Seller nor any of its Affiliates that is a party to an Existing Agreement has (1) given notice to a counterparty of the termination of any Existing Agreement (whether in whole or in part) or expressed any intention or desire to terminate such Existing Agreement, or (2) received from a counterparty thereto any notice of termination of any Existing Agreement (whether in whole or in part) or any communications from a counterparty thereto expressing any intention or desire to terminate such Existing Agreement.</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Breaches or Defaults of Existing Agreements</w:t>
      </w:r>
      <w:r>
        <w:rPr>
          <w:rFonts w:ascii="Times New Roman" w:cs="Times New Roman" w:eastAsia="Times New Roman" w:hAnsi="Times New Roman"/>
          <w:sz w:val="18"/>
          <w:szCs w:val="18"/>
          <w:color w:val="auto"/>
        </w:rPr>
        <w:t>. There is no material breach or default under any provision of any Existing Agreement as of the Effective Date either by the Seller or any of its Affiliates that is a party to such Existing Agreement or, to the Knowledge of the Seller, by the counterparty (or any predecessor thereof) thereto. To the Knowledge of the Seller, there is no event that would reasonably be expected to give rise to any such breach or default by the Seller or any of its Affiliates that is a party to such Existing Agreement or the counterparty thereto.</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Assignments of Existing Agreements</w:t>
      </w:r>
      <w:r>
        <w:rPr>
          <w:rFonts w:ascii="Times New Roman" w:cs="Times New Roman" w:eastAsia="Times New Roman" w:hAnsi="Times New Roman"/>
          <w:sz w:val="18"/>
          <w:szCs w:val="18"/>
          <w:color w:val="auto"/>
        </w:rPr>
        <w:t>. Neither the Seller nor any of its Affiliates that is a party to such Existing Agreement has assigned, or consented to any assignment by the counterparty to any Existing Agreement of, any rights or obligations under such agreement, and no such counterparty has provided written notice to the Seller or any of its Affiliates that is a party to such Existing Agreement that such counterparty has assigned any of its rights or obligations under any such agreement to any Person and, to the Knowledge of the Seller, no such counterparty has assigned any of its material rights or obligations under such agreement to any Person.</w:t>
      </w:r>
    </w:p>
    <w:p>
      <w:pPr>
        <w:spacing w:after="0" w:line="187"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4.9</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6" w:lineRule="auto"/>
        <w:tabs>
          <w:tab w:leader="none" w:pos="13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xml:space="preserve"> of the Disclosure Schedule lists all of the currently existing Patents included within the Patent Rights (“</w:t>
      </w:r>
      <w:r>
        <w:rPr>
          <w:rFonts w:ascii="Times New Roman" w:cs="Times New Roman" w:eastAsia="Times New Roman" w:hAnsi="Times New Roman"/>
          <w:sz w:val="18"/>
          <w:szCs w:val="18"/>
          <w:u w:val="single" w:color="auto"/>
          <w:color w:val="auto"/>
        </w:rPr>
        <w:t>Existing Patent Rights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xml:space="preserve"> of the Disclosure Schedule, the Seller is the sole and exclusive registered owner of all of the Existing Patent Rights.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xml:space="preserve"> of the Disclosure Schedule specifies the respective patent or patent application numbers as to each listed Patent within the Existing Patent Rights.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xml:space="preserve"> of the Disclosure Schedule specifies any Person other than the Seller owning or having an ownership interest in any Existing Patent Right, including the nature of such interest.</w:t>
      </w:r>
    </w:p>
    <w:p>
      <w:pPr>
        <w:spacing w:after="0" w:line="187"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3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 nor any of its Affiliates is a party to any pending, and, to the Knowledge of the Seller, there is no threatened (in writing), litigation, interference, reexamination, post-grant proceeding, opposition or like procedure or proceeding involving any of the Existing Patent Rights or other existing Intellectual Property Rights.</w:t>
      </w:r>
    </w:p>
    <w:p>
      <w:pPr>
        <w:spacing w:after="0" w:line="175"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Patents within the Existing Patent Rights are in full force and effect, have not lapsed, expired or otherwise terminated, and, to the Knowledge of the Seller, are valid and enforceable. Neither the Seller nor, to the Knowledge of the Seller, Licensors, has received any written notice relating to the lapse, expiration or other termination of any of the issued patents within the Existing Patent Rights. Neither the Seller nor, to the Knowledge of the Seller, Licensors, has received any written notice or written legal opinion that alleges that any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9" w:name="page130"/>
    <w:bookmarkEnd w:id="129"/>
    <w:p>
      <w:pPr>
        <w:ind w:left="60" w:right="79"/>
        <w:spacing w:after="0" w:line="282" w:lineRule="auto"/>
        <w:rPr>
          <w:sz w:val="20"/>
          <w:szCs w:val="20"/>
          <w:color w:val="auto"/>
        </w:rPr>
      </w:pPr>
      <w:r>
        <w:rPr>
          <w:rFonts w:ascii="Times New Roman" w:cs="Times New Roman" w:eastAsia="Times New Roman" w:hAnsi="Times New Roman"/>
          <w:sz w:val="18"/>
          <w:szCs w:val="18"/>
          <w:color w:val="auto"/>
        </w:rPr>
        <w:t>Patent within any of the Existing Patent Rights or any other existing Intellectual Property Rights are invalid or unenforceable.</w:t>
      </w:r>
    </w:p>
    <w:p>
      <w:pPr>
        <w:spacing w:after="0" w:line="162" w:lineRule="exact"/>
        <w:rPr>
          <w:sz w:val="20"/>
          <w:szCs w:val="20"/>
          <w:color w:val="auto"/>
        </w:rPr>
      </w:pPr>
    </w:p>
    <w:p>
      <w:pPr>
        <w:jc w:val="both"/>
        <w:ind w:left="60" w:right="59" w:firstLine="638"/>
        <w:spacing w:after="0" w:line="261" w:lineRule="auto"/>
        <w:tabs>
          <w:tab w:leader="none" w:pos="13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Seller nor, to the Knowledge of the Seller, Licensors, has received any written notice that there is any, and, to the Knowledge of the Seller, there is no, Person who is or claims to be an inventor under any of the Existing Patent Rights who is not a named inventor thereof or claims to be an owner of any other existing Intellectual Property Rights.</w:t>
      </w:r>
    </w:p>
    <w:p>
      <w:pPr>
        <w:spacing w:after="0" w:line="179" w:lineRule="exact"/>
        <w:rPr>
          <w:rFonts w:ascii="Times New Roman" w:cs="Times New Roman" w:eastAsia="Times New Roman" w:hAnsi="Times New Roman"/>
          <w:sz w:val="18"/>
          <w:szCs w:val="18"/>
          <w:color w:val="auto"/>
        </w:rPr>
      </w:pPr>
    </w:p>
    <w:p>
      <w:pPr>
        <w:ind w:left="60" w:right="79" w:firstLine="638"/>
        <w:spacing w:after="0" w:line="282" w:lineRule="auto"/>
        <w:tabs>
          <w:tab w:leader="none" w:pos="13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to the Knowledge of the Seller, Licensors, as applicable, have paid all maintenance fees, annuities and like payments required with respect to all of the Existing Patent Rights.</w:t>
      </w:r>
    </w:p>
    <w:p>
      <w:pPr>
        <w:spacing w:after="0" w:line="161"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 (i) the Manufacture and Exploitation of each Product has not infringed, misappropriated or otherwise violated, and will not infringe, misappropriate or otherwise violate, any Patent or other intellectual property rights of any Third Party, and (ii) no Person is infringing, misappropriating or otherwise violating, or threatening to infringe, misappropriate or otherwise violate, any Existing Patent Rights or other existing Intellectual Property Rights, in each case ((i) and (ii)) without reference to any safe harbor, and evaluating all pending Patent claims as issued.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4.10 Title to Revenue Participation Right; No Liens</w:t>
      </w:r>
      <w:r>
        <w:rPr>
          <w:rFonts w:ascii="Times New Roman" w:cs="Times New Roman" w:eastAsia="Times New Roman" w:hAnsi="Times New Roman"/>
          <w:sz w:val="18"/>
          <w:szCs w:val="18"/>
          <w:color w:val="auto"/>
        </w:rPr>
        <w:t>. The Seller holds all rights, interests and title necessary to sell, transfer, assign and convey the Revenue Participation Right to the Buyer. From and after the Effective Date, the Buyer will have acquired, subject to the terms and conditions set forth in this Agreement, good and marketable title to the Revenue Participation Right, Revenue Payments and the “proceeds” (as defined in the UCC) of the foregoing, in each case free and clear of all Liens (other than the Back-Up Security Interest, which shall be a first priority Lien, or Permitted Lien). None of the property or assets of the Seller or any of its Affiliates (other than the Revenue Participation Right, Revenue Payments and the “proceeds” (as defined in the UCC) of the foregoing, which are covered by the immediately preceding sentence) is subject to, or encumbered by, any Lien (other than the Buyer’s Back-Up Security Interest or Permitted Lien). The Seller holds all rights, interests, and title (and has all authority) necessary to fully grant the Back-Up Security Interest.</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4.11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of the Disclosure Schedule sets forth a complete list of the outstanding Indebtedness of, or incurred by, the Seller and its Affiliates as of the Effective Date.</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4.12 Lien Related Representation and Warranties</w:t>
      </w:r>
      <w:r>
        <w:rPr>
          <w:rFonts w:ascii="Times New Roman" w:cs="Times New Roman" w:eastAsia="Times New Roman" w:hAnsi="Times New Roman"/>
          <w:sz w:val="18"/>
          <w:szCs w:val="18"/>
          <w:color w:val="auto"/>
        </w:rPr>
        <w:t>. The Seller’s exact legal name (as defined in Section 9-503 of the UCC) is, and since August 2, 2023 has been, “Zenas BioPharma, Inc.” From inception to August 2, 2023, the Seller’s exact legal name was “Zenas BioPharma (Cayman) Limited.” The Seller is, and since August 2, 2023 has been, a corporation and incorporated in Delaware. The Seller’s chief executive office is (and has been since November 2024) located at 852 Winter Street, Suite 250, Waltham MA 02451.</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4.13 Brokers’ Fees</w:t>
      </w:r>
      <w:r>
        <w:rPr>
          <w:rFonts w:ascii="Times New Roman" w:cs="Times New Roman" w:eastAsia="Times New Roman" w:hAnsi="Times New Roman"/>
          <w:sz w:val="18"/>
          <w:szCs w:val="18"/>
          <w:color w:val="auto"/>
        </w:rPr>
        <w:t>. There is no investment banker, broker, finder, financial advisor or other intermediary who has been retained by or is authorized to act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0" w:name="page131"/>
    <w:bookmarkEnd w:id="130"/>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Seller or any of its Affiliate who might be entitled to any fee or commission in connection with the transactions contemplated by this Agreement.</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4.14 Foreign Corrupt Practices Act</w:t>
      </w:r>
      <w:r>
        <w:rPr>
          <w:rFonts w:ascii="Times New Roman" w:cs="Times New Roman" w:eastAsia="Times New Roman" w:hAnsi="Times New Roman"/>
          <w:sz w:val="18"/>
          <w:szCs w:val="18"/>
          <w:color w:val="auto"/>
        </w:rPr>
        <w:t>. None of the Seller or its Affiliates nor, to the Knowledge of the Seller, any of its or their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foreign political party or official thereof or candidate for foreign political office for the purpose of (a) influencing any official act or decision of such official, party or candidate, (b) inducing such official, party or candidate to use his, her or its influence to affect any act or decision of a foreign governmental authority, or (c) securing any improper advantage, in the case of (a), (b) and (c) above in order to assist the Seller or any of its Affiliates in obtaining or retaining business for or with, or directing business to, any person. None of the Seller or any of its Affiliates nor, to the Knowledge of the Seller, any of its or their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Affiliates to maintain, systems of internal controls (including, but not limited to, accounting systems, purchasing systems and billing systems) and written policies designed to ensure compliance with the FCPA or any other applicable anti-bribery or anti-corruption law. To the Knowledge of the Seller, neither the Seller nor any of its Affiliates or its or their officers, directors or employees are the subject of any allegation, voluntary disclosure, investigation, prosecution or other enforcement action related to the FCPA or any other anti-corruption law.</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BUYER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Buyer hereby represents and warrants to the Seller that as of the Effective Date:</w:t>
      </w:r>
    </w:p>
    <w:p>
      <w:pPr>
        <w:spacing w:after="0" w:line="225"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5.1 Existence; Good Standing</w:t>
      </w:r>
      <w:r>
        <w:rPr>
          <w:rFonts w:ascii="Times New Roman" w:cs="Times New Roman" w:eastAsia="Times New Roman" w:hAnsi="Times New Roman"/>
          <w:sz w:val="18"/>
          <w:szCs w:val="18"/>
          <w:color w:val="auto"/>
        </w:rPr>
        <w:t>. The Buyer is an Irish collective asset-management vehicle duly organized, validly existing and in good standing under the laws of Ireland. The Buyer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 on the Buyer.</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Times New Roman" w:cs="Times New Roman" w:eastAsia="Times New Roman" w:hAnsi="Times New Roman"/>
          <w:sz w:val="18"/>
          <w:szCs w:val="18"/>
          <w:u w:val="single" w:color="auto"/>
          <w:color w:val="auto"/>
        </w:rPr>
        <w:t>Section 5.2 Authorization</w:t>
      </w:r>
      <w:r>
        <w:rPr>
          <w:rFonts w:ascii="Times New Roman" w:cs="Times New Roman" w:eastAsia="Times New Roman" w:hAnsi="Times New Roman"/>
          <w:sz w:val="18"/>
          <w:szCs w:val="18"/>
          <w:color w:val="auto"/>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40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5.3 Enforceability</w:t>
      </w:r>
      <w:r>
        <w:rPr>
          <w:rFonts w:ascii="Times New Roman" w:cs="Times New Roman" w:eastAsia="Times New Roman" w:hAnsi="Times New Roman"/>
          <w:sz w:val="18"/>
          <w:szCs w:val="18"/>
          <w:color w:val="auto"/>
        </w:rPr>
        <w:t>. This Agreement has been duly executed and delivered by an authorized person of the Buyer and constitutes the valid and legally binding obligation of the Buyer, enforceable against the Buyer in accordance with its terms, except as may be limited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color w:val="auto"/>
        </w:rPr>
        <w:t>applicable Bankruptcy Laws or by general principles of equity (whether considered in a proceeding in equity or at law).</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5.4 No Conflicts</w:t>
      </w:r>
      <w:r>
        <w:rPr>
          <w:rFonts w:ascii="Times New Roman" w:cs="Times New Roman" w:eastAsia="Times New Roman" w:hAnsi="Times New Roman"/>
          <w:sz w:val="18"/>
          <w:szCs w:val="18"/>
          <w:color w:val="auto"/>
        </w:rPr>
        <w:t>. The execution, delivery and performance by the Buyer of this Agreement and the consummation of the transaction contemplated hereby do not and will not (a) contravene or conflict with the organizational documents of the Buyer, (b) contravene or conflict with or constitute a material default under any material provision of any law binding upon or applicable to the Buyer or (c) contravene or conflict with or constitute a material default under any material contract or other material agreement or Judgment binding upon or applicable to the Buyer.</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5.5 Consents</w:t>
      </w:r>
      <w:r>
        <w:rPr>
          <w:rFonts w:ascii="Times New Roman" w:cs="Times New Roman" w:eastAsia="Times New Roman" w:hAnsi="Times New Roman"/>
          <w:sz w:val="18"/>
          <w:szCs w:val="18"/>
          <w:color w:val="auto"/>
        </w:rPr>
        <w:t>. Except for the filing of financial statement(s) in accordance with Section 2.4 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(a) the execution and delivery by the Buyer of this Agreement, (b) the performance by the Buyer of its obligations under this Agreement or (c) the consummation by the Buyer of any of the transactions contemplated by this Agreement.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5.6 No Litigation</w:t>
      </w:r>
      <w:r>
        <w:rPr>
          <w:rFonts w:ascii="Times New Roman" w:cs="Times New Roman" w:eastAsia="Times New Roman" w:hAnsi="Times New Roman"/>
          <w:sz w:val="18"/>
          <w:szCs w:val="18"/>
          <w:color w:val="auto"/>
        </w:rPr>
        <w:t>. There is no action, claim, suit, investigation or proceeding pending or, to the knowledge of the Buyer, threatened before any Governmental Entity to which the Buyer is a party that would reasonably be expected to prevent or materially and adversely affect the ability of the Buyer to perform its obligations under this Agreement.</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5.7 Financing</w:t>
      </w:r>
      <w:r>
        <w:rPr>
          <w:rFonts w:ascii="Times New Roman" w:cs="Times New Roman" w:eastAsia="Times New Roman" w:hAnsi="Times New Roman"/>
          <w:sz w:val="18"/>
          <w:szCs w:val="18"/>
          <w:color w:val="auto"/>
        </w:rPr>
        <w:t>. The Buyer has sufficient cash, or access to sufficient immediately available cash under committed credit facilities, to pay the Initial Purchase Price on the Effective Date and will have sufficient cash, or access to sufficient immediately available cash under committed credit facilities, to pay the Additional Purchase Price Payments contemplated by Section 3.6 if and when due hereunder. The Buyer acknowledges that its obligations under this Agreement are not contingent on obtaining financing.</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5.8 Brokers’ Fees</w:t>
      </w:r>
      <w:r>
        <w:rPr>
          <w:rFonts w:ascii="Times New Roman" w:cs="Times New Roman" w:eastAsia="Times New Roman" w:hAnsi="Times New Roman"/>
          <w:sz w:val="18"/>
          <w:szCs w:val="18"/>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OTHER REPRESENTATIONS AND WARRANTIES.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EXCEPT FOR THE EXPRESS WARRANTIES SET FORTH IN ANY TRANSACTION DOCUMENT, NONE OF THE PARTIES HERETO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2" w:name="page133"/>
    <w:bookmarkEnd w:id="132"/>
    <w:p>
      <w:pPr>
        <w:ind w:left="60" w:right="59"/>
        <w:spacing w:after="0" w:line="282" w:lineRule="auto"/>
        <w:rPr>
          <w:sz w:val="20"/>
          <w:szCs w:val="20"/>
          <w:color w:val="auto"/>
        </w:rPr>
      </w:pPr>
      <w:r>
        <w:rPr>
          <w:rFonts w:ascii="Times New Roman" w:cs="Times New Roman" w:eastAsia="Times New Roman" w:hAnsi="Times New Roman"/>
          <w:sz w:val="18"/>
          <w:szCs w:val="18"/>
          <w:color w:val="auto"/>
        </w:rPr>
        <w:t>WARRANTY AS TO THE VALIDITY OF ANY PATENT RIGHTS OR THE NON-INFRINGEMENT OF ANY INTELLECTUAL PROPERTY RIGHTS OF THIRD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7.1</w:t>
      </w:r>
      <w:r>
        <w:rPr>
          <w:sz w:val="20"/>
          <w:szCs w:val="20"/>
          <w:color w:val="auto"/>
        </w:rPr>
        <w:tab/>
      </w:r>
      <w:r>
        <w:rPr>
          <w:rFonts w:ascii="Times New Roman" w:cs="Times New Roman" w:eastAsia="Times New Roman" w:hAnsi="Times New Roman"/>
          <w:sz w:val="17"/>
          <w:szCs w:val="17"/>
          <w:u w:val="single" w:color="auto"/>
          <w:color w:val="auto"/>
        </w:rPr>
        <w:t>Seller Diligence Requirements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7.2</w:t>
      </w:r>
      <w:r>
        <w:rPr>
          <w:sz w:val="20"/>
          <w:szCs w:val="20"/>
          <w:color w:val="auto"/>
        </w:rPr>
        <w:tab/>
      </w:r>
      <w:r>
        <w:rPr>
          <w:rFonts w:ascii="Times New Roman" w:cs="Times New Roman" w:eastAsia="Times New Roman" w:hAnsi="Times New Roman"/>
          <w:sz w:val="17"/>
          <w:szCs w:val="17"/>
          <w:u w:val="single" w:color="auto"/>
          <w:color w:val="auto"/>
        </w:rPr>
        <w:t>Reporting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4" w:lineRule="auto"/>
        <w:tabs>
          <w:tab w:leader="none" w:pos="13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the Seller shall provide the Buyer promptly following the end of each Calendar Quarter, but in any event no later than [***] calendar days after the end of such Calendar Quarter, a reasonably detailed report (the “</w:t>
      </w:r>
      <w:r>
        <w:rPr>
          <w:rFonts w:ascii="Times New Roman" w:cs="Times New Roman" w:eastAsia="Times New Roman" w:hAnsi="Times New Roman"/>
          <w:sz w:val="18"/>
          <w:szCs w:val="18"/>
          <w:u w:val="single" w:color="auto"/>
          <w:color w:val="auto"/>
        </w:rPr>
        <w:t>Quarterly Report</w:t>
      </w:r>
      <w:r>
        <w:rPr>
          <w:rFonts w:ascii="Times New Roman" w:cs="Times New Roman" w:eastAsia="Times New Roman" w:hAnsi="Times New Roman"/>
          <w:sz w:val="18"/>
          <w:szCs w:val="18"/>
          <w:color w:val="auto"/>
        </w:rPr>
        <w:t>”) setting forth, with respect to such same period, (i) the Clinical Updates, (ii) the Regulatory Updates and (iii) the Commercial Updates. The Quarterly Report provided during the last Calendar Quarter of each Calendar Year shall also include the Intellectual Property Updates and, prior to the first Marketing Approval of a Product, [***]. The Seller shall prepare and maintain, and shall cause its Affiliates and any Licensees and Manufacturers to prepare and maintain, reasonably complete and accurate records of the information to be disclosed in each Quarterly Report.</w:t>
      </w:r>
    </w:p>
    <w:p>
      <w:pPr>
        <w:spacing w:after="0" w:line="19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information provided in the Quarterly Report, the Seller shall:</w:t>
      </w:r>
    </w:p>
    <w:p>
      <w:pPr>
        <w:spacing w:after="0" w:line="225" w:lineRule="exact"/>
        <w:rPr>
          <w:rFonts w:ascii="Times New Roman" w:cs="Times New Roman" w:eastAsia="Times New Roman" w:hAnsi="Times New Roman"/>
          <w:sz w:val="18"/>
          <w:szCs w:val="18"/>
          <w:color w:val="auto"/>
        </w:rPr>
      </w:pPr>
    </w:p>
    <w:p>
      <w:pPr>
        <w:ind w:left="60" w:right="79" w:firstLine="1934"/>
        <w:spacing w:after="0" w:line="282" w:lineRule="auto"/>
        <w:tabs>
          <w:tab w:leader="none" w:pos="2652" w:val="left"/>
        </w:tabs>
        <w:numPr>
          <w:ilvl w:val="1"/>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the Buyer with a draft of any press release or other public disclosure containing [***] (and no later than [***] prior to issuance thereof);</w:t>
      </w:r>
    </w:p>
    <w:p>
      <w:pPr>
        <w:spacing w:after="0" w:line="161" w:lineRule="exact"/>
        <w:rPr>
          <w:rFonts w:ascii="Times New Roman" w:cs="Times New Roman" w:eastAsia="Times New Roman" w:hAnsi="Times New Roman"/>
          <w:sz w:val="18"/>
          <w:szCs w:val="18"/>
          <w:color w:val="010000"/>
        </w:rPr>
      </w:pPr>
    </w:p>
    <w:p>
      <w:pPr>
        <w:jc w:val="both"/>
        <w:ind w:left="60" w:right="59" w:firstLine="1934"/>
        <w:spacing w:after="0" w:line="266" w:lineRule="auto"/>
        <w:tabs>
          <w:tab w:leader="none" w:pos="2652" w:val="left"/>
        </w:tabs>
        <w:numPr>
          <w:ilvl w:val="1"/>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the Buyer with prompt (and in any event within [***] Business Days) written notice of any Safety Notices or the Seller obtaining knowledge of any information that would reasonably reflect the occurrence (or expected occurrence) of a Material Adverse Effect; and</w:t>
      </w:r>
    </w:p>
    <w:p>
      <w:pPr>
        <w:spacing w:after="0" w:line="175" w:lineRule="exact"/>
        <w:rPr>
          <w:rFonts w:ascii="Times New Roman" w:cs="Times New Roman" w:eastAsia="Times New Roman" w:hAnsi="Times New Roman"/>
          <w:sz w:val="18"/>
          <w:szCs w:val="18"/>
          <w:color w:val="010000"/>
        </w:rPr>
      </w:pPr>
    </w:p>
    <w:p>
      <w:pPr>
        <w:ind w:left="2640" w:hanging="646"/>
        <w:spacing w:after="0"/>
        <w:tabs>
          <w:tab w:leader="none" w:pos="2640" w:val="left"/>
        </w:tabs>
        <w:numPr>
          <w:ilvl w:val="1"/>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the Buyer with such additional information [***].</w:t>
      </w:r>
    </w:p>
    <w:p>
      <w:pPr>
        <w:spacing w:after="0" w:line="225" w:lineRule="exact"/>
        <w:rPr>
          <w:rFonts w:ascii="Times New Roman" w:cs="Times New Roman" w:eastAsia="Times New Roman" w:hAnsi="Times New Roman"/>
          <w:sz w:val="18"/>
          <w:szCs w:val="18"/>
          <w:color w:val="010000"/>
        </w:rPr>
      </w:pPr>
    </w:p>
    <w:p>
      <w:pPr>
        <w:jc w:val="both"/>
        <w:ind w:left="60" w:right="59" w:firstLine="638"/>
        <w:spacing w:after="0" w:line="261" w:lineRule="auto"/>
        <w:tabs>
          <w:tab w:leader="none" w:pos="13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may use copies of internal presentations or reports and copies of presentations or reports received by the Seller from any Third Party, or portions thereof to satisfy its reporting obligations under this Section 7.2. No reports or information provided in response to this Section 7.2 will include any personally identifiable data or other information that can be attributed to a specific individual without the use of additional information.</w:t>
      </w:r>
    </w:p>
    <w:p>
      <w:pPr>
        <w:spacing w:after="0" w:line="180"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7.3</w:t>
      </w:r>
      <w:r>
        <w:rPr>
          <w:sz w:val="20"/>
          <w:szCs w:val="20"/>
          <w:color w:val="auto"/>
        </w:rPr>
        <w:tab/>
      </w:r>
      <w:r>
        <w:rPr>
          <w:rFonts w:ascii="Times New Roman" w:cs="Times New Roman" w:eastAsia="Times New Roman" w:hAnsi="Times New Roman"/>
          <w:sz w:val="17"/>
          <w:szCs w:val="17"/>
          <w:u w:val="single" w:color="auto"/>
          <w:color w:val="auto"/>
        </w:rPr>
        <w:t>Revenue Payments; Revenue Payment Details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0" w:right="59" w:firstLine="638"/>
        <w:spacing w:after="0" w:line="282" w:lineRule="auto"/>
        <w:tabs>
          <w:tab w:leader="none" w:pos="13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Commercial Sale, the Seller shall pay to the Buyer each Revenue Payment promptly, but in any event no later than [***] calendar days after the end of each Calendar Quarter.</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Buyer has provided to the Seller a valid, properly executed Internal Revenue Service Form W-8BEN-E or other appropriate form confirming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3" w:name="page134"/>
    <w:bookmarkEnd w:id="133"/>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withholding is required for U.S. federal income tax purposes, the Seller shall make all payments required to be made by it to the Buyer pursuant to this Agreement in U.S. dollars by wire transfer of immediately available funds, without set-off, reduction or deduction, or withholding for or on account of any Taxes, to the bank account designated in writing from time to time by the Buyer.</w:t>
      </w:r>
    </w:p>
    <w:p>
      <w:pPr>
        <w:spacing w:after="0" w:line="180" w:lineRule="exact"/>
        <w:rPr>
          <w:sz w:val="20"/>
          <w:szCs w:val="20"/>
          <w:color w:val="auto"/>
        </w:rPr>
      </w:pPr>
    </w:p>
    <w:p>
      <w:pPr>
        <w:jc w:val="both"/>
        <w:ind w:left="60" w:right="79" w:firstLine="638"/>
        <w:spacing w:after="0" w:line="289" w:lineRule="auto"/>
        <w:tabs>
          <w:tab w:leader="none" w:pos="135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First Commercial Sale, the Seller shall provide the Buyer promptly following the end of each Calendar Quarter, but in any event no later than [***] calendar days after the end of such Calendar Quarter, a report (a “</w:t>
      </w:r>
      <w:r>
        <w:rPr>
          <w:rFonts w:ascii="Times New Roman" w:cs="Times New Roman" w:eastAsia="Times New Roman" w:hAnsi="Times New Roman"/>
          <w:sz w:val="17"/>
          <w:szCs w:val="17"/>
          <w:u w:val="single" w:color="auto"/>
          <w:color w:val="auto"/>
        </w:rPr>
        <w:t>Revenue Report</w:t>
      </w:r>
      <w:r>
        <w:rPr>
          <w:rFonts w:ascii="Times New Roman" w:cs="Times New Roman" w:eastAsia="Times New Roman" w:hAnsi="Times New Roman"/>
          <w:sz w:val="17"/>
          <w:szCs w:val="17"/>
          <w:color w:val="auto"/>
        </w:rPr>
        <w:t>”) setting forth in reasonable detail, on a Product-by-Product and country-by-country basis: [***].</w:t>
      </w:r>
    </w:p>
    <w:p>
      <w:pPr>
        <w:spacing w:after="0" w:line="158"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7.4</w:t>
      </w:r>
      <w:r>
        <w:rPr>
          <w:sz w:val="20"/>
          <w:szCs w:val="20"/>
          <w:color w:val="auto"/>
        </w:rPr>
        <w:tab/>
      </w:r>
      <w:r>
        <w:rPr>
          <w:rFonts w:ascii="Times New Roman" w:cs="Times New Roman" w:eastAsia="Times New Roman" w:hAnsi="Times New Roman"/>
          <w:sz w:val="17"/>
          <w:szCs w:val="17"/>
          <w:u w:val="single" w:color="auto"/>
          <w:color w:val="auto"/>
        </w:rPr>
        <w:t>Inspections and Audits of the Seller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61"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prior written notice and during normal business hours, the Buyer may cause an inspection and/or audit, by an independent public accounting firm reasonably acceptable to the Seller, the Buyer and such independent public accounting firm, of the Seller’s and its Affiliates’ books of account, for the sole purpose of determining the correctness of the Revenue Payments made under this Agreement.</w:t>
      </w:r>
    </w:p>
    <w:p>
      <w:pPr>
        <w:spacing w:after="0" w:line="179"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inspection and/or audit shall be permitted with respect to the Revenue Payments no more frequently than [***]. In connection with any such inspection and/or audit, upon the Buyer’s request, the Seller and its Affiliates shall exercise any rights it may have under any Out-License to cause an inspection and/or audit by an independent public accounting firm to be made of the books of account of the applicable Licensee for the purpose of determining the correctness of the Revenue Payments made under this Agreement.</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4"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expenses of any inspection or audit requested by the Buyer hereunder (including the fees and expenses of such independent public accounting firm designated for such purpose) shall be borne (i) by the Buyer, if the independent public accounting firm determines that the Revenue Payments previously paid were deficient by an amount less than or equal to [***] of the Revenue Payments actually paid or (ii) otherwise, by the Seller. Any such independent public accounting firm shall not disclose to the Buyer the confidential information of the Seller or any of its Affiliates or their respective Licensees, except to the extent such disclosure is either necessary to determine the correctness of a Revenue Payment or otherwise would be provided pursuant this Agreement, including in a Quarterly Report or Revenue Report. All information obtained by the Buyer as a result of any such inspection or audit shall be Confidential Information subject to ARTICLE 9.</w:t>
      </w:r>
    </w:p>
    <w:p>
      <w:pPr>
        <w:spacing w:after="0" w:line="188"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Seller disputes any of the inspection or audit results of Section 7.4(a), the parties shall work in good faith to resolve the dispute. If the parties are unable to reach a mutually acceptable resolution of any such dispute within [***] days, the dispute shall be submitted for resolution to an independent certified public accounting firm jointly selected by each party’s certified public accountants or to such other Person as the parties shall mutually agree (the “</w:t>
      </w:r>
      <w:r>
        <w:rPr>
          <w:rFonts w:ascii="Times New Roman" w:cs="Times New Roman" w:eastAsia="Times New Roman" w:hAnsi="Times New Roman"/>
          <w:sz w:val="18"/>
          <w:szCs w:val="18"/>
          <w:u w:val="single" w:color="auto"/>
          <w:color w:val="auto"/>
        </w:rPr>
        <w:t>Audit Arbitrator</w:t>
      </w:r>
      <w:r>
        <w:rPr>
          <w:rFonts w:ascii="Times New Roman" w:cs="Times New Roman" w:eastAsia="Times New Roman" w:hAnsi="Times New Roman"/>
          <w:sz w:val="18"/>
          <w:szCs w:val="18"/>
          <w:color w:val="auto"/>
        </w:rPr>
        <w:t>”). The decision of Audit Arbitrator shall be final, and the costs of such arbitration as well as the initial audit shall be borne between the parties consistent with Section 7.4(c).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4" w:name="page135"/>
    <w:bookmarkEnd w:id="134"/>
    <w:p>
      <w:pPr>
        <w:jc w:val="both"/>
        <w:ind w:left="60" w:right="59" w:firstLine="638"/>
        <w:spacing w:after="0" w:line="266" w:lineRule="auto"/>
        <w:tabs>
          <w:tab w:leader="none" w:pos="13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 days after Buyer’s receipt of the audit results or the decision of the Audit Arbitrator (and in accordance with such decision), as applicable, the Seller shall pay the additional amounts, with interest from the date originally due in accordance with Section 7.11, or the Buyer shall reimburse the excess payments, as applicable.</w:t>
      </w:r>
    </w:p>
    <w:p>
      <w:pPr>
        <w:spacing w:after="0" w:line="176"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7.5</w:t>
      </w:r>
      <w:r>
        <w:rPr>
          <w:sz w:val="20"/>
          <w:szCs w:val="20"/>
          <w:color w:val="auto"/>
        </w:rPr>
        <w:tab/>
      </w:r>
      <w:r>
        <w:rPr>
          <w:rFonts w:ascii="Times New Roman" w:cs="Times New Roman" w:eastAsia="Times New Roman" w:hAnsi="Times New Roman"/>
          <w:sz w:val="17"/>
          <w:szCs w:val="17"/>
          <w:u w:val="single" w:color="auto"/>
          <w:color w:val="auto"/>
        </w:rPr>
        <w:t>Intellectual Property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4" w:lineRule="auto"/>
        <w:tabs>
          <w:tab w:leader="none" w:pos="13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Infringement Notice</w:t>
      </w:r>
      <w:r>
        <w:rPr>
          <w:rFonts w:ascii="Times New Roman" w:cs="Times New Roman" w:eastAsia="Times New Roman" w:hAnsi="Times New Roman"/>
          <w:sz w:val="18"/>
          <w:szCs w:val="18"/>
          <w:color w:val="auto"/>
        </w:rPr>
        <w:t>. The Seller shall provide to the Buyer a copy of any written notice received, directly or indirectly, by any Related Party or Manufacturer from any Third Party alleging or claiming that any Manufacture or Exploitation of any Product infringes, misappropriates or otherwise violates any Patents or other intellectual property rights of such or any other Third Party, together with copies of material correspondence sent or received by any Related Party or Manufacturer related thereto, as soon as practicable and in any event not more than [***] Business Days following (i) as it relates to the Seller or any of its Affiliates, such delivery or receipt or (ii) as it relates to a Licensee or Manufacturer, the Seller’s or its Affiliate’s receipt of such delivered or received notice or material correspondence.</w:t>
      </w:r>
    </w:p>
    <w:p>
      <w:pPr>
        <w:spacing w:after="0" w:line="191" w:lineRule="exact"/>
        <w:rPr>
          <w:rFonts w:ascii="Times New Roman" w:cs="Times New Roman" w:eastAsia="Times New Roman" w:hAnsi="Times New Roman"/>
          <w:sz w:val="18"/>
          <w:szCs w:val="18"/>
          <w:color w:val="auto"/>
        </w:rPr>
      </w:pPr>
    </w:p>
    <w:p>
      <w:pPr>
        <w:jc w:val="both"/>
        <w:ind w:left="60" w:right="59" w:firstLine="638"/>
        <w:spacing w:after="0" w:line="254" w:lineRule="auto"/>
        <w:tabs>
          <w:tab w:leader="none" w:pos="13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and Defense Notice</w:t>
      </w:r>
      <w:r>
        <w:rPr>
          <w:rFonts w:ascii="Times New Roman" w:cs="Times New Roman" w:eastAsia="Times New Roman" w:hAnsi="Times New Roman"/>
          <w:sz w:val="18"/>
          <w:szCs w:val="18"/>
          <w:color w:val="auto"/>
        </w:rPr>
        <w:t>. The Seller shall promptly inform the Buyer of any infringement, misappropriation, or violation by a Third Party of any Patent Right or other Intellectual Property Right, or of any allegation by a Third Party that any Patent Right or other Intellectual Property Right is invalid or unenforceable, of which the Seller or any of its Affiliates becomes aware. Without limiting the foregoing, the Seller shall provide to the Buyer a copy of any written notice of any suspected infringement, misappropriation, violation, invalidity, or unenforceability of any Patent Rights or other Intellectual Property Rights delivered or received by the Seller or its Affiliates, as well as copies of material correspondence related thereto, as soon as practicable and in any event not more than [***] Business Days following such delivery or receipt.</w:t>
      </w:r>
    </w:p>
    <w:p>
      <w:pPr>
        <w:spacing w:after="0" w:line="191" w:lineRule="exact"/>
        <w:rPr>
          <w:rFonts w:ascii="Times New Roman" w:cs="Times New Roman" w:eastAsia="Times New Roman" w:hAnsi="Times New Roman"/>
          <w:sz w:val="18"/>
          <w:szCs w:val="18"/>
          <w:color w:val="auto"/>
        </w:rPr>
      </w:pPr>
    </w:p>
    <w:p>
      <w:pPr>
        <w:jc w:val="both"/>
        <w:ind w:left="60" w:right="59" w:firstLine="638"/>
        <w:spacing w:after="0" w:line="255" w:lineRule="auto"/>
        <w:tabs>
          <w:tab w:leader="none" w:pos="13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and Defense Actions</w:t>
      </w:r>
      <w:r>
        <w:rPr>
          <w:rFonts w:ascii="Times New Roman" w:cs="Times New Roman" w:eastAsia="Times New Roman" w:hAnsi="Times New Roman"/>
          <w:sz w:val="18"/>
          <w:szCs w:val="18"/>
          <w:color w:val="auto"/>
        </w:rPr>
        <w:t>. Subject to Section 7.5(d), the Seller shall, or shall cause another Related Party to, use its or their Commercially Reasonable Efforts to enforce and defend all Patent Rights and other Intellectual Property Rights other than the In-Licensed Intellectual Property Rights for which a Licensor is responsible for enforcement or defense in accordance with the terms of the applicable In-License; provided that Seller shall not be required to, or cause another Related Party to, enforce or defend any Patent Right or other Intellectual Property Right if, in Seller’s good faith judgement, such enforcement or defense would reasonably be expected to have a material and adverse effect on the scope, enforceability or validity of such Patent Right or Intellectual Property Right. [***].</w:t>
      </w:r>
    </w:p>
    <w:p>
      <w:pPr>
        <w:spacing w:after="0" w:line="188"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and Defense Updates</w:t>
      </w:r>
      <w:r>
        <w:rPr>
          <w:rFonts w:ascii="Times New Roman" w:cs="Times New Roman" w:eastAsia="Times New Roman" w:hAnsi="Times New Roman"/>
          <w:sz w:val="18"/>
          <w:szCs w:val="18"/>
          <w:color w:val="auto"/>
        </w:rPr>
        <w:t>. Reasonably prior to the Seller’s or any of its Affiliate’s initiating, or permitting a Licensee to initiate (to the extent the Seller’s or its Affiliate’s permission is required under the applicable Out-License), an enforcement or defense action regarding any suspected infringement, misappropriation, violation, invalidity, or unenforceability of any Patent Right or other Intellectual Property Right, the Seller shall provide the Buyer with written notice of such enforcement or defense action and thereafter shall provide the Buyer with such additional information as the Buyer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5" w:name="page136"/>
    <w:bookmarkEnd w:id="135"/>
    <w:p>
      <w:pPr>
        <w:jc w:val="both"/>
        <w:ind w:left="60" w:right="59" w:firstLine="638"/>
        <w:spacing w:after="0" w:line="270" w:lineRule="auto"/>
        <w:tabs>
          <w:tab w:leader="none" w:pos="1356"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Recovery</w:t>
      </w:r>
      <w:r>
        <w:rPr>
          <w:rFonts w:ascii="Times New Roman" w:cs="Times New Roman" w:eastAsia="Times New Roman" w:hAnsi="Times New Roman"/>
          <w:sz w:val="17"/>
          <w:szCs w:val="17"/>
          <w:color w:val="auto"/>
        </w:rPr>
        <w:t>. If the Seller or any of its Affiliates or any Licensee recovers or receives monetary damages from a Third Party, where such damages (with respect to any Licensee, solely if the Seller or any of its Affiliates is entitled to share in such damages pursuant to the applicable Out-License), whether in the form of judgment or settlement, result from the misappropriation, infringement, or other violation of any of the Patent Rights or other Intellectual Property Rights,</w:t>
      </w:r>
    </w:p>
    <w:p>
      <w:pPr>
        <w:spacing w:after="0" w:line="2" w:lineRule="exact"/>
        <w:rPr>
          <w:rFonts w:ascii="Times New Roman" w:cs="Times New Roman" w:eastAsia="Times New Roman" w:hAnsi="Times New Roman"/>
          <w:sz w:val="17"/>
          <w:szCs w:val="17"/>
          <w:color w:val="auto"/>
        </w:rPr>
      </w:pPr>
    </w:p>
    <w:p>
      <w:pPr>
        <w:jc w:val="both"/>
        <w:ind w:left="60" w:right="59" w:hanging="10"/>
        <w:spacing w:after="0" w:line="252" w:lineRule="auto"/>
        <w:tabs>
          <w:tab w:leader="none" w:pos="2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recovery will be allocated first to the reimbursement of any expenses incurred by the Seller or its Affiliates or Licensees in bringing such action (including all reasonable attorneys’ fees) and not otherwise reimbursed (by a Licensee or otherwise), (ii) any remaining amounts [***], and (iii) and any remaining amounts [***]. Notwithstanding the forgoing, any such remaining amounts in subsection (iii) that are allocable to the misappropriation, infringement, or other violation of any of the Patent Rights or other Intellectual Property Rights in the Licensee Income Territory that are recovered or received by a Licensee shall not be treated as Net Sales, but the portion of any such remaining amounts that is payable by a Licensee to the Seller or its Affiliates shall be treated as Licensee Royalty Income.</w:t>
      </w:r>
    </w:p>
    <w:p>
      <w:pPr>
        <w:spacing w:after="0" w:line="188"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w:t>
      </w:r>
      <w:r>
        <w:rPr>
          <w:rFonts w:ascii="Times New Roman" w:cs="Times New Roman" w:eastAsia="Times New Roman" w:hAnsi="Times New Roman"/>
          <w:sz w:val="18"/>
          <w:szCs w:val="18"/>
          <w:color w:val="auto"/>
        </w:rPr>
        <w:t>. The Seller shall, or shall cause an Affiliate or use Commercially Reasonable Efforts to cause a Licensee to, diligently file, prosecute, and maintain all Patent Rights other than the In-Licensed Patent Rights for which a Licensor is responsible for prosecution or maintenance in accordance with the terms of the applicable In-License. Notwithstanding the foregoing, Seller shall be permitted to (i) allow Patent Rights to expire or (ii) abandon Patent Rights, in each case ((i) and (ii)), in good faith in the ordinary course for strategic reasons. The Seller shall use reasonable efforts to ensure that applicable Licensor diligently files, prosecutes and maintains all such In-Licensed Patent Rights.</w:t>
      </w:r>
    </w:p>
    <w:p>
      <w:pPr>
        <w:spacing w:after="0" w:line="187"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7.6</w:t>
      </w:r>
      <w:r>
        <w:rPr>
          <w:sz w:val="20"/>
          <w:szCs w:val="20"/>
          <w:color w:val="auto"/>
        </w:rPr>
        <w:tab/>
      </w:r>
      <w:r>
        <w:rPr>
          <w:rFonts w:ascii="Times New Roman" w:cs="Times New Roman" w:eastAsia="Times New Roman" w:hAnsi="Times New Roman"/>
          <w:sz w:val="17"/>
          <w:szCs w:val="17"/>
          <w:u w:val="single" w:color="auto"/>
          <w:color w:val="auto"/>
        </w:rPr>
        <w:t>In-Licenses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8" w:lineRule="auto"/>
        <w:tabs>
          <w:tab w:leader="none" w:pos="135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promptly (and in any event within [***] Business Days) provide the Buyer with (i) executed copies of any In-License, (ii) executed copies of each amendment, supplement, modification or written waiver of any provision of any In-License, and (iii) [***]. The Seller may redact or otherwise exclude from any of the foregoing (x) any information the redaction or exclusion of which is required to comply with applicable law and (y) any information that does not relate to the Revenue Payments, the Revenue Participation Right, the Product or the Product Rights.</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4" w:lineRule="auto"/>
        <w:tabs>
          <w:tab w:leader="none" w:pos="135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or shall cause its Affiliates (as applicable) to, comply in all material respects with its and their obligations under each In-License and shall not take any action or forego any action that would reasonably be expected to result in a material breach thereof. Promptly, and in any event within [***] Business Days, after receipt of any (written or oral) notice from the applicable Licensor or any of its Affiliates of an alleged breach under any In-License by Seller or its Affiliates, the Seller shall provide the Buyer with a copy (or, in the case of an oral notice, reasonably detailed summary) thereof. The Seller shall, or shall cause its Affiliates (as applicable) to, use its or their Commercially Reasonable Efforts to cure any breaches by it under such In-License and shall give written notice to the Buyer upon curing any such breach.</w:t>
      </w:r>
    </w:p>
    <w:p>
      <w:pPr>
        <w:spacing w:after="0" w:line="191" w:lineRule="exact"/>
        <w:rPr>
          <w:rFonts w:ascii="Times New Roman" w:cs="Times New Roman" w:eastAsia="Times New Roman" w:hAnsi="Times New Roman"/>
          <w:sz w:val="18"/>
          <w:szCs w:val="18"/>
          <w:color w:val="auto"/>
        </w:rPr>
      </w:pPr>
    </w:p>
    <w:p>
      <w:pPr>
        <w:jc w:val="both"/>
        <w:ind w:left="60" w:right="59" w:firstLine="638"/>
        <w:spacing w:after="0" w:line="261" w:lineRule="auto"/>
        <w:tabs>
          <w:tab w:leader="none" w:pos="135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provide the Buyer with written notice following the Seller or any of its Affiliates becoming aware of a Licensor’s material breach of its obligations under any In-License. Promptly, and in any event within</w:t>
      </w:r>
    </w:p>
    <w:p>
      <w:pPr>
        <w:ind w:left="480" w:hanging="430"/>
        <w:spacing w:after="0"/>
        <w:tabs>
          <w:tab w:leader="none" w:pos="4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Seller’s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6" w:name="page137"/>
    <w:bookmarkEnd w:id="136"/>
    <w:p>
      <w:pPr>
        <w:ind w:left="60" w:right="59"/>
        <w:spacing w:after="0" w:line="282" w:lineRule="auto"/>
        <w:rPr>
          <w:sz w:val="20"/>
          <w:szCs w:val="20"/>
          <w:color w:val="auto"/>
        </w:rPr>
      </w:pPr>
      <w:r>
        <w:rPr>
          <w:rFonts w:ascii="Times New Roman" w:cs="Times New Roman" w:eastAsia="Times New Roman" w:hAnsi="Times New Roman"/>
          <w:sz w:val="18"/>
          <w:szCs w:val="18"/>
          <w:color w:val="auto"/>
        </w:rPr>
        <w:t>Affiliate’s notice to a Licensor of an alleged breach by such Licensor under any such In-License, the Seller shall provide the Buyer with a copy thereof.</w:t>
      </w:r>
    </w:p>
    <w:p>
      <w:pPr>
        <w:spacing w:after="0" w:line="162" w:lineRule="exact"/>
        <w:rPr>
          <w:sz w:val="20"/>
          <w:szCs w:val="20"/>
          <w:color w:val="auto"/>
        </w:rPr>
      </w:pPr>
    </w:p>
    <w:p>
      <w:pPr>
        <w:jc w:val="both"/>
        <w:ind w:left="60" w:right="79" w:firstLine="638"/>
        <w:spacing w:after="0" w:line="258" w:lineRule="auto"/>
        <w:tabs>
          <w:tab w:leader="none" w:pos="13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not, and shall cause its Affiliates not to, amend or modify in any material respect, waive any material provision of, terminate or assign (i) the Xencor In-License without obtaining the Buyer’s prior written consent (not to be unreasonably conditioned, withheld or delayed) or (ii) any In-License other than the Xencor In-License in a manner that would be reasonably expected to have a Material Adverse Effect without obtaining the Buyer’s prior written consent.</w:t>
      </w:r>
    </w:p>
    <w:p>
      <w:pPr>
        <w:spacing w:after="0" w:line="183"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provide the Buyer with written notice promptly (and in any event within [***] Business Days) following the amendment, modification, waiver, termination or assignment of any In-License.</w:t>
      </w:r>
    </w:p>
    <w:p>
      <w:pPr>
        <w:spacing w:after="0" w:line="162"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7.7</w:t>
      </w:r>
      <w:r>
        <w:rPr>
          <w:sz w:val="20"/>
          <w:szCs w:val="20"/>
          <w:color w:val="auto"/>
        </w:rPr>
        <w:tab/>
      </w:r>
      <w:r>
        <w:rPr>
          <w:rFonts w:ascii="Times New Roman" w:cs="Times New Roman" w:eastAsia="Times New Roman" w:hAnsi="Times New Roman"/>
          <w:sz w:val="17"/>
          <w:szCs w:val="17"/>
          <w:u w:val="single" w:color="auto"/>
          <w:color w:val="auto"/>
        </w:rPr>
        <w:t>Out-Licenses; Contract Manufacturing Agreements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61" w:lineRule="auto"/>
        <w:tabs>
          <w:tab w:leader="none" w:pos="13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Buyer’s prior written consent (such consent not to be unreasonably withheld, conditioned, or delayed), the Seller shall not, and shall cause its Affiliates not to, enter into any Out-License that grants a Third Party any rights to Commercialize a Product (i) in any Major European Market unless such Third Party is a Permitted Entity or (ii) in the United States ((i) and (ii), a “</w:t>
      </w:r>
      <w:r>
        <w:rPr>
          <w:rFonts w:ascii="Times New Roman" w:cs="Times New Roman" w:eastAsia="Times New Roman" w:hAnsi="Times New Roman"/>
          <w:sz w:val="18"/>
          <w:szCs w:val="18"/>
          <w:u w:val="single" w:color="auto"/>
          <w:color w:val="auto"/>
        </w:rPr>
        <w:t>Key Out-License</w:t>
      </w:r>
      <w:r>
        <w:rPr>
          <w:rFonts w:ascii="Times New Roman" w:cs="Times New Roman" w:eastAsia="Times New Roman" w:hAnsi="Times New Roman"/>
          <w:sz w:val="18"/>
          <w:szCs w:val="18"/>
          <w:color w:val="auto"/>
        </w:rPr>
        <w:t>”). [***].</w:t>
      </w:r>
    </w:p>
    <w:p>
      <w:pPr>
        <w:spacing w:after="0" w:line="179"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promptly (and in any event within [***] Business Days) provide the Buyer with (i) executed copies of each Out-License, (ii) executed copies of each amendment, supplement, modification or written waiver of any provision of any Out-License, and (iii) copies of all royalty reports under any Out-License and material reports provided by the Seller or any of its Affiliates to the applicable Licensee or provided in writing by the applicable Licensee to the Seller or any of its Affiliates.</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4" w:lineRule="auto"/>
        <w:tabs>
          <w:tab w:leader="none" w:pos="13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or shall cause its Affiliates (as applicable) to, comply in all material respects with its and their obligations under each Out-License and Contract Manufacturing Agreement and shall not take any action or forego any action that would reasonably be expected to result in a material breach thereof. Promptly, and in any event within [***] Business Days, after receipt of any (written or oral) notice from a counterparty to any Out-License or any of its Affiliates of an alleged breach under any Out-License by Seller or its Affiliates, the Seller shall provide the Buyer with a copy (or, in the case of an oral notice, a reasonably detailed summary) thereof. The Seller shall, or shall cause its Affiliates (as applicable) to, use its or their Commercially Reasonable Efforts to cure any breaches by it under such Out-License and shall give written notice to the Buyer upon curing any such breach.</w:t>
      </w:r>
    </w:p>
    <w:p>
      <w:pPr>
        <w:spacing w:after="0" w:line="191"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provide the Buyer with written notice following the Seller or any of its Affiliates becoming aware of a Licensee’s breach of its obligations under any Out-License that would reasonably be expected to have a Material Adverse Effect. Promptly, and in any event within [***] Business Days following the Seller’s or its Affiliate’s notice to a Licensee of an alleged breach by such Licensee under any such Out-License, the Seller shall provide the Buyer with a copy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7" w:name="page138"/>
    <w:bookmarkEnd w:id="137"/>
    <w:p>
      <w:pPr>
        <w:jc w:val="both"/>
        <w:ind w:left="60" w:right="59" w:firstLine="638"/>
        <w:spacing w:after="0" w:line="266" w:lineRule="auto"/>
        <w:tabs>
          <w:tab w:leader="none" w:pos="13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not, and shall cause its Affiliates not to, amend or modify in any material respect, waive any material provision of, terminate or assign any Key Out-License without obtaining the Buyer’s prior written consent (not to be unreasonably conditioned, withheld or delayed). [***].</w:t>
      </w:r>
    </w:p>
    <w:p>
      <w:pPr>
        <w:spacing w:after="0" w:line="175"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provide the Buyer with written notice promptly (and in any event within [***] Business Days) following the amendment, modification, waiver, termination or assignment of any Out-License.</w:t>
      </w:r>
    </w:p>
    <w:p>
      <w:pPr>
        <w:spacing w:after="0" w:line="161" w:lineRule="exact"/>
        <w:rPr>
          <w:rFonts w:ascii="Times New Roman" w:cs="Times New Roman" w:eastAsia="Times New Roman" w:hAnsi="Times New Roman"/>
          <w:sz w:val="18"/>
          <w:szCs w:val="18"/>
          <w:color w:val="auto"/>
        </w:rPr>
      </w:pPr>
    </w:p>
    <w:p>
      <w:pPr>
        <w:jc w:val="both"/>
        <w:ind w:left="60" w:right="59" w:firstLine="638"/>
        <w:spacing w:after="0" w:line="256" w:lineRule="auto"/>
        <w:tabs>
          <w:tab w:leader="none" w:pos="13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Out-Licenses entered into after the Effective Date shall contain provisions permitting the Seller or its Affiliate to audit such Licensee on terms and conditions consistent in all material respects with the Buyer’s rights to audit the Seller and its Affiliates set forth in Section 7.4. The Seller shall, and shall cause its Affiliates to use, Commercially Reasonable Efforts to ensure that each Out-License entered into after the Effective Date contains provisions requiring the applicable Licensee to provide to the Seller or its Affiliate a quarterly royalty report consistent in all material respects with the Seller’s obligation to provide quarterly Revenue Reports set forth in Section 7.3(c).</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7.8 Disclosures</w:t>
      </w:r>
      <w:r>
        <w:rPr>
          <w:rFonts w:ascii="Times New Roman" w:cs="Times New Roman" w:eastAsia="Times New Roman" w:hAnsi="Times New Roman"/>
          <w:sz w:val="18"/>
          <w:szCs w:val="18"/>
          <w:color w:val="auto"/>
        </w:rPr>
        <w:t>. Except for a press release previously approved in form and substance by the Seller and the Buyer or any other public announcement using substantially the same text as such press release or other public announcement made in accordance with this Agreement, neither the Buyer nor the Seller shall, and each party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except as may be required by applicable law or stock exchange rule (in which case either party required to make the press release or other public announcement or disclosure shall allow the other party reasonable time to comment on, and, if applicable, reasonably request the disclosing party to seek confidential treatment in respect of portions of, such press release or other public announcement or disclosure in advance of such issuance).</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7.9 Post-Closing Obligation</w:t>
      </w:r>
      <w:r>
        <w:rPr>
          <w:rFonts w:ascii="Times New Roman" w:cs="Times New Roman" w:eastAsia="Times New Roman" w:hAnsi="Times New Roman"/>
          <w:sz w:val="18"/>
          <w:szCs w:val="18"/>
          <w:color w:val="auto"/>
        </w:rPr>
        <w:t>. The Seller shall deliver to the Buyer [***] a CD, USB drive or as otherwise agreed by the parties, containing copies [***]. For the avoidance of doubt, the contents of such CD or USB drive are Confidential Information of the Seller and subject to the terms and conditions of this Agreement.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7.10 Further Assurances</w:t>
      </w:r>
      <w:r>
        <w:rPr>
          <w:rFonts w:ascii="Times New Roman" w:cs="Times New Roman" w:eastAsia="Times New Roman" w:hAnsi="Times New Roman"/>
          <w:sz w:val="18"/>
          <w:szCs w:val="18"/>
          <w:color w:val="auto"/>
        </w:rPr>
        <w:t>. The Seller and the Buyer agree to execute and deliver such other documents, certificates, agreements and other writings and to take such other actions as may be reasonably necessary in order to give effect to and carry on the transactions contemplated by this Agreement.</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7.11 Late Payments</w:t>
      </w:r>
      <w:r>
        <w:rPr>
          <w:rFonts w:ascii="Times New Roman" w:cs="Times New Roman" w:eastAsia="Times New Roman" w:hAnsi="Times New Roman"/>
          <w:sz w:val="18"/>
          <w:szCs w:val="18"/>
          <w:color w:val="auto"/>
        </w:rPr>
        <w:t>. A late fee of the lesser of (a) [***] over the Prime Rate, and (b) the highest rate permitted under applicable law shall accrue on all unpaid amounts with respect to any payment owed to either party hereunder, including the Additional Purchase Price Payments or any Revenue Payment, from the date such obligation was due until the date payment is made. The imposition and payment of a late fee shall not constitute a waiver of the rights of either party with respect to such payment default.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8" w:name="page139"/>
    <w:bookmarkEnd w:id="138"/>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7.12</w:t>
      </w:r>
      <w:r>
        <w:rPr>
          <w:sz w:val="20"/>
          <w:szCs w:val="20"/>
          <w:color w:val="auto"/>
        </w:rPr>
        <w:tab/>
      </w:r>
      <w:r>
        <w:rPr>
          <w:rFonts w:ascii="Times New Roman" w:cs="Times New Roman" w:eastAsia="Times New Roman" w:hAnsi="Times New Roman"/>
          <w:sz w:val="17"/>
          <w:szCs w:val="17"/>
          <w:u w:val="single" w:color="auto"/>
          <w:color w:val="auto"/>
        </w:rPr>
        <w:t>Negative Pledge; Preservation of Assets and Liens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6" w:lineRule="auto"/>
        <w:tabs>
          <w:tab w:leader="none" w:pos="13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not, and shall not permit any of its Affiliates to, create, incur, assume or suffer to exist any Lien on [***], except for (i) the Back-Up Security Interest and (ii) solely with respect to the Product Rights and the Products (but not any of the other aforementioned assets), any Permitted Lien. For clarity, the Seller and its Affiliates are permitted to create, incur, assume or suffer to exist a Lien on (x) Excluded Product Assets and (y) rights that relate to such products and are not Product Rights. [***]. For the avoidance of doubt, this Section 7.12(a) shall not restrict the incurrence of (i) any Permitted Liens or (ii) any licenses (including any In-Licenses or Out-Licenses) not prohibited hereunder.</w:t>
      </w:r>
    </w:p>
    <w:p>
      <w:pPr>
        <w:spacing w:after="0" w:line="187" w:lineRule="exact"/>
        <w:rPr>
          <w:rFonts w:ascii="Times New Roman" w:cs="Times New Roman" w:eastAsia="Times New Roman" w:hAnsi="Times New Roman"/>
          <w:sz w:val="18"/>
          <w:szCs w:val="18"/>
          <w:color w:val="auto"/>
        </w:rPr>
      </w:pPr>
    </w:p>
    <w:p>
      <w:pPr>
        <w:jc w:val="both"/>
        <w:ind w:left="60" w:right="59" w:firstLine="638"/>
        <w:spacing w:after="0" w:line="254" w:lineRule="auto"/>
        <w:tabs>
          <w:tab w:leader="none" w:pos="13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agrees that it will not (and will not permit any of its Affiliate to), without giving the Buyer prior written notice as promptly as practical, and in any event at least [***], change (i) its legal name (as defined in Section 9-503(a) of the Uniform Commercial Code in effect in Delaware), (ii) its jurisdiction of organization, (iii) its legal entity structure or identity, or (iv) the location or address of its chief executive office and shall otherwise cooperate and act as reasonably requested by the Buyer so that the Buyer can (1) create, maintain, continue and protect the Buyer’s enforceable perfected security interest and Lien (with the priority provided for in this Agreement) on the assets covered by the Back-Up Security Interest and (2) maintain, continue and protect the purchase and sale of the Revenue Participation Right contemplated by this Agreement.</w:t>
      </w:r>
    </w:p>
    <w:p>
      <w:pPr>
        <w:spacing w:after="0" w:line="19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7.13 Restriction on Indebtedness</w:t>
      </w:r>
      <w:r>
        <w:rPr>
          <w:rFonts w:ascii="Times New Roman" w:cs="Times New Roman" w:eastAsia="Times New Roman" w:hAnsi="Times New Roman"/>
          <w:sz w:val="18"/>
          <w:szCs w:val="18"/>
          <w:color w:val="auto"/>
        </w:rPr>
        <w:t>. Prior to the consummation of a Change of Control [***], the Seller shall not, and shall not permit any of its Affiliates to, incur any Indebtedness except for Permitted Indebtedness.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8.1</w:t>
      </w:r>
      <w:r>
        <w:rPr>
          <w:sz w:val="20"/>
          <w:szCs w:val="20"/>
          <w:color w:val="auto"/>
        </w:rPr>
        <w:tab/>
      </w:r>
      <w:r>
        <w:rPr>
          <w:rFonts w:ascii="Times New Roman" w:cs="Times New Roman" w:eastAsia="Times New Roman" w:hAnsi="Times New Roman"/>
          <w:sz w:val="17"/>
          <w:szCs w:val="17"/>
          <w:u w:val="single" w:color="auto"/>
          <w:color w:val="auto"/>
        </w:rPr>
        <w:t>General Indemnity</w:t>
      </w:r>
      <w:r>
        <w:rPr>
          <w:rFonts w:ascii="Times New Roman" w:cs="Times New Roman" w:eastAsia="Times New Roman" w:hAnsi="Times New Roman"/>
          <w:sz w:val="17"/>
          <w:szCs w:val="17"/>
          <w:color w:val="auto"/>
        </w:rPr>
        <w:t>. Subject to Section 8.3, from and after the Effective Date:</w:t>
      </w:r>
    </w:p>
    <w:p>
      <w:pPr>
        <w:spacing w:after="0" w:line="225" w:lineRule="exact"/>
        <w:rPr>
          <w:sz w:val="20"/>
          <w:szCs w:val="20"/>
          <w:color w:val="auto"/>
        </w:rPr>
      </w:pPr>
    </w:p>
    <w:p>
      <w:pPr>
        <w:jc w:val="both"/>
        <w:ind w:left="60" w:right="59" w:firstLine="638"/>
        <w:spacing w:after="0" w:line="257" w:lineRule="auto"/>
        <w:tabs>
          <w:tab w:leader="none" w:pos="135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agrees to indemnify, defend and hold harmless the Buyer and its Affiliates and its and their directors, managers, trustees, officers, agents and employees (the “</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from, against and in respect of all Losses suffered or incurred by the Buyer Indemnified Parties to the extent arising out of or resulting from</w:t>
      </w:r>
    </w:p>
    <w:p>
      <w:pPr>
        <w:spacing w:after="0" w:line="1" w:lineRule="exact"/>
        <w:rPr>
          <w:rFonts w:ascii="Times New Roman" w:cs="Times New Roman" w:eastAsia="Times New Roman" w:hAnsi="Times New Roman"/>
          <w:sz w:val="18"/>
          <w:szCs w:val="18"/>
          <w:color w:val="auto"/>
        </w:rPr>
      </w:pPr>
    </w:p>
    <w:p>
      <w:pPr>
        <w:ind w:left="60" w:right="79" w:hanging="10"/>
        <w:spacing w:after="0" w:line="260" w:lineRule="auto"/>
        <w:tabs>
          <w:tab w:leader="none" w:pos="30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of the representations or warranties (in each case, when made) of the Seller in any Transaction Document and (ii) any breach of any of the covenants or agreements of the Seller in any Transaction Document.</w:t>
      </w:r>
    </w:p>
    <w:p>
      <w:pPr>
        <w:spacing w:after="0" w:line="181"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from, against and in respect of all Losses suffered or incurred by the Seller Indemnified Parties to the extent arising out of or resulting from (i) any breach of any of the representations or warranties (in each case, when made) of the Buyer in any Transaction Document or (ii) any breach of any of the covenants or agreements of the Buyer in any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9" w:name="page140"/>
    <w:bookmarkEnd w:id="139"/>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8.2 Notice of Claims</w:t>
      </w:r>
      <w:r>
        <w:rPr>
          <w:rFonts w:ascii="Times New Roman" w:cs="Times New Roman" w:eastAsia="Times New Roman" w:hAnsi="Times New Roman"/>
          <w:sz w:val="18"/>
          <w:szCs w:val="18"/>
          <w:color w:val="auto"/>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suffered or incurred any Losses for which indemnification may be sought under this ARTICLE 8, the Indemnified Party shall so notify the other party from whom indemnification is sought under this ARTICLE 8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the relevant Transaction Document in respect of which such Loss shall have occurred. If any claim, action, suit or proceeding is asserted or instituted by or against a Third Party with respect to which an Indemnified Party intends to claim any Loss under this Section 8.2,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8.3 Limitations on Liability</w:t>
      </w:r>
      <w:r>
        <w:rPr>
          <w:rFonts w:ascii="Times New Roman" w:cs="Times New Roman" w:eastAsia="Times New Roman" w:hAnsi="Times New Roman"/>
          <w:sz w:val="18"/>
          <w:szCs w:val="18"/>
          <w:color w:val="auto"/>
        </w:rPr>
        <w:t>. Except for claims arising from a breach of confidentiality obligations under ARTICLE 9 or in cases of fraud, gross negligence, or willful misconduct, no party hereto shall be liable (and no claim for indemnification hereunder shall be asserted) for any consequential, punitive, special or incidental damages under this ARTICLE 8 as a result of any breach or violation of any covenant or agreement of such party (including under this ARTICLE 8) in or pursuant to any Transaction Document. Notwithstanding the foregoing, (a) the Buyer shall be entitled to make indemnification claims, in accordance with the procedures set forth in this ARTICLE 8, for Losses that include any portion of the Revenue Payments that the Buyer was entitled to receive but did not receive timely or at all due to any indemnifiable events under any Transaction Document, and such portion of the Revenue Payments shall not be deemed consequential, punitive, special or incidental damages for any purpose of any Transaction Document and (b) any consequential, punitive, special or incidental damages awarded to a Third Party in connection with a claim pursuant to Section 8.4 shall be considered Losses for purposes of this ARTICLE 8. Notwithstanding anything in this ARTICLE 8 to the contrary, the Seller shall not be liable for any damages as a result of any breach of the last two sentences of Section 2.2.</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8.4 Third Party Claims</w:t>
      </w:r>
      <w:r>
        <w:rPr>
          <w:rFonts w:ascii="Times New Roman" w:cs="Times New Roman" w:eastAsia="Times New Roman" w:hAnsi="Times New Roman"/>
          <w:sz w:val="18"/>
          <w:szCs w:val="18"/>
          <w:color w:val="auto"/>
        </w:rPr>
        <w:t>. Upon providing notice to an Indemnifying Party by an Indemnified Party pursuant to Section 8.2 of the commencement of any action, suit or proceeding against such Indemnified Party by a Third Party with respect to which such Indemnified Party intends to claim any Loss under this ARTICLE 8, such Indemnifying Party shall defend such claim, at such Indemnifying Party’s expense and with counsel of its choice reasonably satisfactory to the Indemnified Party. The Indemnified Party shall, at the request of the Indemnifying Party, use reasonable efforts to cooperate in such defense; provided, that the Indemnifying Party shall bear the Indemnified Party’s reasonable out-of-pocket costs and expenses incurred in connection with such cooperation. The Indemnified Party may, without the request of the Indemnifying Party, retain separate co-counsel at the Indemnified Party’s expense and may participate in the defense of such claim. The Indemnifying Party shall not consent to the entry of any Judgment or enter into any settlement with respect to such claim without the prior written consent of the Indemnified Party unless such Judgment or settlement (a) provides for the payment by the Indemnifying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0" w:name="page141"/>
    <w:bookmarkEnd w:id="140"/>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of money as the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in compliance with this Section 8.4, (i) the Indemnified Party may defend against, and consent to the entry of any Judgment or enter into any settlement with respect to, such claim in any manner such Indemnified Party reasonably deems appropriate, (ii)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8.</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8.5 Exclusive Remedy</w:t>
      </w:r>
      <w:r>
        <w:rPr>
          <w:rFonts w:ascii="Times New Roman" w:cs="Times New Roman" w:eastAsia="Times New Roman" w:hAnsi="Times New Roman"/>
          <w:sz w:val="18"/>
          <w:szCs w:val="18"/>
          <w:color w:val="auto"/>
        </w:rPr>
        <w:t>. Except as set forth in Section 11.10, from and after the Effective Date,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any Transaction Document or any certificate, document or instrument delivered under any Transaction Document, and each party hereto hereby waives, to the fullest extent permitted under applicable law, and agrees not to assert any other claim or action in respect of any such breach. Notwithstanding the foregoing, claims for fraud shall not be waived or limited in any way by this ARTICLE 8.</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8.6 Tax Treatment of Indemnification Payments</w:t>
      </w:r>
      <w:r>
        <w:rPr>
          <w:rFonts w:ascii="Times New Roman" w:cs="Times New Roman" w:eastAsia="Times New Roman" w:hAnsi="Times New Roman"/>
          <w:sz w:val="18"/>
          <w:szCs w:val="18"/>
          <w:color w:val="auto"/>
        </w:rPr>
        <w:t>. Any indemnification payments made pursuant to this ARTICLE 8 will be treated as an adjustment to the purchase price for U.S. federal income tax purposes to the fullest extent permitted by applicable law, except to the extent otherwise required pursuant to a “determination,” within the meaning of Section 1313(a) of the US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CONFIDENTIALITY</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9.1 Confidentiality</w:t>
      </w:r>
      <w:r>
        <w:rPr>
          <w:rFonts w:ascii="Times New Roman" w:cs="Times New Roman" w:eastAsia="Times New Roman" w:hAnsi="Times New Roman"/>
          <w:sz w:val="18"/>
          <w:szCs w:val="18"/>
          <w:color w:val="auto"/>
        </w:rPr>
        <w:t>. Except as provided in this ARTICLE 9 or otherwise agreed in writing by the parties, the parties agree that, during the term of this Agreement and for [***] thereafter, each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shall (a) keep confidential and shall not publish or otherwise disclose, except as permitted pursuant to Section 9.2, any information furnished to it by or on behalf of the other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pursuant to this Agreement (such information,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of the Disclosing Party), and (b) shall not use the Confidential Information of the Disclosing Party for any purpose other than as provided for in this Agreement (which includes the exercise of any rights or the performance of any obligations hereunder), except in each case ((a) and (b)) for that portion of such information that the Receiving Party can demonstrate by competent proof: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1" w:name="page142"/>
    <w:bookmarkEnd w:id="141"/>
    <w:p>
      <w:pPr>
        <w:ind w:left="60" w:right="59" w:firstLine="638"/>
        <w:spacing w:after="0" w:line="282" w:lineRule="auto"/>
        <w:tabs>
          <w:tab w:leader="none" w:pos="13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other than under an obligation of confidentiality, at the time of disclosure by the Disclosing Party;</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Receiving Party or any of its Affiliates without the use of the Confidential Information of the Disclosing Party; or</w:t>
      </w:r>
    </w:p>
    <w:p>
      <w:pPr>
        <w:spacing w:after="0" w:line="161"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3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on a non-confidential basis by a Third Party who did not receive such Confidential Information from the Disclosing Party and without obligations of confidentiality with respect thereto.</w:t>
      </w:r>
    </w:p>
    <w:p>
      <w:pPr>
        <w:spacing w:after="0" w:line="1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9.2 Authorized Disclosure</w:t>
      </w:r>
      <w:r>
        <w:rPr>
          <w:rFonts w:ascii="Times New Roman" w:cs="Times New Roman" w:eastAsia="Times New Roman" w:hAnsi="Times New Roman"/>
          <w:sz w:val="18"/>
          <w:szCs w:val="18"/>
          <w:color w:val="auto"/>
        </w:rPr>
        <w:t>. Either party may disclose Confidential Information to the extent such disclosure is reasonably necessary in the following situations:</w:t>
      </w:r>
    </w:p>
    <w:p>
      <w:pPr>
        <w:spacing w:after="0" w:line="162" w:lineRule="exact"/>
        <w:rPr>
          <w:sz w:val="20"/>
          <w:szCs w:val="20"/>
          <w:color w:val="auto"/>
        </w:rPr>
      </w:pPr>
    </w:p>
    <w:p>
      <w:pPr>
        <w:ind w:left="1340" w:hanging="642"/>
        <w:spacing w:after="0"/>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prosecuting or defending litigation between the parties hereto;</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and regulations, including regulations promulgated by securities</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w:t>
      </w:r>
    </w:p>
    <w:p>
      <w:pPr>
        <w:spacing w:after="0" w:line="206"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valid order of a court or administrative body of competent jurisdiction or other Governmental Entity;</w:t>
      </w:r>
    </w:p>
    <w:p>
      <w:pPr>
        <w:spacing w:after="0" w:line="16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regulatory, Tax or customs purposes;</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audit purposes;</w:t>
      </w:r>
    </w:p>
    <w:p>
      <w:pPr>
        <w:spacing w:after="0" w:line="225"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3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its Affiliates and its and its Affiliates’ Representatives; provided, that each recipient of Confidential Information must be bound by obligations of confidentiality and non-use at least as stringent as those set forth in this Agreement prior to any such disclosure;</w:t>
      </w:r>
    </w:p>
    <w:p>
      <w:pPr>
        <w:spacing w:after="0" w:line="175"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13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its actual or potential investors, lenders, (sub)licensees, or acquirors, and their respective accountants, financial advisors and other professional representatives, provided, that such disclosure shall be made only to the extent customarily required to consummate such investment, financing or licensing transaction or acquisition and that each recipient of Confidential Information must be bound by obligations of confidentiality and non-use at least as stringent as those set forth in this Agreement prior to any such disclosure; or</w:t>
      </w:r>
    </w:p>
    <w:p>
      <w:pPr>
        <w:spacing w:after="0" w:line="183"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prior written consent of the Disclosing Party.</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the Receiving Party is required to make a disclosure of the Disclosing Party’s Confidential Information pursuant to (a), (c) or (d), it will, except where impracticable, give reasonable advance notice to the Disclosing Party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2" w:name="page143"/>
    <w:bookmarkEnd w:id="142"/>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disclosure and use reasonable efforts to secure confidential treatment of such information. Without limiting the foregoing, a party may disclose the other party’s Confidential Information, without the other party’s prior written permission, to the extent it is required to do so by law, regulation, or a court or administrative order or an order of another Governmental Entity; however, prior to such disclosure, the compelled party shall notify the other party (which notice shall include a copy of the relevant portion of any applicable subpoena or order) as promptly as possible after it learns of such requirement to disclose, except to the extent such notification would be impractical or legally impermissible (in which event notification shall be made as soon as reasonably practicable and permissible), provide the other party with reasonable opportunity to pursue legal action to prevent or limit the required disclosure, and, if requested, provide reasonable assistance at the other party’s expense in undertaking reasonable legal action to prevent or limit the required disclosure. In the event of any such required disclosure, the party required to disclose the other party’s Confidential Information shall disclose only that portion of the other party’s Confidential Information that it is legally required to disclose based on the advice of its counsel. The Receiving Party shall continue to hold in confidence hereunder any such disclosed Confidential Information of the Disclosing Party unless and until such information is no longer required to be held in confidence under the terms of this Agreement.</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Buyer shall not seek, because of, or based upon, any Confidential Information of the Seller, Patent or any other form of intellectual property protection with respect to, or related to, any such Confidential Information or use the Confidential Information of the Seller to obtain, or seek to obtain, a commercial advantage over the Seller. Without limiting the foregoing, the Buyer shall not file any Patent application based upon, disclosing or using any of the Confidential Information of the Seller provided 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10.1 Term</w:t>
      </w:r>
      <w:r>
        <w:rPr>
          <w:rFonts w:ascii="Times New Roman" w:cs="Times New Roman" w:eastAsia="Times New Roman" w:hAnsi="Times New Roman"/>
          <w:sz w:val="18"/>
          <w:szCs w:val="18"/>
          <w:color w:val="auto"/>
        </w:rPr>
        <w:t>. This Agreement shall be effective as of the Effective Date and shall continue unless and until terminated pursuant to Section 10.2, at which time this Agreement shall terminate, except in each case with respect to any rights or obligations that accrued or arose prior to such termination. The Buyer and the Seller have carefully considered and negotiated the conditions under which this Agreement would terminate, and such conditions allocate risks between the Buyer and the Seller. The Buyer’s obligation to pay the Purchase Price and the Seller’s sale of the Revenue Participation Right and obligation to pay the Revenue Payments reflect this allocation of risk, and neither the Buyer nor the Seller would have entered into this Agreement without such allocation.</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10.2 Mutual Termination</w:t>
      </w:r>
      <w:r>
        <w:rPr>
          <w:rFonts w:ascii="Times New Roman" w:cs="Times New Roman" w:eastAsia="Times New Roman" w:hAnsi="Times New Roman"/>
          <w:sz w:val="18"/>
          <w:szCs w:val="18"/>
          <w:color w:val="auto"/>
        </w:rPr>
        <w:t>. This Agreement may only be terminated by mutual written agreement of the Buyer and the Seller.</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10.3 Survival</w:t>
      </w:r>
      <w:r>
        <w:rPr>
          <w:rFonts w:ascii="Times New Roman" w:cs="Times New Roman" w:eastAsia="Times New Roman" w:hAnsi="Times New Roman"/>
          <w:sz w:val="18"/>
          <w:szCs w:val="18"/>
          <w:color w:val="auto"/>
        </w:rPr>
        <w:t>. Notwithstanding anything to the contrary in this ARTICLE 10, the following provisions shall survive termination of this Agreement: ARTICLE 1 (Definitions); Section 7.3 (Revenue Payments; Revenue Payment Details) (solely to the extent a payment accrues prior to the effective date of termination); Section 7.4 (Inspections and Audits of the Seller) (solely to the extent set forth therein and as it relates to payments accrued prior to the effective date of termination); Section 7.5(e) (Recovery) (solely to the extent such action arises prior to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3" w:name="page144"/>
    <w:bookmarkEnd w:id="143"/>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date of termination); Section 7.11 (Late Payments); ARTICLE 8 (Indemnification); ARTICLE 9 (Confidentiality) (for the period of time set forth therein); Section 10.1 (Term); Section 10.3 (Survival); ARTICLE 11 (Miscellaneous). Termination of this Agreement shall not relieve any party of liability in respect of breaches under this Agreement by any party on or prior to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11.1 Notices</w:t>
      </w:r>
      <w:r>
        <w:rPr>
          <w:rFonts w:ascii="Times New Roman" w:cs="Times New Roman" w:eastAsia="Times New Roman" w:hAnsi="Times New Roman"/>
          <w:sz w:val="18"/>
          <w:szCs w:val="18"/>
          <w:color w:val="auto"/>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11.1:</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If to the Seller, to it 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Zenas BioPharma,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852 Winter Street, Suite 250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800 Boylston Street; Prudential Tower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Boston, MA 02199</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Hannah H. England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If to the Buyer, to it 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Royalty Pharma Investments 2019 ICAV</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110 E. 59th Street, Suite 3300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Robert M. Crawford and Jacqueline Mercier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notices and communications under this Agreement shall be deemed to have been duly given (a) when delivered by hand, if personally delivered, (b) when received by a recipient, if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4" w:name="page145"/>
    <w:bookmarkEnd w:id="144"/>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by email, with an acknowledgement of receipt being produced by the recipient’s email account, or (c) one (1) Business Day following sending within the United States by overnight delivery via commercial one-day overnight courier service.</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11.2 Expenses</w:t>
      </w:r>
      <w:r>
        <w:rPr>
          <w:rFonts w:ascii="Times New Roman" w:cs="Times New Roman" w:eastAsia="Times New Roman" w:hAnsi="Times New Roman"/>
          <w:sz w:val="18"/>
          <w:szCs w:val="18"/>
          <w:color w:val="auto"/>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180"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11.3</w:t>
      </w:r>
      <w:r>
        <w:rPr>
          <w:sz w:val="20"/>
          <w:szCs w:val="20"/>
          <w:color w:val="auto"/>
        </w:rPr>
        <w:tab/>
      </w:r>
      <w:r>
        <w:rPr>
          <w:rFonts w:ascii="Times New Roman" w:cs="Times New Roman" w:eastAsia="Times New Roman" w:hAnsi="Times New Roman"/>
          <w:sz w:val="17"/>
          <w:szCs w:val="17"/>
          <w:u w:val="single" w:color="auto"/>
          <w:color w:val="auto"/>
        </w:rPr>
        <w:t>Assignment; Transfer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2" w:lineRule="auto"/>
        <w:tabs>
          <w:tab w:leader="none" w:pos="135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Seller nor any of its Affiliates shall sell, assign or otherwise transfer, including by asset sale, merger, change of control, operation of law, or otherwise, this Agreement or any portion of the Seller’s or its Affiliates’ rights, title or interest in or to any Product Rights to any Person without the prior written consent of the Buyer (not to be unreasonably conditioned, withheld or delayed) except (i) to an Affiliate if such Affiliate transferee agrees in a writing that such Affiliate assumes all of the obligations of the Seller to the Buyer under the Transaction Documents and the Seller guarantees the performance of such Affiliate or (ii) in connection with a Change of Control, [***]. Further, the Seller and its Affiliates shall be permitted to assign this Agreement and all or substantially of its and their rights, title or interest in or to all of the Product Rights to a Permitted Entity if such Permitted Entity agrees in a writing that it assumes this Agreement. Prior to any such sale, assignment or transfer, the Seller shall take all actions required (or reasonably requested by the Buyer after being given a reasonable time to make such a request after written notice of such prospective sale, assignment or transfer) to (1) create, continue, maintain and protect the Buyer’s perfected security interest and Lien (with the priority contemplated by this Agreement) in the assets covered by the Back-Up Security Interest, and (2) maintain, continue and protect the purchase and sale of the Revenue Participation Right contemplated by this Agreement. For clarity, nothing in this Section 11.3(a) shall prohibit any Out-Licenses permitted by and entered into in accordance with Section 7.7, or the grant of any Permitted Liens.</w:t>
      </w:r>
    </w:p>
    <w:p>
      <w:pPr>
        <w:spacing w:after="0" w:line="19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this Agreement without the prior written consent of the Seller [***].</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assigning this Agreement as set forth in this Section 11.3 will promptly notify the other party of</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w:t>
      </w:r>
    </w:p>
    <w:p>
      <w:pPr>
        <w:spacing w:after="0" w:line="206"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sale, assignment or transfer in violation of this Section 11.3 shall be null and void.</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inure to the benefit of and be enforceable by, the parties hereto and their respective permitted successors and assigns.</w:t>
      </w:r>
    </w:p>
    <w:p>
      <w:pPr>
        <w:spacing w:after="0" w:line="162"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11.4</w:t>
      </w:r>
      <w:r>
        <w:rPr>
          <w:sz w:val="20"/>
          <w:szCs w:val="20"/>
          <w:color w:val="auto"/>
        </w:rPr>
        <w:tab/>
      </w: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66" w:lineRule="auto"/>
        <w:tabs>
          <w:tab w:leader="none" w:pos="13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restated, modified or supplemented only in a writing signed by each of the Seller and the Buyer. Any provision of this Agreement may be waived only in a writing signed by the party hereto granting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5" w:name="page146"/>
    <w:bookmarkEnd w:id="145"/>
    <w:p>
      <w:pPr>
        <w:jc w:val="both"/>
        <w:ind w:left="60" w:right="59" w:firstLine="638"/>
        <w:spacing w:after="0" w:line="261" w:lineRule="auto"/>
        <w:tabs>
          <w:tab w:leader="none" w:pos="13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either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11.5 Entire Agreement</w:t>
      </w:r>
      <w:r>
        <w:rPr>
          <w:rFonts w:ascii="Times New Roman" w:cs="Times New Roman" w:eastAsia="Times New Roman" w:hAnsi="Times New Roman"/>
          <w:sz w:val="18"/>
          <w:szCs w:val="18"/>
          <w:color w:val="auto"/>
        </w:rPr>
        <w:t>.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11.6 No Third Party Beneficiaries</w:t>
      </w:r>
      <w:r>
        <w:rPr>
          <w:rFonts w:ascii="Times New Roman" w:cs="Times New Roman" w:eastAsia="Times New Roman" w:hAnsi="Times New Roman"/>
          <w:sz w:val="18"/>
          <w:szCs w:val="18"/>
          <w:color w:val="auto"/>
        </w:rPr>
        <w:t>.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8.</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11.7 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76" w:lineRule="exact"/>
        <w:rPr>
          <w:sz w:val="20"/>
          <w:szCs w:val="20"/>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auto"/>
        </w:rPr>
        <w:t>Section 11.8</w:t>
      </w:r>
      <w:r>
        <w:rPr>
          <w:sz w:val="20"/>
          <w:szCs w:val="20"/>
          <w:color w:val="auto"/>
        </w:rPr>
        <w:tab/>
      </w:r>
      <w:r>
        <w:rPr>
          <w:rFonts w:ascii="Times New Roman" w:cs="Times New Roman" w:eastAsia="Times New Roman" w:hAnsi="Times New Roman"/>
          <w:sz w:val="17"/>
          <w:szCs w:val="17"/>
          <w:u w:val="single" w:color="auto"/>
          <w:color w:val="auto"/>
        </w:rPr>
        <w:t>Jurisdiction; Venue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0" w:right="59" w:firstLine="638"/>
        <w:spacing w:after="0" w:line="252" w:lineRule="auto"/>
        <w:tabs>
          <w:tab w:leader="none" w:pos="13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RESPECTIVE PROPERTY AND ASSETS, TO THE EXCLUSIVE JURISDICTION OF ANY NEW YORK STATE COURT OR FEDERAL COURT OF THE UNITED STATES SITTING IN NEW YORK COUNTY, NEW YORK, AND ANY APPELLATE COURT THEREOF, IN ANY ACTION OR PROCEEDING ARISING OUT OF OR RELATING TO THIS AGREEMENT, OR FOR RECOGNITION OR ENFORCEMENT OF ANY JUDGMENT IN RESPECT THEREOF, AND THE BUYER AND THE SELLER EACH HEREBY IRREVOCABLY AND UNCONDITIONALLY AGREE THAT ALL CLAIMS IN RESPECT OF ANY SUCH ACTION OR PROCEEDING MAY BE HEARD AND DETERMINED IN ANY SUCH NEW YORK STATE COURT OR, TO THE FULLEST EXTENT PERMITTED BY APPLICABLE LAW, IN SUCH FEDERAL COURT. THE BUYER AND THE SELLER EACH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NOTHING IN THIS AGREEMENT OR IN ANY OTHER DOCUMENT SHALL AFFECT ANY RIGHT THAT THE BUYER MAY OTHERWISE HAVE TO BRING ANY ACTION OR PROCEEDING RELATING TO THIS AGREEMENT OR ANY OTHER DOCUMENT AGAINST THE SELLER OR ITS AFFILIATES OR ITS OR THEIR PROPERTIES IN THE COURTS OF ANY JURISDICTION. THE BUYER AND THE SELLER EACH AGREE, TO THE FULLEST EXTENT PERMITTED BY APPLICABLE LAW, THAT PROCESS MAY BE SERVED ON THE BUYER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color w:val="auto"/>
        </w:rPr>
        <w:t>SELLER IN THE SAME MANNER THAT NOTICES MAY BE GIVEN PURSUANT TO SECTION 11.1 HEREOF.</w:t>
      </w:r>
    </w:p>
    <w:p>
      <w:pPr>
        <w:spacing w:after="0" w:line="225" w:lineRule="exact"/>
        <w:rPr>
          <w:sz w:val="20"/>
          <w:szCs w:val="20"/>
          <w:color w:val="auto"/>
        </w:rPr>
      </w:pPr>
    </w:p>
    <w:p>
      <w:pPr>
        <w:jc w:val="both"/>
        <w:ind w:left="60" w:right="59" w:firstLine="638"/>
        <w:spacing w:after="0" w:line="255" w:lineRule="auto"/>
        <w:tabs>
          <w:tab w:leader="none" w:pos="13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88"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3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ANY RIGHT TO TRIAL BY JURY WITH RESPECT TO ANY PROCEEDING ARISING OUT OF, RELATING TO OR IN CONNECTION WITH THIS AGREEMENT OR ANY TRANSACTION CONTEMPLATED HEREBY.</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11.9 Severability</w:t>
      </w:r>
      <w:r>
        <w:rPr>
          <w:rFonts w:ascii="Times New Roman" w:cs="Times New Roman" w:eastAsia="Times New Roman" w:hAnsi="Times New Roman"/>
          <w:sz w:val="18"/>
          <w:szCs w:val="18"/>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11.10 Specific Performance</w:t>
      </w:r>
      <w:r>
        <w:rPr>
          <w:rFonts w:ascii="Times New Roman" w:cs="Times New Roman" w:eastAsia="Times New Roman" w:hAnsi="Times New Roman"/>
          <w:sz w:val="18"/>
          <w:szCs w:val="18"/>
          <w:color w:val="auto"/>
        </w:rPr>
        <w:t>. Each party acknowledges and agrees that the other party would be damaged irreparably in the event any of the provisions of this Agreement are not performed in accordance with their specific terms or otherwise are breached or violated. Accordingly, notwithstanding Section 8.5, each party agrees that, without posting bond or other undertaking, the other party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11.11 Counterparts</w:t>
      </w:r>
      <w:r>
        <w:rPr>
          <w:rFonts w:ascii="Times New Roman" w:cs="Times New Roman" w:eastAsia="Times New Roman" w:hAnsi="Times New Roman"/>
          <w:sz w:val="18"/>
          <w:szCs w:val="18"/>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11.12 Relationship of the Parties</w:t>
      </w:r>
      <w:r>
        <w:rPr>
          <w:rFonts w:ascii="Times New Roman" w:cs="Times New Roman" w:eastAsia="Times New Roman" w:hAnsi="Times New Roman"/>
          <w:sz w:val="18"/>
          <w:szCs w:val="18"/>
          <w:color w:val="auto"/>
        </w:rPr>
        <w:t>. The relationship between the Buyer and the Seller is solely that of purchaser and seller, and neither the Buyer nor the Seller has any fiduciary or other special relationship with the other party or any of its Affiliates. This Agreement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7" w:name="page148"/>
    <w:bookmarkEnd w:id="147"/>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8" w:name="page149"/>
    <w:bookmarkEnd w:id="148"/>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by their respective representatives thereunto duly authorized as of the Effective Date.</w:t>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SELLER</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ZENAS BIOPHARMA, INC.</w:t>
      </w:r>
    </w:p>
    <w:p>
      <w:pPr>
        <w:spacing w:after="0" w:line="22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 O. Moulder, Jr.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Leon O. Moulder, Jr.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Founder, Chief Executive Officer &amp; Chairman</w:t>
            </w:r>
          </w:p>
        </w:tc>
      </w:tr>
    </w:tbl>
    <w:p>
      <w:pPr>
        <w:spacing w:after="0" w:line="200" w:lineRule="exact"/>
        <w:rPr>
          <w:sz w:val="20"/>
          <w:szCs w:val="20"/>
          <w:color w:val="auto"/>
        </w:rPr>
      </w:pPr>
    </w:p>
    <w:p>
      <w:pPr>
        <w:spacing w:after="0" w:line="2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BUYER</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ROYALTY PHARMA INVESTMENTS 2019 ICAV</w:t>
      </w:r>
    </w:p>
    <w:p>
      <w:pPr>
        <w:spacing w:after="0" w:line="22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Royalty Pharma Manager, LLC, its Attorney-in-Fact</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W. Lloyd</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W. Lloyd</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EVP, Investments &amp;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Revenue Participation Right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ectPr>
          <w:pgSz w:w="11900" w:h="16838" w:orient="portrait"/>
          <w:cols w:equalWidth="0" w:num="1">
            <w:col w:w="9019"/>
          </w:cols>
          <w:pgMar w:left="1440" w:top="671"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ectPr>
          <w:pgSz w:w="11900" w:h="16838" w:orient="portrait"/>
          <w:cols w:equalWidth="0" w:num="1">
            <w:col w:w="9019"/>
          </w:cols>
          <w:pgMar w:left="1440" w:top="671"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D</w:t>
      </w:r>
    </w:p>
    <w:p>
      <w:pPr>
        <w:sectPr>
          <w:pgSz w:w="11900" w:h="16838" w:orient="portrait"/>
          <w:cols w:equalWidth="0" w:num="1">
            <w:col w:w="9019"/>
          </w:cols>
          <w:pgMar w:left="1440" w:top="671"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ectPr>
          <w:pgSz w:w="11900" w:h="16838" w:orient="portrait"/>
          <w:cols w:equalWidth="0" w:num="1">
            <w:col w:w="9019"/>
          </w:cols>
          <w:pgMar w:left="1440" w:top="887"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908685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type w:val="continuous"/>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F</w:t>
      </w:r>
    </w:p>
    <w:p>
      <w:pPr>
        <w:sectPr>
          <w:pgSz w:w="11900" w:h="16838" w:orient="portrait"/>
          <w:cols w:equalWidth="0" w:num="1">
            <w:col w:w="9019"/>
          </w:cols>
          <w:pgMar w:left="1440" w:top="671"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ectPr>
          <w:pgSz w:w="11900" w:h="16838" w:orient="portrait"/>
          <w:cols w:equalWidth="0" w:num="1">
            <w:col w:w="9019"/>
          </w:cols>
          <w:pgMar w:left="1440" w:top="671"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ectPr>
          <w:pgSz w:w="11900" w:h="16838" w:orient="portrait"/>
          <w:cols w:equalWidth="0" w:num="1">
            <w:col w:w="9019"/>
          </w:cols>
          <w:pgMar w:left="1440" w:top="671"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1" w:right="1440" w:bottom="1440" w:gutter="0" w:footer="0" w:header="0"/>
          <w:type w:val="continuous"/>
        </w:sectPr>
      </w:pPr>
    </w:p>
    <w:bookmarkStart w:id="157" w:name="page158"/>
    <w:bookmarkEnd w:id="157"/>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Leon O. Moulder, Jr., certify that:</w:t>
      </w:r>
    </w:p>
    <w:p>
      <w:pPr>
        <w:spacing w:after="0" w:line="225" w:lineRule="exact"/>
        <w:rPr>
          <w:sz w:val="20"/>
          <w:szCs w:val="20"/>
          <w:color w:val="auto"/>
        </w:rPr>
      </w:pPr>
    </w:p>
    <w:p>
      <w:pPr>
        <w:ind w:left="700" w:hanging="326"/>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Zenas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hanging="377"/>
        <w:spacing w:after="0"/>
        <w:tabs>
          <w:tab w:leader="none" w:pos="14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12, 2025</w:t>
            </w: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91"/>
        </w:trPr>
        <w:tc>
          <w:tcPr>
            <w:tcW w:w="3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6"/>
        </w:trPr>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58" w:name="page159"/>
    <w:bookmarkEnd w:id="158"/>
    <w:p>
      <w:pPr>
        <w:ind w:left="80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Jennifer Fox, certify that:</w:t>
      </w:r>
    </w:p>
    <w:p>
      <w:pPr>
        <w:spacing w:after="0" w:line="225" w:lineRule="exact"/>
        <w:rPr>
          <w:sz w:val="20"/>
          <w:szCs w:val="20"/>
          <w:color w:val="auto"/>
        </w:rPr>
      </w:pPr>
    </w:p>
    <w:p>
      <w:pPr>
        <w:ind w:left="700" w:hanging="326"/>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Zenas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hanging="330"/>
        <w:spacing w:after="0"/>
        <w:tabs>
          <w:tab w:leader="none" w:pos="14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12, 2025</w:t>
            </w: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91"/>
        </w:trPr>
        <w:tc>
          <w:tcPr>
            <w:tcW w:w="3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6"/>
        </w:trPr>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w:t>
            </w:r>
          </w:p>
        </w:tc>
      </w:tr>
      <w:tr>
        <w:trPr>
          <w:trHeight w:val="216"/>
        </w:trPr>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59" w:name="page160"/>
    <w:bookmarkEnd w:id="1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350, AS ADOPTED PURSUANT TO SECTION 906 OF THE SARBANES-OXLEY ACT OF 2002</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Zenas BioPharma, Inc. (the “Company”) hereby certifies, to the best of my knowledge, that:</w:t>
      </w:r>
    </w:p>
    <w:p>
      <w:pPr>
        <w:spacing w:after="0" w:line="207" w:lineRule="exact"/>
        <w:rPr>
          <w:sz w:val="20"/>
          <w:szCs w:val="20"/>
          <w:color w:val="auto"/>
        </w:rPr>
      </w:pPr>
    </w:p>
    <w:p>
      <w:pPr>
        <w:ind w:left="1440" w:right="379" w:hanging="377"/>
        <w:spacing w:after="0" w:line="266" w:lineRule="auto"/>
        <w:tabs>
          <w:tab w:leader="none" w:pos="1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2025 (the “Report”) fully complies with the requirements of Section 13(a) or Section 15(d) of the Securities Exchange Act of 1934;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12, 2025</w:t>
            </w: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91"/>
        </w:trPr>
        <w:tc>
          <w:tcPr>
            <w:tcW w:w="3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6"/>
        </w:trPr>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0" w:name="page161"/>
    <w:bookmarkEnd w:id="1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Zenas BioPharma, Inc. (the “Company”) hereby certifies, to the best of my knowledge, that:</w:t>
      </w:r>
    </w:p>
    <w:p>
      <w:pPr>
        <w:spacing w:after="0" w:line="207" w:lineRule="exact"/>
        <w:rPr>
          <w:sz w:val="20"/>
          <w:szCs w:val="20"/>
          <w:color w:val="auto"/>
        </w:rPr>
      </w:pPr>
    </w:p>
    <w:p>
      <w:pPr>
        <w:ind w:left="1440" w:right="379" w:hanging="377"/>
        <w:spacing w:after="0" w:line="266" w:lineRule="auto"/>
        <w:tabs>
          <w:tab w:leader="none" w:pos="1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2025 (the “Report”) fully complies with the requirements of Section 13(a) or Section 15(d) of the Securities Exchange Act of 1934;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12, 2025</w:t>
            </w: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91"/>
        </w:trPr>
        <w:tc>
          <w:tcPr>
            <w:tcW w:w="3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6"/>
        </w:trPr>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w:t>
            </w:r>
          </w:p>
        </w:tc>
      </w:tr>
      <w:tr>
        <w:trPr>
          <w:trHeight w:val="216"/>
        </w:trPr>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decimal"/>
      <w:start w:val="2"/>
    </w:lvl>
  </w:abstractNum>
  <w:abstractNum w:abstractNumId="8">
    <w:nsid w:val="180115BE"/>
    <w:multiLevelType w:val="hybridMultilevel"/>
    <w:lvl w:ilvl="0">
      <w:lvlJc w:val="left"/>
      <w:lvlText w:val="%1."/>
      <w:numFmt w:val="decimal"/>
      <w:start w:val="3"/>
    </w:lvl>
  </w:abstractNum>
  <w:abstractNum w:abstractNumId="9">
    <w:nsid w:val="235BA861"/>
    <w:multiLevelType w:val="hybridMultilevel"/>
    <w:lvl w:ilvl="0">
      <w:lvlJc w:val="left"/>
      <w:lvlText w:val="%1."/>
      <w:numFmt w:val="decimal"/>
      <w:start w:val="4"/>
    </w:lvl>
  </w:abstractNum>
  <w:abstractNum w:abstractNumId="10">
    <w:nsid w:val="47398C89"/>
    <w:multiLevelType w:val="hybridMultilevel"/>
    <w:lvl w:ilvl="0">
      <w:lvlJc w:val="left"/>
      <w:lvlText w:val="%1."/>
      <w:numFmt w:val="decimal"/>
      <w:start w:val="5"/>
    </w:lvl>
  </w:abstractNum>
  <w:abstractNum w:abstractNumId="11">
    <w:nsid w:val="354FE9F9"/>
    <w:multiLevelType w:val="hybridMultilevel"/>
    <w:lvl w:ilvl="0">
      <w:lvlJc w:val="left"/>
      <w:lvlText w:val="%1."/>
      <w:numFmt w:val="decimal"/>
      <w:start w:val="6"/>
    </w:lvl>
  </w:abstractNum>
  <w:abstractNum w:abstractNumId="12">
    <w:nsid w:val="15B5AF5C"/>
    <w:multiLevelType w:val="hybridMultilevel"/>
    <w:lvl w:ilvl="0">
      <w:lvlJc w:val="left"/>
      <w:lvlText w:val="%1."/>
      <w:numFmt w:val="decimal"/>
      <w:start w:val="7"/>
    </w:lvl>
  </w:abstractNum>
  <w:abstractNum w:abstractNumId="13">
    <w:nsid w:val="741226BB"/>
    <w:multiLevelType w:val="hybridMultilevel"/>
    <w:lvl w:ilvl="0">
      <w:lvlJc w:val="left"/>
      <w:lvlText w:val="%1."/>
      <w:numFmt w:val="decimal"/>
      <w:start w:val="8"/>
    </w:lvl>
  </w:abstractNum>
  <w:abstractNum w:abstractNumId="14">
    <w:nsid w:val="D34B6A8"/>
    <w:multiLevelType w:val="hybridMultilevel"/>
    <w:lvl w:ilvl="0">
      <w:lvlJc w:val="left"/>
      <w:lvlText w:val="%1."/>
      <w:numFmt w:val="decimal"/>
      <w:start w:val="9"/>
    </w:lvl>
  </w:abstractNum>
  <w:abstractNum w:abstractNumId="15">
    <w:nsid w:val="10233C99"/>
    <w:multiLevelType w:val="hybridMultilevel"/>
    <w:lvl w:ilvl="0">
      <w:lvlJc w:val="left"/>
      <w:lvlText w:val="%1."/>
      <w:numFmt w:val="decimal"/>
      <w:start w:val="10"/>
    </w:lvl>
  </w:abstractNum>
  <w:abstractNum w:abstractNumId="16">
    <w:nsid w:val="3F6AB60F"/>
    <w:multiLevelType w:val="hybridMultilevel"/>
    <w:lvl w:ilvl="0">
      <w:lvlJc w:val="left"/>
      <w:lvlText w:val="%1."/>
      <w:numFmt w:val="decimal"/>
      <w:start w:val="11"/>
    </w:lvl>
  </w:abstractNum>
  <w:abstractNum w:abstractNumId="17">
    <w:nsid w:val="61574095"/>
    <w:multiLevelType w:val="hybridMultilevel"/>
    <w:lvl w:ilvl="0">
      <w:lvlJc w:val="left"/>
      <w:lvlText w:val="(%1)"/>
      <w:numFmt w:val="decimal"/>
      <w:start w:val="4"/>
    </w:lvl>
  </w:abstractNum>
  <w:abstractNum w:abstractNumId="18">
    <w:nsid w:val="7E0C57B1"/>
    <w:multiLevelType w:val="hybridMultilevel"/>
    <w:lvl w:ilvl="0">
      <w:lvlJc w:val="left"/>
      <w:lvlText w:val="%1."/>
      <w:numFmt w:val="decimal"/>
      <w:start w:val="12"/>
    </w:lvl>
  </w:abstractNum>
  <w:abstractNum w:abstractNumId="19">
    <w:nsid w:val="77AE35EB"/>
    <w:multiLevelType w:val="hybridMultilevel"/>
    <w:lvl w:ilvl="0">
      <w:lvlJc w:val="left"/>
      <w:lvlText w:val="%1."/>
      <w:numFmt w:val="decimal"/>
      <w:start w:val="13"/>
    </w:lvl>
  </w:abstractNum>
  <w:abstractNum w:abstractNumId="20">
    <w:nsid w:val="579BE4F1"/>
    <w:multiLevelType w:val="hybridMultilevel"/>
    <w:lvl w:ilvl="0">
      <w:lvlJc w:val="left"/>
      <w:lvlText w:val="%1."/>
      <w:numFmt w:val="decimal"/>
      <w:start w:val="14"/>
    </w:lvl>
  </w:abstractNum>
  <w:abstractNum w:abstractNumId="21">
    <w:nsid w:val="310C50B3"/>
    <w:multiLevelType w:val="hybridMultilevel"/>
    <w:lvl w:ilvl="0">
      <w:lvlJc w:val="left"/>
      <w:lvlText w:val="%1."/>
      <w:numFmt w:val="decimal"/>
      <w:start w:val="15"/>
    </w:lvl>
  </w:abstractNum>
  <w:abstractNum w:abstractNumId="22">
    <w:nsid w:val="5FF87E05"/>
    <w:multiLevelType w:val="hybridMultilevel"/>
    <w:lvl w:ilvl="0">
      <w:lvlJc w:val="left"/>
      <w:lvlText w:val="1"/>
      <w:numFmt w:val="bullet"/>
      <w:start w:val="1"/>
    </w:lvl>
  </w:abstractNum>
  <w:abstractNum w:abstractNumId="23">
    <w:nsid w:val="2F305DEF"/>
    <w:multiLevelType w:val="hybridMultilevel"/>
    <w:lvl w:ilvl="0">
      <w:lvlJc w:val="left"/>
      <w:lvlText w:val="2"/>
      <w:numFmt w:val="bullet"/>
      <w:start w:val="1"/>
    </w:lvl>
  </w:abstractNum>
  <w:abstractNum w:abstractNumId="24">
    <w:nsid w:val="25A70BF7"/>
    <w:multiLevelType w:val="hybridMultilevel"/>
    <w:lvl w:ilvl="0">
      <w:lvlJc w:val="left"/>
      <w:lvlText w:val="3"/>
      <w:numFmt w:val="bullet"/>
      <w:start w:val="1"/>
    </w:lvl>
  </w:abstractNum>
  <w:abstractNum w:abstractNumId="25">
    <w:nsid w:val="1DBABF00"/>
    <w:multiLevelType w:val="hybridMultilevel"/>
    <w:lvl w:ilvl="0">
      <w:lvlJc w:val="left"/>
      <w:lvlText w:val="4"/>
      <w:numFmt w:val="bullet"/>
      <w:start w:val="1"/>
    </w:lvl>
  </w:abstractNum>
  <w:abstractNum w:abstractNumId="26">
    <w:nsid w:val="4AD084E9"/>
    <w:multiLevelType w:val="hybridMultilevel"/>
    <w:lvl w:ilvl="0">
      <w:lvlJc w:val="left"/>
      <w:lvlText w:val="%1."/>
      <w:numFmt w:val="decimal"/>
      <w:start w:val="16"/>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1)"/>
      <w:numFmt w:val="lowerRoman"/>
      <w:start w:val="3"/>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1)"/>
      <w:numFmt w:val="lowerLetter"/>
      <w:start w:val="2"/>
    </w:lvl>
  </w:abstractNum>
  <w:abstractNum w:abstractNumId="70">
    <w:nsid w:val="14E17E33"/>
    <w:multiLevelType w:val="hybridMultilevel"/>
    <w:lvl w:ilvl="0">
      <w:lvlJc w:val="left"/>
      <w:lvlText w:val="(%1)"/>
      <w:numFmt w:val="lowerLetter"/>
      <w:start w:val="1"/>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Letter"/>
      <w:start w:val="8"/>
    </w:lvl>
  </w:abstractNum>
  <w:abstractNum w:abstractNumId="73">
    <w:nsid w:val="68EBC550"/>
    <w:multiLevelType w:val="hybridMultilevel"/>
    <w:lvl w:ilvl="0">
      <w:lvlJc w:val="left"/>
      <w:lvlText w:val="(%1)"/>
      <w:numFmt w:val="decimal"/>
      <w:start w:val="5"/>
    </w:lvl>
  </w:abstractNum>
  <w:abstractNum w:abstractNumId="74">
    <w:nsid w:val="2DF6D648"/>
    <w:multiLevelType w:val="hybridMultilevel"/>
    <w:lvl w:ilvl="0">
      <w:lvlJc w:val="left"/>
      <w:lvlText w:val="(%1)"/>
      <w:numFmt w:val="lowerLetter"/>
      <w:start w:val="1"/>
    </w:lvl>
  </w:abstractNum>
  <w:abstractNum w:abstractNumId="75">
    <w:nsid w:val="46B7D447"/>
    <w:multiLevelType w:val="hybridMultilevel"/>
    <w:lvl w:ilvl="0">
      <w:lvlJc w:val="left"/>
      <w:lvlText w:val="[***]"/>
      <w:numFmt w:val="bullet"/>
      <w:start w:val="1"/>
    </w:lvl>
    <w:lvl w:ilvl="1">
      <w:lvlJc w:val="left"/>
      <w:lvlText w:val="(%2)"/>
      <w:numFmt w:val="lowerLetter"/>
      <w:start w:val="3"/>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3"/>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4"/>
    </w:lvl>
  </w:abstractNum>
  <w:abstractNum w:abstractNumId="80">
    <w:nsid w:val="43F18422"/>
    <w:multiLevelType w:val="hybridMultilevel"/>
    <w:lvl w:ilvl="0">
      <w:lvlJc w:val="left"/>
      <w:lvlText w:val="(%1)"/>
      <w:numFmt w:val="lowerLetter"/>
      <w:start w:val="1"/>
    </w:lvl>
    <w:lvl w:ilvl="1">
      <w:lvlJc w:val="left"/>
      <w:lvlText w:val="(%2)"/>
      <w:numFmt w:val="lowerRoman"/>
      <w:start w:val="1"/>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3"/>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5"/>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lowerLetter"/>
      <w:start w:val="1"/>
    </w:lvl>
    <w:lvl w:ilvl="1">
      <w:lvlJc w:val="left"/>
      <w:lvlText w:val="(%2)"/>
      <w:numFmt w:val="lowerLetter"/>
      <w:start w:val="5"/>
    </w:lvl>
  </w:abstractNum>
  <w:abstractNum w:abstractNumId="87">
    <w:nsid w:val="50801EE1"/>
    <w:multiLevelType w:val="hybridMultilevel"/>
    <w:lvl w:ilvl="0">
      <w:lvlJc w:val="left"/>
      <w:lvlText w:val="(%1)"/>
      <w:numFmt w:val="lowerLetter"/>
      <w:start w:val="9"/>
    </w:lvl>
    <w:lvl w:ilvl="1">
      <w:lvlJc w:val="left"/>
      <w:lvlText w:val="(%2)"/>
      <w:numFmt w:val="lowerLetter"/>
      <w:start w:val="6"/>
    </w:lvl>
  </w:abstractNum>
  <w:abstractNum w:abstractNumId="88">
    <w:nsid w:val="488AC1A"/>
    <w:multiLevelType w:val="hybridMultilevel"/>
    <w:lvl w:ilvl="0">
      <w:lvlJc w:val="left"/>
      <w:lvlText w:val="[***]"/>
      <w:numFmt w:val="bullet"/>
      <w:start w:val="1"/>
    </w:lvl>
    <w:lvl w:ilvl="1">
      <w:lvlJc w:val="left"/>
      <w:lvlText w:val="(%2)"/>
      <w:numFmt w:val="lowerLetter"/>
      <w:start w:val="1"/>
    </w:lvl>
  </w:abstractNum>
  <w:abstractNum w:abstractNumId="89">
    <w:nsid w:val="5FB8011C"/>
    <w:multiLevelType w:val="hybridMultilevel"/>
    <w:lvl w:ilvl="0">
      <w:lvlJc w:val="left"/>
      <w:lvlText w:val="(%1)"/>
      <w:numFmt w:val="lowerLetter"/>
      <w:start w:val="4"/>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lowerLetter"/>
      <w:start w:val="5"/>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1"/>
    </w:lvl>
    <w:lvl w:ilvl="1">
      <w:lvlJc w:val="left"/>
      <w:lvlText w:val="(%2)"/>
      <w:numFmt w:val="lowerLetter"/>
      <w:start w:val="1"/>
    </w:lvl>
  </w:abstractNum>
  <w:abstractNum w:abstractNumId="94">
    <w:nsid w:val="7D5E18F8"/>
    <w:multiLevelType w:val="hybridMultilevel"/>
    <w:lvl w:ilvl="0">
      <w:lvlJc w:val="left"/>
      <w:lvlText w:val="(%1)"/>
      <w:numFmt w:val="lowerLetter"/>
      <w:start w:val="9"/>
    </w:lvl>
    <w:lvl w:ilvl="1">
      <w:lvlJc w:val="left"/>
      <w:lvlText w:val="(%2)"/>
      <w:numFmt w:val="lowerLetter"/>
      <w:start w:val="2"/>
    </w:lvl>
  </w:abstractNum>
  <w:abstractNum w:abstractNumId="95">
    <w:nsid w:val="5F3534A4"/>
    <w:multiLevelType w:val="hybridMultilevel"/>
    <w:lvl w:ilvl="0">
      <w:lvlJc w:val="left"/>
      <w:lvlText w:val="(%1)"/>
      <w:numFmt w:val="lowerLetter"/>
      <w:start w:val="1"/>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lowerLetter"/>
      <w:start w:val="1"/>
    </w:lvl>
  </w:abstractNum>
  <w:abstractNum w:abstractNumId="98">
    <w:nsid w:val="555C55B5"/>
    <w:multiLevelType w:val="hybridMultilevel"/>
    <w:lvl w:ilvl="0">
      <w:lvlJc w:val="left"/>
      <w:lvlText w:val="(%1)"/>
      <w:numFmt w:val="lowerLetter"/>
      <w:start w:val="1"/>
    </w:lvl>
  </w:abstractNum>
  <w:abstractNum w:abstractNumId="99">
    <w:nsid w:val="3FA62ACA"/>
    <w:multiLevelType w:val="hybridMultilevel"/>
    <w:lvl w:ilvl="0">
      <w:lvlJc w:val="left"/>
      <w:lvlText w:val="(%1)"/>
      <w:numFmt w:val="lowerLetter"/>
      <w:start w:val="2"/>
    </w:lvl>
  </w:abstractNum>
  <w:abstractNum w:abstractNumId="100">
    <w:nsid w:val="14FCE74E"/>
    <w:multiLevelType w:val="hybridMultilevel"/>
    <w:lvl w:ilvl="0">
      <w:lvlJc w:val="left"/>
      <w:lvlText w:val="(%1)"/>
      <w:numFmt w:val="lowerLetter"/>
      <w:start w:val="1"/>
    </w:lvl>
  </w:abstractNum>
  <w:abstractNum w:abstractNumId="101">
    <w:nsid w:val="6A3DD3E8"/>
    <w:multiLevelType w:val="hybridMultilevel"/>
    <w:lvl w:ilvl="0">
      <w:lvlJc w:val="left"/>
      <w:lvlText w:val="(%1)"/>
      <w:numFmt w:val="lowerLetter"/>
      <w:start w:val="2"/>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lowerRoman"/>
      <w:start w:val="1"/>
    </w:lvl>
  </w:abstractNum>
  <w:abstractNum w:abstractNumId="105">
    <w:nsid w:val="1FBFE8E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21" Type="http://schemas.openxmlformats.org/officeDocument/2006/relationships/hyperlink" Target="https://www.sec.gov/Archives/edgar/data/0001953926/000110465924100177/tm2332800d24_ex3-1.htm" TargetMode="External"/><Relationship Id="rId122" Type="http://schemas.openxmlformats.org/officeDocument/2006/relationships/hyperlink" Target="https://www.sec.gov/Archives/edgar/data/0001953926/000110465924100177/tm2332800d2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2025-11-12T06:33:19Z</dcterms:created>
  <dcterms:modified xsi:type="dcterms:W3CDTF">2025-11-12T06:33:19Z</dcterms:modified>
</cp:coreProperties>
</file>